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CARE Checklist (2013) — Additional file 1</w:t>
      </w:r>
    </w:p>
    <w:p>
      <w:r>
        <w:t>Manuscript title: Primary Solitary Fibrous Tumor of the Lacrimal Sac Mimicking Lymphoma: A Case Report</w:t>
      </w:r>
    </w:p>
    <w:p>
      <w:r>
        <w:t>Manuscript prepared in accordance with the CARE guidelines (Gagnier JJ et al., J Clin Epidemiol. 2014;67(1):46–51). Page and line numbers refer to the manuscript file formatted with double-line spacing and continuous line numbering (title = line 1).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Section / Topic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CARE 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Reported on page # / line #</w:t>
            </w:r>
          </w:p>
        </w:tc>
      </w:tr>
      <w:tr>
        <w:tc>
          <w:tcPr>
            <w:tcW w:type="dxa" w:w="2880"/>
          </w:tcPr>
          <w:p>
            <w:r>
              <w:t>Title  1</w:t>
            </w:r>
          </w:p>
        </w:tc>
        <w:tc>
          <w:tcPr>
            <w:tcW w:type="dxa" w:w="2880"/>
          </w:tcPr>
          <w:p>
            <w:r>
              <w:t>The words “case report” appear in the title</w:t>
            </w:r>
          </w:p>
        </w:tc>
        <w:tc>
          <w:tcPr>
            <w:tcW w:type="dxa" w:w="2880"/>
          </w:tcPr>
          <w:p>
            <w:r>
              <w:t>Title, p.1, lines 1–2</w:t>
            </w:r>
          </w:p>
        </w:tc>
      </w:tr>
      <w:tr>
        <w:tc>
          <w:tcPr>
            <w:tcW w:type="dxa" w:w="2880"/>
          </w:tcPr>
          <w:p>
            <w:r>
              <w:t>Key Words  2</w:t>
            </w:r>
          </w:p>
        </w:tc>
        <w:tc>
          <w:tcPr>
            <w:tcW w:type="dxa" w:w="2880"/>
          </w:tcPr>
          <w:p>
            <w:r>
              <w:t>2–5 key words that identify the area of focus</w:t>
            </w:r>
          </w:p>
        </w:tc>
        <w:tc>
          <w:tcPr>
            <w:tcW w:type="dxa" w:w="2880"/>
          </w:tcPr>
          <w:p>
            <w:r>
              <w:t>p.1, line 14</w:t>
            </w:r>
          </w:p>
        </w:tc>
      </w:tr>
      <w:tr>
        <w:tc>
          <w:tcPr>
            <w:tcW w:type="dxa" w:w="2880"/>
          </w:tcPr>
          <w:p>
            <w:r>
              <w:t>Abstract  3a</w:t>
            </w:r>
          </w:p>
        </w:tc>
        <w:tc>
          <w:tcPr>
            <w:tcW w:type="dxa" w:w="2880"/>
          </w:tcPr>
          <w:p>
            <w:r>
              <w:t>Introduction—one or two sentences summarizing why this case is unique</w:t>
            </w:r>
          </w:p>
        </w:tc>
        <w:tc>
          <w:tcPr>
            <w:tcW w:type="dxa" w:w="2880"/>
          </w:tcPr>
          <w:p>
            <w:r>
              <w:t>Abstract, “Background”, p.1, lines 19–25</w:t>
            </w:r>
          </w:p>
        </w:tc>
      </w:tr>
      <w:tr>
        <w:tc>
          <w:tcPr>
            <w:tcW w:type="dxa" w:w="2880"/>
          </w:tcPr>
          <w:p>
            <w:r>
              <w:t>Abstract  3b</w:t>
            </w:r>
          </w:p>
        </w:tc>
        <w:tc>
          <w:tcPr>
            <w:tcW w:type="dxa" w:w="2880"/>
          </w:tcPr>
          <w:p>
            <w:r>
              <w:t>Case presentation—brief description of the patient's characteristics and main symptoms</w:t>
            </w:r>
          </w:p>
        </w:tc>
        <w:tc>
          <w:tcPr>
            <w:tcW w:type="dxa" w:w="2880"/>
          </w:tcPr>
          <w:p>
            <w:r>
              <w:t>Abstract, “Case presentation”, p.1, lines 27–34</w:t>
            </w:r>
          </w:p>
        </w:tc>
      </w:tr>
      <w:tr>
        <w:tc>
          <w:tcPr>
            <w:tcW w:type="dxa" w:w="2880"/>
          </w:tcPr>
          <w:p>
            <w:r>
              <w:t>Abstract  3c</w:t>
            </w:r>
          </w:p>
        </w:tc>
        <w:tc>
          <w:tcPr>
            <w:tcW w:type="dxa" w:w="2880"/>
          </w:tcPr>
          <w:p>
            <w:r>
              <w:t>Diagnostic methods—diagnostic methods and the main diagnoses</w:t>
            </w:r>
          </w:p>
        </w:tc>
        <w:tc>
          <w:tcPr>
            <w:tcW w:type="dxa" w:w="2880"/>
          </w:tcPr>
          <w:p>
            <w:r>
              <w:t>Abstract, p.1, lines 27–34; details p.4–5, lines 106–128</w:t>
            </w:r>
          </w:p>
        </w:tc>
      </w:tr>
      <w:tr>
        <w:tc>
          <w:tcPr>
            <w:tcW w:type="dxa" w:w="2880"/>
          </w:tcPr>
          <w:p>
            <w:r>
              <w:t>Abstract  3d</w:t>
            </w:r>
          </w:p>
        </w:tc>
        <w:tc>
          <w:tcPr>
            <w:tcW w:type="dxa" w:w="2880"/>
          </w:tcPr>
          <w:p>
            <w:r>
              <w:t>Follow-up and outcomes—main treatments and outcomes</w:t>
            </w:r>
          </w:p>
        </w:tc>
        <w:tc>
          <w:tcPr>
            <w:tcW w:type="dxa" w:w="2880"/>
          </w:tcPr>
          <w:p>
            <w:r>
              <w:t>Abstract, p.2, lines 36–42; follow-up p.5, lines 130–135</w:t>
            </w:r>
          </w:p>
        </w:tc>
      </w:tr>
      <w:tr>
        <w:tc>
          <w:tcPr>
            <w:tcW w:type="dxa" w:w="2880"/>
          </w:tcPr>
          <w:p>
            <w:r>
              <w:t>Abstract  3e</w:t>
            </w:r>
          </w:p>
        </w:tc>
        <w:tc>
          <w:tcPr>
            <w:tcW w:type="dxa" w:w="2880"/>
          </w:tcPr>
          <w:p>
            <w:r>
              <w:t>Conclusions—the main “take-away” lessons of this case report</w:t>
            </w:r>
          </w:p>
        </w:tc>
        <w:tc>
          <w:tcPr>
            <w:tcW w:type="dxa" w:w="2880"/>
          </w:tcPr>
          <w:p>
            <w:r>
              <w:t>Abstract, “Conclusions”, p.2, lines 36–42</w:t>
            </w:r>
          </w:p>
        </w:tc>
      </w:tr>
      <w:tr>
        <w:tc>
          <w:tcPr>
            <w:tcW w:type="dxa" w:w="2880"/>
          </w:tcPr>
          <w:p>
            <w:r>
              <w:t>Introduction  4</w:t>
            </w:r>
          </w:p>
        </w:tc>
        <w:tc>
          <w:tcPr>
            <w:tcW w:type="dxa" w:w="2880"/>
          </w:tcPr>
          <w:p>
            <w:r>
              <w:t>Brief background summary of the case and its importance</w:t>
            </w:r>
          </w:p>
        </w:tc>
        <w:tc>
          <w:tcPr>
            <w:tcW w:type="dxa" w:w="2880"/>
          </w:tcPr>
          <w:p>
            <w:r>
              <w:t>Background, p.2, lines 45–61</w:t>
            </w:r>
          </w:p>
        </w:tc>
      </w:tr>
      <w:tr>
        <w:tc>
          <w:tcPr>
            <w:tcW w:type="dxa" w:w="2880"/>
          </w:tcPr>
          <w:p>
            <w:r>
              <w:t>Introduction  5a</w:t>
            </w:r>
          </w:p>
        </w:tc>
        <w:tc>
          <w:tcPr>
            <w:tcW w:type="dxa" w:w="2880"/>
          </w:tcPr>
          <w:p>
            <w:r>
              <w:t>Prompt—what is unique about this case and what does it add</w:t>
            </w:r>
          </w:p>
        </w:tc>
        <w:tc>
          <w:tcPr>
            <w:tcW w:type="dxa" w:w="2880"/>
          </w:tcPr>
          <w:p>
            <w:r>
              <w:t>Background, p.2, lines 47–61</w:t>
            </w:r>
          </w:p>
        </w:tc>
      </w:tr>
      <w:tr>
        <w:tc>
          <w:tcPr>
            <w:tcW w:type="dxa" w:w="2880"/>
          </w:tcPr>
          <w:p>
            <w:r>
              <w:t>Introduction  5b</w:t>
            </w:r>
          </w:p>
        </w:tc>
        <w:tc>
          <w:tcPr>
            <w:tcW w:type="dxa" w:w="2880"/>
          </w:tcPr>
          <w:p>
            <w:r>
              <w:t>Purpose of the case report and what it illustrates</w:t>
            </w:r>
          </w:p>
        </w:tc>
        <w:tc>
          <w:tcPr>
            <w:tcW w:type="dxa" w:w="2880"/>
          </w:tcPr>
          <w:p>
            <w:r>
              <w:t>Background, p.2, lines 54–61</w:t>
            </w:r>
          </w:p>
        </w:tc>
      </w:tr>
      <w:tr>
        <w:tc>
          <w:tcPr>
            <w:tcW w:type="dxa" w:w="2880"/>
          </w:tcPr>
          <w:p>
            <w:r>
              <w:t>Patient Information  6a</w:t>
            </w:r>
          </w:p>
        </w:tc>
        <w:tc>
          <w:tcPr>
            <w:tcW w:type="dxa" w:w="2880"/>
          </w:tcPr>
          <w:p>
            <w:r>
              <w:t>De-identified patient-specific information (demographics, other identifiers)</w:t>
            </w:r>
          </w:p>
        </w:tc>
        <w:tc>
          <w:tcPr>
            <w:tcW w:type="dxa" w:w="2880"/>
          </w:tcPr>
          <w:p>
            <w:r>
              <w:t>p.3, lines 66–72 (50-year-old man, no identifying details)</w:t>
            </w:r>
          </w:p>
        </w:tc>
      </w:tr>
      <w:tr>
        <w:tc>
          <w:tcPr>
            <w:tcW w:type="dxa" w:w="2880"/>
          </w:tcPr>
          <w:p>
            <w:r>
              <w:t>Patient Information  6b</w:t>
            </w:r>
          </w:p>
        </w:tc>
        <w:tc>
          <w:tcPr>
            <w:tcW w:type="dxa" w:w="2880"/>
          </w:tcPr>
          <w:p>
            <w:r>
              <w:t>Main concerns and symptoms of the patient</w:t>
            </w:r>
          </w:p>
        </w:tc>
        <w:tc>
          <w:tcPr>
            <w:tcW w:type="dxa" w:w="2880"/>
          </w:tcPr>
          <w:p>
            <w:r>
              <w:t>p.3, lines 66–80</w:t>
            </w:r>
          </w:p>
        </w:tc>
      </w:tr>
      <w:tr>
        <w:tc>
          <w:tcPr>
            <w:tcW w:type="dxa" w:w="2880"/>
          </w:tcPr>
          <w:p>
            <w:r>
              <w:t>Patient Information  6c</w:t>
            </w:r>
          </w:p>
        </w:tc>
        <w:tc>
          <w:tcPr>
            <w:tcW w:type="dxa" w:w="2880"/>
          </w:tcPr>
          <w:p>
            <w:r>
              <w:t>Medical, family, and psychosocial history</w:t>
            </w:r>
          </w:p>
        </w:tc>
        <w:tc>
          <w:tcPr>
            <w:tcW w:type="dxa" w:w="2880"/>
          </w:tcPr>
          <w:p>
            <w:r>
              <w:t>p.3, lines 66–72 (medical/family history reviewed)</w:t>
            </w:r>
          </w:p>
        </w:tc>
      </w:tr>
      <w:tr>
        <w:tc>
          <w:tcPr>
            <w:tcW w:type="dxa" w:w="2880"/>
          </w:tcPr>
          <w:p>
            <w:r>
              <w:t>Patient Information  6d</w:t>
            </w:r>
          </w:p>
        </w:tc>
        <w:tc>
          <w:tcPr>
            <w:tcW w:type="dxa" w:w="2880"/>
          </w:tcPr>
          <w:p>
            <w:r>
              <w:t>Relevant past interventions and their outcomes</w:t>
            </w:r>
          </w:p>
        </w:tc>
        <w:tc>
          <w:tcPr>
            <w:tcW w:type="dxa" w:w="2880"/>
          </w:tcPr>
          <w:p>
            <w:r>
              <w:t>p.3, lines 66–72 (3 months of antibiotics and warm compresses, unsuccessful)</w:t>
            </w:r>
          </w:p>
        </w:tc>
      </w:tr>
      <w:tr>
        <w:tc>
          <w:tcPr>
            <w:tcW w:type="dxa" w:w="2880"/>
          </w:tcPr>
          <w:p>
            <w:r>
              <w:t>Clinical Findings  7</w:t>
            </w:r>
          </w:p>
        </w:tc>
        <w:tc>
          <w:tcPr>
            <w:tcW w:type="dxa" w:w="2880"/>
          </w:tcPr>
          <w:p>
            <w:r>
              <w:t>Relevant physical examination findings and clinical assessment</w:t>
            </w:r>
          </w:p>
        </w:tc>
        <w:tc>
          <w:tcPr>
            <w:tcW w:type="dxa" w:w="2880"/>
          </w:tcPr>
          <w:p>
            <w:r>
              <w:t>p.3, lines 74–80</w:t>
            </w:r>
          </w:p>
        </w:tc>
      </w:tr>
      <w:tr>
        <w:tc>
          <w:tcPr>
            <w:tcW w:type="dxa" w:w="2880"/>
          </w:tcPr>
          <w:p>
            <w:r>
              <w:t>Timeline  8</w:t>
            </w:r>
          </w:p>
        </w:tc>
        <w:tc>
          <w:tcPr>
            <w:tcW w:type="dxa" w:w="2880"/>
          </w:tcPr>
          <w:p>
            <w:r>
              <w:t>Important dates and times in this case (table)</w:t>
            </w:r>
          </w:p>
        </w:tc>
        <w:tc>
          <w:tcPr>
            <w:tcW w:type="dxa" w:w="2880"/>
          </w:tcPr>
          <w:p>
            <w:r>
              <w:t>Timeline table, p.3–4, lines 82–103</w:t>
            </w:r>
          </w:p>
        </w:tc>
      </w:tr>
      <w:tr>
        <w:tc>
          <w:tcPr>
            <w:tcW w:type="dxa" w:w="2880"/>
          </w:tcPr>
          <w:p>
            <w:r>
              <w:t>Diagnostic Assessment  9a</w:t>
            </w:r>
          </w:p>
        </w:tc>
        <w:tc>
          <w:tcPr>
            <w:tcW w:type="dxa" w:w="2880"/>
          </w:tcPr>
          <w:p>
            <w:r>
              <w:t>Diagnostic methods (physical examination, laboratory testing, imaging, histopathology)</w:t>
            </w:r>
          </w:p>
        </w:tc>
        <w:tc>
          <w:tcPr>
            <w:tcW w:type="dxa" w:w="2880"/>
          </w:tcPr>
          <w:p>
            <w:r>
              <w:t>p.3, lines 74–80; p.4, lines 106–110; p.5, lines 120–128</w:t>
            </w:r>
          </w:p>
        </w:tc>
      </w:tr>
      <w:tr>
        <w:tc>
          <w:tcPr>
            <w:tcW w:type="dxa" w:w="2880"/>
          </w:tcPr>
          <w:p>
            <w:r>
              <w:t>Diagnostic Assessment  9b</w:t>
            </w:r>
          </w:p>
        </w:tc>
        <w:tc>
          <w:tcPr>
            <w:tcW w:type="dxa" w:w="2880"/>
          </w:tcPr>
          <w:p>
            <w:r>
              <w:t>Diagnostic challenges (differential diagnosis; additional tests considered)</w:t>
            </w:r>
          </w:p>
        </w:tc>
        <w:tc>
          <w:tcPr>
            <w:tcW w:type="dxa" w:w="2880"/>
          </w:tcPr>
          <w:p>
            <w:r>
              <w:t>p.4, lines 106–110 and p.6, lines 147–168 (lymphoma mimicked on MRI; differential of spindle-cell tumors; STAT6 decisive)</w:t>
            </w:r>
          </w:p>
        </w:tc>
      </w:tr>
      <w:tr>
        <w:tc>
          <w:tcPr>
            <w:tcW w:type="dxa" w:w="2880"/>
          </w:tcPr>
          <w:p>
            <w:r>
              <w:t>Diagnostic Assessment  9c</w:t>
            </w:r>
          </w:p>
        </w:tc>
        <w:tc>
          <w:tcPr>
            <w:tcW w:type="dxa" w:w="2880"/>
          </w:tcPr>
          <w:p>
            <w:r>
              <w:t>Prognostic characteristics (e.g., staging) where applicable</w:t>
            </w:r>
          </w:p>
        </w:tc>
        <w:tc>
          <w:tcPr>
            <w:tcW w:type="dxa" w:w="2880"/>
          </w:tcPr>
          <w:p>
            <w:r>
              <w:t>p.5, lines 120–128 and p.6, lines 156–168 (Ki-67 ≈1%, indolent lesion)</w:t>
            </w:r>
          </w:p>
        </w:tc>
      </w:tr>
      <w:tr>
        <w:tc>
          <w:tcPr>
            <w:tcW w:type="dxa" w:w="2880"/>
          </w:tcPr>
          <w:p>
            <w:r>
              <w:t>Therapeutic Intervention  10a</w:t>
            </w:r>
          </w:p>
        </w:tc>
        <w:tc>
          <w:tcPr>
            <w:tcW w:type="dxa" w:w="2880"/>
          </w:tcPr>
          <w:p>
            <w:r>
              <w:t>Types of intervention (pharmacologic, surgical, preventive, self-care)</w:t>
            </w:r>
          </w:p>
        </w:tc>
        <w:tc>
          <w:tcPr>
            <w:tcW w:type="dxa" w:w="2880"/>
          </w:tcPr>
          <w:p>
            <w:r>
              <w:t>p.4, lines 112–118 (surgical excision with bicanalicular intubation)</w:t>
            </w:r>
          </w:p>
        </w:tc>
      </w:tr>
      <w:tr>
        <w:tc>
          <w:tcPr>
            <w:tcW w:type="dxa" w:w="2880"/>
          </w:tcPr>
          <w:p>
            <w:r>
              <w:t>Therapeutic Intervention  10b</w:t>
            </w:r>
          </w:p>
        </w:tc>
        <w:tc>
          <w:tcPr>
            <w:tcW w:type="dxa" w:w="2880"/>
          </w:tcPr>
          <w:p>
            <w:r>
              <w:t>Administration of intervention (dosage, strength, duration)</w:t>
            </w:r>
          </w:p>
        </w:tc>
        <w:tc>
          <w:tcPr>
            <w:tcW w:type="dxa" w:w="2880"/>
          </w:tcPr>
          <w:p>
            <w:r>
              <w:t>p.4, lines 112–118 (2-mm margin; silicone bicanalicular stents)</w:t>
            </w:r>
          </w:p>
        </w:tc>
      </w:tr>
      <w:tr>
        <w:tc>
          <w:tcPr>
            <w:tcW w:type="dxa" w:w="2880"/>
          </w:tcPr>
          <w:p>
            <w:r>
              <w:t>Therapeutic Intervention  10c</w:t>
            </w:r>
          </w:p>
        </w:tc>
        <w:tc>
          <w:tcPr>
            <w:tcW w:type="dxa" w:w="2880"/>
          </w:tcPr>
          <w:p>
            <w:r>
              <w:t>Changes in intervention (with rationale)</w:t>
            </w:r>
          </w:p>
        </w:tc>
        <w:tc>
          <w:tcPr>
            <w:tcW w:type="dxa" w:w="2880"/>
          </w:tcPr>
          <w:p>
            <w:r>
              <w:t>Not applicable—single planned procedure, no change in intervention</w:t>
            </w:r>
          </w:p>
        </w:tc>
      </w:tr>
      <w:tr>
        <w:tc>
          <w:tcPr>
            <w:tcW w:type="dxa" w:w="2880"/>
          </w:tcPr>
          <w:p>
            <w:r>
              <w:t>Follow-up and Outcomes  11a</w:t>
            </w:r>
          </w:p>
        </w:tc>
        <w:tc>
          <w:tcPr>
            <w:tcW w:type="dxa" w:w="2880"/>
          </w:tcPr>
          <w:p>
            <w:r>
              <w:t>Clinician- and patient-assessed outcomes (when appropriate)</w:t>
            </w:r>
          </w:p>
        </w:tc>
        <w:tc>
          <w:tcPr>
            <w:tcW w:type="dxa" w:w="2880"/>
          </w:tcPr>
          <w:p>
            <w:r>
              <w:t>p.5, lines 130–135 and Patient perspective, p.8, lines 211–217</w:t>
            </w:r>
          </w:p>
        </w:tc>
      </w:tr>
      <w:tr>
        <w:tc>
          <w:tcPr>
            <w:tcW w:type="dxa" w:w="2880"/>
          </w:tcPr>
          <w:p>
            <w:r>
              <w:t>Follow-up and Outcomes  11b</w:t>
            </w:r>
          </w:p>
        </w:tc>
        <w:tc>
          <w:tcPr>
            <w:tcW w:type="dxa" w:w="2880"/>
          </w:tcPr>
          <w:p>
            <w:r>
              <w:t>Important follow-up diagnostic and other test results</w:t>
            </w:r>
          </w:p>
        </w:tc>
        <w:tc>
          <w:tcPr>
            <w:tcW w:type="dxa" w:w="2880"/>
          </w:tcPr>
          <w:p>
            <w:r>
              <w:t>p.5, lines 130–135 (patent irrigation without reflux; no recurrence at 1 month)</w:t>
            </w:r>
          </w:p>
        </w:tc>
      </w:tr>
      <w:tr>
        <w:tc>
          <w:tcPr>
            <w:tcW w:type="dxa" w:w="2880"/>
          </w:tcPr>
          <w:p>
            <w:r>
              <w:t>Follow-up and Outcomes  11c</w:t>
            </w:r>
          </w:p>
        </w:tc>
        <w:tc>
          <w:tcPr>
            <w:tcW w:type="dxa" w:w="2880"/>
          </w:tcPr>
          <w:p>
            <w:r>
              <w:t>Intervention adherence and tolerability (how this was assessed)</w:t>
            </w:r>
          </w:p>
        </w:tc>
        <w:tc>
          <w:tcPr>
            <w:tcW w:type="dxa" w:w="2880"/>
          </w:tcPr>
          <w:p>
            <w:r>
              <w:t>Not applicable—surgical intervention with uncomplicated recovery</w:t>
            </w:r>
          </w:p>
        </w:tc>
      </w:tr>
      <w:tr>
        <w:tc>
          <w:tcPr>
            <w:tcW w:type="dxa" w:w="2880"/>
          </w:tcPr>
          <w:p>
            <w:r>
              <w:t>Follow-up and Outcomes  11d</w:t>
            </w:r>
          </w:p>
        </w:tc>
        <w:tc>
          <w:tcPr>
            <w:tcW w:type="dxa" w:w="2880"/>
          </w:tcPr>
          <w:p>
            <w:r>
              <w:t>Adverse and unanticipated events</w:t>
            </w:r>
          </w:p>
        </w:tc>
        <w:tc>
          <w:tcPr>
            <w:tcW w:type="dxa" w:w="2880"/>
          </w:tcPr>
          <w:p>
            <w:r>
              <w:t>None occurred; stated p.4, lines 112–118 and p.5, lines 130–135</w:t>
            </w:r>
          </w:p>
        </w:tc>
      </w:tr>
      <w:tr>
        <w:tc>
          <w:tcPr>
            <w:tcW w:type="dxa" w:w="2880"/>
          </w:tcPr>
          <w:p>
            <w:r>
              <w:t>Discussion  12a</w:t>
            </w:r>
          </w:p>
        </w:tc>
        <w:tc>
          <w:tcPr>
            <w:tcW w:type="dxa" w:w="2880"/>
          </w:tcPr>
          <w:p>
            <w:r>
              <w:t>Discussion of the strengths and limitations in the management of this case</w:t>
            </w:r>
          </w:p>
        </w:tc>
        <w:tc>
          <w:tcPr>
            <w:tcW w:type="dxa" w:w="2880"/>
          </w:tcPr>
          <w:p>
            <w:r>
              <w:t>p.7, lines 177–184</w:t>
            </w:r>
          </w:p>
        </w:tc>
      </w:tr>
      <w:tr>
        <w:tc>
          <w:tcPr>
            <w:tcW w:type="dxa" w:w="2880"/>
          </w:tcPr>
          <w:p>
            <w:r>
              <w:t>Discussion  12b</w:t>
            </w:r>
          </w:p>
        </w:tc>
        <w:tc>
          <w:tcPr>
            <w:tcW w:type="dxa" w:w="2880"/>
          </w:tcPr>
          <w:p>
            <w:r>
              <w:t>Discussion of the relevant medical literature</w:t>
            </w:r>
          </w:p>
        </w:tc>
        <w:tc>
          <w:tcPr>
            <w:tcW w:type="dxa" w:w="2880"/>
          </w:tcPr>
          <w:p>
            <w:r>
              <w:t>p.2, lines 47–61; p.6, lines 147–175</w:t>
            </w:r>
          </w:p>
        </w:tc>
      </w:tr>
      <w:tr>
        <w:tc>
          <w:tcPr>
            <w:tcW w:type="dxa" w:w="2880"/>
          </w:tcPr>
          <w:p>
            <w:r>
              <w:t>Discussion  12c</w:t>
            </w:r>
          </w:p>
        </w:tc>
        <w:tc>
          <w:tcPr>
            <w:tcW w:type="dxa" w:w="2880"/>
          </w:tcPr>
          <w:p>
            <w:r>
              <w:t>Conclusions (including rationale for conclusions)</w:t>
            </w:r>
          </w:p>
        </w:tc>
        <w:tc>
          <w:tcPr>
            <w:tcW w:type="dxa" w:w="2880"/>
          </w:tcPr>
          <w:p>
            <w:r>
              <w:t>p.7, lines 187–193</w:t>
            </w:r>
          </w:p>
        </w:tc>
      </w:tr>
      <w:tr>
        <w:tc>
          <w:tcPr>
            <w:tcW w:type="dxa" w:w="2880"/>
          </w:tcPr>
          <w:p>
            <w:r>
              <w:t>Discussion  12d</w:t>
            </w:r>
          </w:p>
        </w:tc>
        <w:tc>
          <w:tcPr>
            <w:tcW w:type="dxa" w:w="2880"/>
          </w:tcPr>
          <w:p>
            <w:r>
              <w:t>The main “take-away” lessons of this case report</w:t>
            </w:r>
          </w:p>
        </w:tc>
        <w:tc>
          <w:tcPr>
            <w:tcW w:type="dxa" w:w="2880"/>
          </w:tcPr>
          <w:p>
            <w:r>
              <w:t>p.7, lines 189–193</w:t>
            </w:r>
          </w:p>
        </w:tc>
      </w:tr>
      <w:tr>
        <w:tc>
          <w:tcPr>
            <w:tcW w:type="dxa" w:w="2880"/>
          </w:tcPr>
          <w:p>
            <w:r>
              <w:t>Informed Consent  13</w:t>
            </w:r>
          </w:p>
        </w:tc>
        <w:tc>
          <w:tcPr>
            <w:tcW w:type="dxa" w:w="2880"/>
          </w:tcPr>
          <w:p>
            <w:r>
              <w:t>Was informed consent obtained from the patient? (Yes/No)</w:t>
            </w:r>
          </w:p>
        </w:tc>
        <w:tc>
          <w:tcPr>
            <w:tcW w:type="dxa" w:w="2880"/>
          </w:tcPr>
          <w:p>
            <w:r>
              <w:t>Yes. Consent for publication: p.8, lines 228–231; ethics approval: p.8, lines 222–226</w:t>
            </w:r>
          </w:p>
        </w:tc>
      </w:tr>
    </w:tbl>
    <w:p/>
    <w:p>
      <w:r>
        <w:t>References: Gagnier JJ, Kienle G, Altman DG, Moher D, Sox H, Riley D; CARE Group. The CARE guidelines: consensus-based clinical case reporting guideline development. J Clin Epidemiol. 2014;67(1):46–51.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