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1C19C">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1</w:t>
      </w:r>
    </w:p>
    <w:p w14:paraId="6D77706C">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drawing>
          <wp:inline distT="0" distB="0" distL="114300" distR="114300">
            <wp:extent cx="5270500" cy="3963035"/>
            <wp:effectExtent l="0" t="0" r="6350" b="8890"/>
            <wp:docPr id="3" name="图片 3" descr="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ure 1"/>
                    <pic:cNvPicPr>
                      <a:picLocks noChangeAspect="1"/>
                    </pic:cNvPicPr>
                  </pic:nvPicPr>
                  <pic:blipFill>
                    <a:blip r:embed="rId6"/>
                    <a:stretch>
                      <a:fillRect/>
                    </a:stretch>
                  </pic:blipFill>
                  <pic:spPr>
                    <a:xfrm>
                      <a:off x="0" y="0"/>
                      <a:ext cx="5270500" cy="3963035"/>
                    </a:xfrm>
                    <a:prstGeom prst="rect">
                      <a:avLst/>
                    </a:prstGeom>
                  </pic:spPr>
                </pic:pic>
              </a:graphicData>
            </a:graphic>
          </wp:inline>
        </w:drawing>
      </w:r>
    </w:p>
    <w:p w14:paraId="6F186C52">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eastAsia"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Supplementary Figure 1</w:t>
      </w:r>
      <w:r>
        <w:rPr>
          <w:rFonts w:hint="eastAsia" w:ascii="Times New Roman" w:hAnsi="Times New Roman" w:cs="Times New Roman"/>
          <w:b/>
          <w:bCs/>
          <w:sz w:val="22"/>
          <w:szCs w:val="22"/>
          <w:lang w:val="en-US" w:eastAsia="zh-CN"/>
        </w:rPr>
        <w:t xml:space="preserve">. Composite contribution scores identifying fibroblasts as the </w:t>
      </w:r>
    </w:p>
    <w:p w14:paraId="1FE8C2B2">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default"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primary cellular substrate of neurogenesis mimicry.</w:t>
      </w:r>
    </w:p>
    <w:p w14:paraId="1B3648FE">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default" w:ascii="Times New Roman" w:hAnsi="Times New Roman" w:cs="Times New Roman"/>
          <w:b/>
          <w:bCs/>
          <w:sz w:val="22"/>
          <w:szCs w:val="22"/>
          <w:lang w:val="en-US" w:eastAsia="zh-CN"/>
        </w:rPr>
      </w:pPr>
      <w:r>
        <w:rPr>
          <w:rFonts w:hint="eastAsia" w:ascii="Times New Roman" w:hAnsi="Times New Roman" w:eastAsia="宋体" w:cs="Times New Roman"/>
          <w:i w:val="0"/>
          <w:iCs w:val="0"/>
          <w:caps w:val="0"/>
          <w:color w:val="0F1115"/>
          <w:spacing w:val="0"/>
          <w:sz w:val="22"/>
          <w:szCs w:val="22"/>
          <w:shd w:val="clear" w:color="auto" w:fill="FFFFFF"/>
          <w:lang w:val="en-US" w:eastAsia="zh-CN"/>
        </w:rPr>
        <w:t xml:space="preserve">(A) </w:t>
      </w:r>
      <w:r>
        <w:rPr>
          <w:rFonts w:hint="default" w:ascii="Times New Roman" w:hAnsi="Times New Roman" w:eastAsia="Segoe UI" w:cs="Times New Roman"/>
          <w:i w:val="0"/>
          <w:iCs w:val="0"/>
          <w:caps w:val="0"/>
          <w:color w:val="0F1115"/>
          <w:spacing w:val="0"/>
          <w:sz w:val="22"/>
          <w:szCs w:val="22"/>
          <w:shd w:val="clear" w:color="auto" w:fill="FFFFFF"/>
        </w:rPr>
        <w:t>Stacked bar plot of composite contribution scores from three independent methods.</w:t>
      </w:r>
    </w:p>
    <w:p w14:paraId="183C287A">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4689AB90">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1869D0A7">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4F70335A">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1262A449">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64EC0F12">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33E42C94">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01A73CA3">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7148EA0D">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79A9DEDA">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2</w:t>
      </w:r>
    </w:p>
    <w:p w14:paraId="51F586AD">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210" w:hangingChars="100"/>
        <w:textAlignment w:val="baseline"/>
        <w:rPr>
          <w:rFonts w:hint="default" w:ascii="Times New Roman" w:hAnsi="Times New Roman" w:eastAsia="宋体" w:cs="Times New Roman"/>
          <w:i w:val="0"/>
          <w:iCs w:val="0"/>
          <w:caps w:val="0"/>
          <w:color w:val="0F1115"/>
          <w:spacing w:val="0"/>
          <w:sz w:val="21"/>
          <w:szCs w:val="21"/>
          <w:shd w:val="clear" w:color="auto" w:fill="FFFFFF"/>
          <w:lang w:val="en-US" w:eastAsia="zh-CN"/>
        </w:rPr>
      </w:pPr>
      <w:r>
        <w:rPr>
          <w:rFonts w:hint="default" w:ascii="Times New Roman" w:hAnsi="Times New Roman" w:eastAsia="宋体" w:cs="Times New Roman"/>
          <w:i w:val="0"/>
          <w:iCs w:val="0"/>
          <w:caps w:val="0"/>
          <w:color w:val="0F1115"/>
          <w:spacing w:val="0"/>
          <w:sz w:val="21"/>
          <w:szCs w:val="21"/>
          <w:shd w:val="clear" w:color="auto" w:fill="FFFFFF"/>
          <w:lang w:val="en-US" w:eastAsia="zh-CN"/>
        </w:rPr>
        <w:drawing>
          <wp:inline distT="0" distB="0" distL="114300" distR="114300">
            <wp:extent cx="5287010" cy="3192780"/>
            <wp:effectExtent l="0" t="0" r="8890" b="7620"/>
            <wp:docPr id="4" name="图片 4"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1"/>
                    <pic:cNvPicPr>
                      <a:picLocks noChangeAspect="1"/>
                    </pic:cNvPicPr>
                  </pic:nvPicPr>
                  <pic:blipFill>
                    <a:blip r:embed="rId7"/>
                    <a:stretch>
                      <a:fillRect/>
                    </a:stretch>
                  </pic:blipFill>
                  <pic:spPr>
                    <a:xfrm>
                      <a:off x="0" y="0"/>
                      <a:ext cx="5287010" cy="3192780"/>
                    </a:xfrm>
                    <a:prstGeom prst="rect">
                      <a:avLst/>
                    </a:prstGeom>
                  </pic:spPr>
                </pic:pic>
              </a:graphicData>
            </a:graphic>
          </wp:inline>
        </w:drawing>
      </w:r>
    </w:p>
    <w:p w14:paraId="78C4AE4F">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eastAsia"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Supplementary Figure</w:t>
      </w:r>
      <w:r>
        <w:rPr>
          <w:rFonts w:hint="eastAsia" w:ascii="Times New Roman" w:hAnsi="Times New Roman" w:cs="Times New Roman"/>
          <w:b/>
          <w:bCs/>
          <w:sz w:val="22"/>
          <w:szCs w:val="22"/>
          <w:lang w:val="en-US" w:eastAsia="zh-CN"/>
        </w:rPr>
        <w:t xml:space="preserve">2. Stemness, Hallmark pathway and metabolic reprogramming </w:t>
      </w:r>
    </w:p>
    <w:p w14:paraId="39380886">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default"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associated with neurogenesis status.</w:t>
      </w:r>
    </w:p>
    <w:p w14:paraId="12CF58B5">
      <w:pPr>
        <w:keepNext w:val="0"/>
        <w:keepLines w:val="0"/>
        <w:pageBreakBefore w:val="0"/>
        <w:widowControl/>
        <w:numPr>
          <w:ilvl w:val="0"/>
          <w:numId w:val="0"/>
        </w:numPr>
        <w:kinsoku w:val="0"/>
        <w:wordWrap/>
        <w:overflowPunct/>
        <w:topLinePunct w:val="0"/>
        <w:autoSpaceDE w:val="0"/>
        <w:autoSpaceDN w:val="0"/>
        <w:bidi w:val="0"/>
        <w:adjustRightInd w:val="0"/>
        <w:snapToGrid w:val="0"/>
        <w:ind w:left="200" w:leftChars="0" w:hanging="200" w:hangingChars="100"/>
        <w:textAlignment w:val="baseline"/>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A</w:t>
      </w:r>
      <w:r>
        <w:rPr>
          <w:rFonts w:hint="default" w:ascii="Times New Roman" w:hAnsi="Times New Roman" w:cs="Times New Roman"/>
          <w:sz w:val="20"/>
          <w:szCs w:val="20"/>
          <w:lang w:val="en-US" w:eastAsia="zh-CN"/>
        </w:rPr>
        <w:t>) UMAP visualization of CytoTRACE stemness scores.</w:t>
      </w:r>
    </w:p>
    <w:p w14:paraId="5994AEB4">
      <w:pPr>
        <w:keepNext w:val="0"/>
        <w:keepLines w:val="0"/>
        <w:pageBreakBefore w:val="0"/>
        <w:widowControl/>
        <w:numPr>
          <w:ilvl w:val="0"/>
          <w:numId w:val="0"/>
        </w:numPr>
        <w:kinsoku w:val="0"/>
        <w:wordWrap/>
        <w:overflowPunct/>
        <w:topLinePunct w:val="0"/>
        <w:autoSpaceDE w:val="0"/>
        <w:autoSpaceDN w:val="0"/>
        <w:bidi w:val="0"/>
        <w:adjustRightInd w:val="0"/>
        <w:snapToGrid w:val="0"/>
        <w:ind w:left="200" w:leftChars="0" w:hanging="200" w:hangingChars="100"/>
        <w:textAlignment w:val="baseline"/>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 xml:space="preserve">(B) Violin plots of CytoTRACE scores by cell type. </w:t>
      </w:r>
    </w:p>
    <w:p w14:paraId="0C35300E">
      <w:pPr>
        <w:keepNext w:val="0"/>
        <w:keepLines w:val="0"/>
        <w:pageBreakBefore w:val="0"/>
        <w:widowControl/>
        <w:numPr>
          <w:ilvl w:val="0"/>
          <w:numId w:val="0"/>
        </w:numPr>
        <w:kinsoku w:val="0"/>
        <w:wordWrap/>
        <w:overflowPunct/>
        <w:topLinePunct w:val="0"/>
        <w:autoSpaceDE w:val="0"/>
        <w:autoSpaceDN w:val="0"/>
        <w:bidi w:val="0"/>
        <w:adjustRightInd w:val="0"/>
        <w:snapToGrid w:val="0"/>
        <w:ind w:left="200" w:leftChars="0" w:hanging="200" w:hangingChars="100"/>
        <w:textAlignment w:val="baseline"/>
        <w:rPr>
          <w:rFonts w:hint="default" w:ascii="Times New Roman" w:hAnsi="Times New Roman" w:eastAsia="宋体" w:cs="Times New Roman"/>
          <w:i w:val="0"/>
          <w:iCs w:val="0"/>
          <w:caps w:val="0"/>
          <w:color w:val="0F1115"/>
          <w:spacing w:val="0"/>
          <w:sz w:val="21"/>
          <w:szCs w:val="21"/>
          <w:shd w:val="clear" w:color="auto" w:fill="FFFFFF"/>
          <w:lang w:val="en-US" w:eastAsia="zh-CN"/>
        </w:rPr>
      </w:pPr>
      <w:r>
        <w:rPr>
          <w:rFonts w:hint="default" w:ascii="Times New Roman" w:hAnsi="Times New Roman" w:cs="Times New Roman"/>
          <w:sz w:val="20"/>
          <w:szCs w:val="20"/>
          <w:lang w:val="en-US" w:eastAsia="zh-CN"/>
        </w:rPr>
        <w:t>(C) Heatmap of KEGG and Reactome metabolic pathway activities across cell types.</w:t>
      </w:r>
    </w:p>
    <w:p w14:paraId="5A115BDE">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3568D2AA">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2BA1B8F0">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62349DD2">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1E624A1B">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36600108">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2E44B216">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27A81ABB">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03101054">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6196AA21">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1BEA22AA">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5036429A">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3</w:t>
      </w:r>
    </w:p>
    <w:p w14:paraId="33C686D1">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220" w:hangingChars="100"/>
        <w:textAlignment w:val="baseline"/>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drawing>
          <wp:inline distT="0" distB="0" distL="114300" distR="114300">
            <wp:extent cx="5269230" cy="6274435"/>
            <wp:effectExtent l="0" t="0" r="7620" b="2540"/>
            <wp:docPr id="5" name="图片 5"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2"/>
                    <pic:cNvPicPr>
                      <a:picLocks noChangeAspect="1"/>
                    </pic:cNvPicPr>
                  </pic:nvPicPr>
                  <pic:blipFill>
                    <a:blip r:embed="rId8"/>
                    <a:stretch>
                      <a:fillRect/>
                    </a:stretch>
                  </pic:blipFill>
                  <pic:spPr>
                    <a:xfrm>
                      <a:off x="0" y="0"/>
                      <a:ext cx="5269230" cy="6274435"/>
                    </a:xfrm>
                    <a:prstGeom prst="rect">
                      <a:avLst/>
                    </a:prstGeom>
                  </pic:spPr>
                </pic:pic>
              </a:graphicData>
            </a:graphic>
          </wp:inline>
        </w:drawing>
      </w:r>
    </w:p>
    <w:p w14:paraId="581DD7BC">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eastAsia"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Supplementary Figure</w:t>
      </w:r>
      <w:r>
        <w:rPr>
          <w:rFonts w:hint="eastAsia" w:ascii="Times New Roman" w:hAnsi="Times New Roman" w:cs="Times New Roman"/>
          <w:b/>
          <w:bCs/>
          <w:sz w:val="22"/>
          <w:szCs w:val="22"/>
          <w:lang w:val="en-US" w:eastAsia="zh-CN"/>
        </w:rPr>
        <w:t xml:space="preserve">3. Clinical, functional and immune characterization of the three </w:t>
      </w:r>
    </w:p>
    <w:p w14:paraId="59F41EC3">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eastAsia"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 xml:space="preserve">consensus molecular subtypes defined by the fibroblast‑derived neurogenesis </w:t>
      </w:r>
    </w:p>
    <w:p w14:paraId="645A3DB0">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eastAsia"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signature.</w:t>
      </w:r>
    </w:p>
    <w:p w14:paraId="12011487">
      <w:pPr>
        <w:keepNext w:val="0"/>
        <w:keepLines w:val="0"/>
        <w:pageBreakBefore w:val="0"/>
        <w:widowControl/>
        <w:numPr>
          <w:ilvl w:val="0"/>
          <w:numId w:val="1"/>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 xml:space="preserve">Heatmap of top 25 signature genes with clinical annotation bars. </w:t>
      </w:r>
    </w:p>
    <w:p w14:paraId="4EED2552">
      <w:pPr>
        <w:keepNext w:val="0"/>
        <w:keepLines w:val="0"/>
        <w:pageBreakBefore w:val="0"/>
        <w:widowControl/>
        <w:numPr>
          <w:ilvl w:val="0"/>
          <w:numId w:val="1"/>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 xml:space="preserve">Box plots of CancerSEA functional state scores across subtypes. </w:t>
      </w:r>
    </w:p>
    <w:p w14:paraId="2034455B">
      <w:pPr>
        <w:keepNext w:val="0"/>
        <w:keepLines w:val="0"/>
        <w:pageBreakBefore w:val="0"/>
        <w:widowControl/>
        <w:numPr>
          <w:ilvl w:val="0"/>
          <w:numId w:val="1"/>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Box plots of stemness scores across subtypes.</w:t>
      </w:r>
    </w:p>
    <w:p w14:paraId="088C1837">
      <w:pPr>
        <w:keepNext w:val="0"/>
        <w:keepLines w:val="0"/>
        <w:pageBreakBefore w:val="0"/>
        <w:widowControl/>
        <w:numPr>
          <w:ilvl w:val="0"/>
          <w:numId w:val="1"/>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Comprehensive heatmap of immune cell estimates from seven algorithms across subtypes. *p &lt; 0.05, **p &lt; 0.01, ***p &lt; 0.001.</w:t>
      </w:r>
    </w:p>
    <w:p w14:paraId="3CD347FB">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220" w:hangingChars="100"/>
        <w:textAlignment w:val="baseline"/>
        <w:rPr>
          <w:rFonts w:hint="default" w:ascii="Times New Roman" w:hAnsi="Times New Roman" w:cs="Times New Roman"/>
          <w:b/>
          <w:bCs/>
          <w:sz w:val="22"/>
          <w:szCs w:val="22"/>
          <w:lang w:val="en-US" w:eastAsia="zh-CN"/>
        </w:rPr>
      </w:pPr>
    </w:p>
    <w:p w14:paraId="07C07BD1">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118E57C6">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4</w:t>
      </w:r>
    </w:p>
    <w:p w14:paraId="13CF6C54">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eastAsia"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drawing>
          <wp:inline distT="0" distB="0" distL="114300" distR="114300">
            <wp:extent cx="5271770" cy="7119620"/>
            <wp:effectExtent l="0" t="0" r="5080" b="5080"/>
            <wp:docPr id="6" name="图片 6"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3"/>
                    <pic:cNvPicPr>
                      <a:picLocks noChangeAspect="1"/>
                    </pic:cNvPicPr>
                  </pic:nvPicPr>
                  <pic:blipFill>
                    <a:blip r:embed="rId9"/>
                    <a:stretch>
                      <a:fillRect/>
                    </a:stretch>
                  </pic:blipFill>
                  <pic:spPr>
                    <a:xfrm>
                      <a:off x="0" y="0"/>
                      <a:ext cx="5271770" cy="7119620"/>
                    </a:xfrm>
                    <a:prstGeom prst="rect">
                      <a:avLst/>
                    </a:prstGeom>
                  </pic:spPr>
                </pic:pic>
              </a:graphicData>
            </a:graphic>
          </wp:inline>
        </w:drawing>
      </w:r>
    </w:p>
    <w:p w14:paraId="68B4C22E">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eastAsia"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Supplementary Figure</w:t>
      </w:r>
      <w:r>
        <w:rPr>
          <w:rFonts w:hint="eastAsia" w:ascii="Times New Roman" w:hAnsi="Times New Roman" w:cs="Times New Roman"/>
          <w:b/>
          <w:bCs/>
          <w:sz w:val="22"/>
          <w:szCs w:val="22"/>
          <w:lang w:val="en-US" w:eastAsia="zh-CN"/>
        </w:rPr>
        <w:t xml:space="preserve">4. Multi‑cohort univariate Cox regression forest plots of the top </w:t>
      </w:r>
    </w:p>
    <w:p w14:paraId="091AC556">
      <w:pPr>
        <w:keepNext w:val="0"/>
        <w:keepLines w:val="0"/>
        <w:pageBreakBefore w:val="0"/>
        <w:widowControl/>
        <w:kinsoku w:val="0"/>
        <w:wordWrap/>
        <w:overflowPunct/>
        <w:topLinePunct w:val="0"/>
        <w:autoSpaceDE w:val="0"/>
        <w:autoSpaceDN w:val="0"/>
        <w:bidi w:val="0"/>
        <w:adjustRightInd w:val="0"/>
        <w:snapToGrid w:val="0"/>
        <w:ind w:left="0" w:hanging="220" w:hangingChars="100"/>
        <w:textAlignment w:val="baseline"/>
        <w:rPr>
          <w:rFonts w:hint="eastAsia"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prognostic risk genes.</w:t>
      </w:r>
    </w:p>
    <w:p w14:paraId="2FB3036B">
      <w:pPr>
        <w:keepNext w:val="0"/>
        <w:keepLines w:val="0"/>
        <w:pageBreakBefore w:val="0"/>
        <w:widowControl/>
        <w:numPr>
          <w:ilvl w:val="0"/>
          <w:numId w:val="2"/>
        </w:numPr>
        <w:kinsoku w:val="0"/>
        <w:wordWrap/>
        <w:overflowPunct/>
        <w:topLinePunct w:val="0"/>
        <w:autoSpaceDE w:val="0"/>
        <w:autoSpaceDN w:val="0"/>
        <w:bidi w:val="0"/>
        <w:adjustRightInd w:val="0"/>
        <w:snapToGrid w:val="0"/>
        <w:ind w:left="220" w:leftChars="0" w:hanging="220" w:hangingChars="100"/>
        <w:textAlignment w:val="baseline"/>
        <w:rPr>
          <w:rFonts w:hint="default" w:ascii="Times New Roman" w:hAnsi="Times New Roman" w:cs="Times New Roman"/>
          <w:sz w:val="22"/>
          <w:szCs w:val="22"/>
          <w:lang w:val="en-US" w:eastAsia="zh-CN"/>
        </w:rPr>
      </w:pPr>
      <w:r>
        <w:rPr>
          <w:rFonts w:hint="eastAsia" w:ascii="Times New Roman" w:hAnsi="Times New Roman" w:cs="Times New Roman"/>
          <w:sz w:val="22"/>
          <w:szCs w:val="22"/>
          <w:lang w:val="en-US" w:eastAsia="zh-CN"/>
        </w:rPr>
        <w:t>D</w:t>
      </w:r>
      <w:r>
        <w:rPr>
          <w:rFonts w:hint="default" w:ascii="Times New Roman" w:hAnsi="Times New Roman" w:cs="Times New Roman"/>
          <w:sz w:val="22"/>
          <w:szCs w:val="22"/>
          <w:lang w:val="en-US" w:eastAsia="zh-CN"/>
        </w:rPr>
        <w:t xml:space="preserve">) Forest plots of the top univariate Cox regression risk genes in the TCGA, GSE26901, </w:t>
      </w:r>
    </w:p>
    <w:p w14:paraId="244DC8C9">
      <w:pPr>
        <w:keepNext w:val="0"/>
        <w:keepLines w:val="0"/>
        <w:pageBreakBefore w:val="0"/>
        <w:widowControl/>
        <w:numPr>
          <w:ilvl w:val="0"/>
          <w:numId w:val="0"/>
        </w:numPr>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4"/>
          <w:szCs w:val="24"/>
          <w:lang w:val="en-US" w:eastAsia="zh-CN"/>
        </w:rPr>
      </w:pPr>
      <w:r>
        <w:rPr>
          <w:rFonts w:hint="default" w:ascii="Times New Roman" w:hAnsi="Times New Roman" w:cs="Times New Roman"/>
          <w:sz w:val="22"/>
          <w:szCs w:val="22"/>
          <w:lang w:val="en-US" w:eastAsia="zh-CN"/>
        </w:rPr>
        <w:t>GSE62254, and merged cohorts. HR, hazard ratio; CI, confidence interval.</w:t>
      </w:r>
    </w:p>
    <w:p w14:paraId="0FE4FD2C">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47320A2E">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5</w:t>
      </w:r>
    </w:p>
    <w:p w14:paraId="61E0CDF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beforeLines="50" w:after="157" w:afterLines="50"/>
        <w:ind w:left="220" w:leftChars="0" w:hanging="220" w:hangingChars="100"/>
        <w:textAlignment w:val="baseline"/>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drawing>
          <wp:inline distT="0" distB="0" distL="114300" distR="114300">
            <wp:extent cx="5273675" cy="3268980"/>
            <wp:effectExtent l="0" t="0" r="3175" b="7620"/>
            <wp:docPr id="7" name="图片 7" descr="Supplementary 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ure 5"/>
                    <pic:cNvPicPr>
                      <a:picLocks noChangeAspect="1"/>
                    </pic:cNvPicPr>
                  </pic:nvPicPr>
                  <pic:blipFill>
                    <a:blip r:embed="rId10"/>
                    <a:stretch>
                      <a:fillRect/>
                    </a:stretch>
                  </pic:blipFill>
                  <pic:spPr>
                    <a:xfrm>
                      <a:off x="0" y="0"/>
                      <a:ext cx="5273675" cy="3268980"/>
                    </a:xfrm>
                    <a:prstGeom prst="rect">
                      <a:avLst/>
                    </a:prstGeom>
                  </pic:spPr>
                </pic:pic>
              </a:graphicData>
            </a:graphic>
          </wp:inline>
        </w:drawing>
      </w:r>
    </w:p>
    <w:p w14:paraId="2964A17C">
      <w:pPr>
        <w:keepNext w:val="0"/>
        <w:keepLines w:val="0"/>
        <w:pageBreakBefore w:val="0"/>
        <w:widowControl/>
        <w:numPr>
          <w:ilvl w:val="0"/>
          <w:numId w:val="0"/>
        </w:numPr>
        <w:kinsoku w:val="0"/>
        <w:wordWrap/>
        <w:overflowPunct/>
        <w:topLinePunct w:val="0"/>
        <w:autoSpaceDE w:val="0"/>
        <w:autoSpaceDN w:val="0"/>
        <w:bidi w:val="0"/>
        <w:adjustRightInd w:val="0"/>
        <w:snapToGrid w:val="0"/>
        <w:ind w:left="220" w:leftChars="0" w:hanging="220" w:hangingChars="100"/>
        <w:textAlignment w:val="baseline"/>
        <w:rPr>
          <w:rFonts w:hint="eastAsia"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Supplementary Figure</w:t>
      </w:r>
      <w:r>
        <w:rPr>
          <w:rFonts w:hint="eastAsia" w:ascii="Times New Roman" w:hAnsi="Times New Roman" w:cs="Times New Roman"/>
          <w:b/>
          <w:bCs/>
          <w:sz w:val="22"/>
          <w:szCs w:val="22"/>
          <w:lang w:val="en-US" w:eastAsia="zh-CN"/>
        </w:rPr>
        <w:t xml:space="preserve">5. Multivariate Cox regression analysis identifies the risk score as </w:t>
      </w:r>
    </w:p>
    <w:p w14:paraId="7A02F059">
      <w:pPr>
        <w:keepNext w:val="0"/>
        <w:keepLines w:val="0"/>
        <w:pageBreakBefore w:val="0"/>
        <w:widowControl/>
        <w:numPr>
          <w:ilvl w:val="0"/>
          <w:numId w:val="0"/>
        </w:numPr>
        <w:kinsoku w:val="0"/>
        <w:wordWrap/>
        <w:overflowPunct/>
        <w:topLinePunct w:val="0"/>
        <w:autoSpaceDE w:val="0"/>
        <w:autoSpaceDN w:val="0"/>
        <w:bidi w:val="0"/>
        <w:adjustRightInd w:val="0"/>
        <w:snapToGrid w:val="0"/>
        <w:ind w:left="220" w:leftChars="0" w:hanging="220" w:hangingChars="100"/>
        <w:textAlignment w:val="baseline"/>
        <w:rPr>
          <w:rFonts w:hint="default"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an independent prognostic factor.</w:t>
      </w:r>
    </w:p>
    <w:p w14:paraId="3564A0DC">
      <w:pPr>
        <w:keepNext w:val="0"/>
        <w:keepLines w:val="0"/>
        <w:pageBreakBefore w:val="0"/>
        <w:widowControl/>
        <w:numPr>
          <w:ilvl w:val="0"/>
          <w:numId w:val="3"/>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Forest plot of multivariate Cox regression analysis incorporating the risk score, age, gender and stage variables. Related genomic and functional analyses are presented in Supplementary Figure </w:t>
      </w:r>
      <w:r>
        <w:rPr>
          <w:rFonts w:hint="eastAsia" w:ascii="Times New Roman" w:hAnsi="Times New Roman" w:cs="Times New Roman"/>
          <w:sz w:val="21"/>
          <w:szCs w:val="21"/>
          <w:lang w:val="en-US" w:eastAsia="zh-CN"/>
        </w:rPr>
        <w:t>7</w:t>
      </w:r>
      <w:r>
        <w:rPr>
          <w:rFonts w:hint="default" w:ascii="Times New Roman" w:hAnsi="Times New Roman" w:cs="Times New Roman"/>
          <w:sz w:val="21"/>
          <w:szCs w:val="21"/>
          <w:lang w:val="en-US" w:eastAsia="zh-CN"/>
        </w:rPr>
        <w:t>. HR, hazard ratio; CI, confidence interval. *p &lt; 0.05, **p &lt; 0.01, ***p &lt; 0.001.</w:t>
      </w:r>
    </w:p>
    <w:p w14:paraId="3399EAA0">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7545FAED">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1BCFBBF7">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3EB0499D">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68089FA5">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200D21F7">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679C868C">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021CA711">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765FE538">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79B47598">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0619018F">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3C68D0E1">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6</w:t>
      </w:r>
    </w:p>
    <w:p w14:paraId="7BB1A97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beforeLines="50" w:after="157" w:afterLines="50"/>
        <w:ind w:left="220" w:leftChars="0" w:hanging="220" w:hangingChars="100"/>
        <w:textAlignment w:val="baseline"/>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drawing>
          <wp:inline distT="0" distB="0" distL="114300" distR="114300">
            <wp:extent cx="5271135" cy="6269355"/>
            <wp:effectExtent l="0" t="0" r="5715" b="7620"/>
            <wp:docPr id="8" name="图片 8" descr="Fig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15"/>
                    <pic:cNvPicPr>
                      <a:picLocks noChangeAspect="1"/>
                    </pic:cNvPicPr>
                  </pic:nvPicPr>
                  <pic:blipFill>
                    <a:blip r:embed="rId11"/>
                    <a:stretch>
                      <a:fillRect/>
                    </a:stretch>
                  </pic:blipFill>
                  <pic:spPr>
                    <a:xfrm>
                      <a:off x="0" y="0"/>
                      <a:ext cx="5271135" cy="6269355"/>
                    </a:xfrm>
                    <a:prstGeom prst="rect">
                      <a:avLst/>
                    </a:prstGeom>
                  </pic:spPr>
                </pic:pic>
              </a:graphicData>
            </a:graphic>
          </wp:inline>
        </w:drawing>
      </w:r>
    </w:p>
    <w:p w14:paraId="1A4BD1F6">
      <w:pPr>
        <w:keepNext w:val="0"/>
        <w:keepLines w:val="0"/>
        <w:pageBreakBefore w:val="0"/>
        <w:widowControl/>
        <w:numPr>
          <w:ilvl w:val="0"/>
          <w:numId w:val="0"/>
        </w:numPr>
        <w:kinsoku w:val="0"/>
        <w:wordWrap/>
        <w:overflowPunct/>
        <w:topLinePunct w:val="0"/>
        <w:autoSpaceDE w:val="0"/>
        <w:autoSpaceDN w:val="0"/>
        <w:bidi w:val="0"/>
        <w:adjustRightInd w:val="0"/>
        <w:snapToGrid w:val="0"/>
        <w:ind w:left="220" w:leftChars="0" w:hanging="220" w:hangingChars="100"/>
        <w:textAlignment w:val="baseline"/>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Supplementary Figure</w:t>
      </w:r>
      <w:r>
        <w:rPr>
          <w:rFonts w:hint="eastAsia" w:ascii="Times New Roman" w:hAnsi="Times New Roman" w:cs="Times New Roman"/>
          <w:b/>
          <w:bCs/>
          <w:sz w:val="22"/>
          <w:szCs w:val="22"/>
          <w:lang w:val="en-US" w:eastAsia="zh-CN"/>
        </w:rPr>
        <w:t xml:space="preserve">6. Virtual knockout of key genes in fibroblasts reveals global </w:t>
      </w:r>
    </w:p>
    <w:p w14:paraId="63DDDBB5">
      <w:pPr>
        <w:keepNext w:val="0"/>
        <w:keepLines w:val="0"/>
        <w:pageBreakBefore w:val="0"/>
        <w:widowControl/>
        <w:numPr>
          <w:ilvl w:val="0"/>
          <w:numId w:val="0"/>
        </w:numPr>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2"/>
          <w:szCs w:val="22"/>
          <w:lang w:val="en-US" w:eastAsia="zh-CN"/>
        </w:rPr>
      </w:pPr>
      <w:r>
        <w:rPr>
          <w:rFonts w:hint="eastAsia" w:ascii="Times New Roman" w:hAnsi="Times New Roman" w:cs="Times New Roman"/>
          <w:b/>
          <w:bCs/>
          <w:sz w:val="22"/>
          <w:szCs w:val="22"/>
          <w:lang w:val="en-US" w:eastAsia="zh-CN"/>
        </w:rPr>
        <w:t>transcriptomic perturbation and convergent pathway effects.</w:t>
      </w:r>
    </w:p>
    <w:p w14:paraId="3A44AEEC">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 xml:space="preserve">(A–J) Volcano plots of differentially regulated genes following scTenifoldKnk virtual knockout of each of the ten key genes. The knocked-out gene is excluded. </w:t>
      </w:r>
    </w:p>
    <w:p w14:paraId="303476B1">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(K–T) KEGG pathway enrichment bubble plots for differentially regulated genes following each virtual knockout.</w:t>
      </w:r>
    </w:p>
    <w:p w14:paraId="63FE4314">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58C5A970">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17C4DD8D">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7</w:t>
      </w:r>
    </w:p>
    <w:p w14:paraId="543C3344">
      <w:pPr>
        <w:keepNext w:val="0"/>
        <w:keepLines w:val="0"/>
        <w:pageBreakBefore w:val="0"/>
        <w:widowControl/>
        <w:kinsoku w:val="0"/>
        <w:wordWrap/>
        <w:overflowPunct/>
        <w:topLinePunct w:val="0"/>
        <w:autoSpaceDE w:val="0"/>
        <w:autoSpaceDN w:val="0"/>
        <w:bidi w:val="0"/>
        <w:adjustRightInd w:val="0"/>
        <w:snapToGrid w:val="0"/>
        <w:ind w:left="220" w:hanging="210" w:hangingChars="100"/>
        <w:textAlignment w:val="baseline"/>
        <w:rPr>
          <w:rFonts w:hint="eastAsia"/>
          <w:lang w:eastAsia="zh-CN"/>
        </w:rPr>
      </w:pPr>
      <w:r>
        <w:rPr>
          <w:rFonts w:hint="eastAsia"/>
          <w:lang w:eastAsia="zh-CN"/>
        </w:rPr>
        <w:drawing>
          <wp:inline distT="0" distB="0" distL="114300" distR="114300">
            <wp:extent cx="5268595" cy="4340225"/>
            <wp:effectExtent l="0" t="0" r="8255" b="3175"/>
            <wp:docPr id="1" name="图片 1" descr="Sup-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Figure 1"/>
                    <pic:cNvPicPr>
                      <a:picLocks noChangeAspect="1"/>
                    </pic:cNvPicPr>
                  </pic:nvPicPr>
                  <pic:blipFill>
                    <a:blip r:embed="rId12"/>
                    <a:stretch>
                      <a:fillRect/>
                    </a:stretch>
                  </pic:blipFill>
                  <pic:spPr>
                    <a:xfrm>
                      <a:off x="0" y="0"/>
                      <a:ext cx="5268595" cy="4340225"/>
                    </a:xfrm>
                    <a:prstGeom prst="rect">
                      <a:avLst/>
                    </a:prstGeom>
                  </pic:spPr>
                </pic:pic>
              </a:graphicData>
            </a:graphic>
          </wp:inline>
        </w:drawing>
      </w:r>
    </w:p>
    <w:p w14:paraId="3E07F44E">
      <w:pPr>
        <w:keepNext w:val="0"/>
        <w:keepLines w:val="0"/>
        <w:pageBreakBefore w:val="0"/>
        <w:widowControl/>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Supplementary Figure </w:t>
      </w:r>
      <w:r>
        <w:rPr>
          <w:rFonts w:hint="eastAsia" w:ascii="Times New Roman" w:hAnsi="Times New Roman" w:cs="Times New Roman"/>
          <w:b/>
          <w:bCs/>
          <w:sz w:val="21"/>
          <w:szCs w:val="21"/>
          <w:lang w:val="en-US" w:eastAsia="zh-CN"/>
        </w:rPr>
        <w:t>7</w:t>
      </w:r>
      <w:r>
        <w:rPr>
          <w:rFonts w:hint="default" w:ascii="Times New Roman" w:hAnsi="Times New Roman" w:cs="Times New Roman"/>
          <w:b/>
          <w:bCs/>
          <w:sz w:val="21"/>
          <w:szCs w:val="21"/>
          <w:lang w:val="en-US" w:eastAsia="zh-CN"/>
        </w:rPr>
        <w:t>. Genomic, mutational and functional state differences between high‑ and low‑risk gastric cancer groups.</w:t>
      </w:r>
    </w:p>
    <w:p w14:paraId="4F2709D0">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eastAsia="Arial" w:cs="Times New Roman"/>
          <w:snapToGrid w:val="0"/>
          <w:color w:val="000000"/>
          <w:kern w:val="0"/>
          <w:sz w:val="21"/>
          <w:szCs w:val="21"/>
          <w:lang w:val="en-US" w:eastAsia="zh-CN" w:bidi="ar-SA"/>
        </w:rPr>
        <w:t>(A)</w:t>
      </w:r>
      <w:r>
        <w:rPr>
          <w:rFonts w:hint="default" w:ascii="Times New Roman" w:hAnsi="Times New Roman" w:cs="Times New Roman"/>
          <w:sz w:val="21"/>
          <w:szCs w:val="21"/>
          <w:lang w:val="en-US" w:eastAsia="zh-CN"/>
        </w:rPr>
        <w:t>Mutation waterfall plot of the high‑risk group (n = 95, 71.50% altered) from TCGA‑STAD, showing the most frequently mutated genes (TTN, TP53, MUC16, LRP1B, SYNE1, CSMD3, etc.).</w:t>
      </w:r>
    </w:p>
    <w:p w14:paraId="73498A58">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eastAsia="Arial" w:cs="Times New Roman"/>
          <w:snapToGrid w:val="0"/>
          <w:color w:val="000000"/>
          <w:kern w:val="0"/>
          <w:sz w:val="21"/>
          <w:szCs w:val="21"/>
          <w:lang w:val="en-US" w:eastAsia="zh-CN" w:bidi="ar-SA"/>
        </w:rPr>
        <w:t>(B)</w:t>
      </w:r>
      <w:r>
        <w:rPr>
          <w:rFonts w:hint="default" w:ascii="Times New Roman" w:hAnsi="Times New Roman" w:cs="Times New Roman"/>
          <w:sz w:val="21"/>
          <w:szCs w:val="21"/>
          <w:lang w:val="en-US" w:eastAsia="zh-CN"/>
        </w:rPr>
        <w:t xml:space="preserve">Mutation waterfall plot of the low‑risk group (n = 246, 82.93% altered), indicating an overall higher mutation frequency. </w:t>
      </w:r>
    </w:p>
    <w:p w14:paraId="3C4BF7CB">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eastAsia="Arial" w:cs="Times New Roman"/>
          <w:snapToGrid w:val="0"/>
          <w:color w:val="000000"/>
          <w:kern w:val="0"/>
          <w:sz w:val="21"/>
          <w:szCs w:val="21"/>
          <w:lang w:val="en-US" w:eastAsia="zh-CN" w:bidi="ar-SA"/>
        </w:rPr>
        <w:t>(C)</w:t>
      </w:r>
      <w:r>
        <w:rPr>
          <w:rFonts w:hint="default" w:ascii="Times New Roman" w:hAnsi="Times New Roman" w:cs="Times New Roman"/>
          <w:sz w:val="21"/>
          <w:szCs w:val="21"/>
          <w:lang w:val="en-US" w:eastAsia="zh-CN"/>
        </w:rPr>
        <w:t xml:space="preserve">Forest plot of differentially mutated genes between high‑ and low‑risk groups (Fisher’s exact test). Genes such as ANK1, CACNA1H, ZNF462, EP400 and KMT2D are significantly more mutated in the low‑risk group. </w:t>
      </w:r>
    </w:p>
    <w:p w14:paraId="4FA21B31">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(D) Scatter plot showing a significant negative correlation between TMB (tumour mutational burden) and risk score (Pearson r = –0.15, p = 0.0042). </w:t>
      </w:r>
    </w:p>
    <w:p w14:paraId="2EE9EDAF">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(E) Waterfall plot of overall survival according to TMB and risk group. </w:t>
      </w:r>
    </w:p>
    <w:p w14:paraId="1A33433B">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(F) Box plot comparing TMB between high‑ and low‑risk groups; low‑risk tumours have significantly higher TMB (p). </w:t>
      </w:r>
    </w:p>
    <w:p w14:paraId="4A53D5E7">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(G) Scatter plot showing a significant negative correlation between MSI (microsatellite instability) score and risk score (Pearson r = –0.15, p = 0.0061). </w:t>
      </w:r>
    </w:p>
    <w:p w14:paraId="1D7D4CB1">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(H) Waterfall plot of overall survival according to MSI and risk group. </w:t>
      </w:r>
    </w:p>
    <w:p w14:paraId="6578129D">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(I) Box plot comparing MSI scores; low‑risk tumours have significantly higher MSI (p). </w:t>
      </w:r>
    </w:p>
    <w:p w14:paraId="766CD89E">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 xml:space="preserve">(J) Box plots of stemness scores derived from 26 independent stem cell gene sets (StemChecker). Most stemness signatures are significantly lower in the high‑risk group. </w:t>
      </w:r>
    </w:p>
    <w:p w14:paraId="3125C3CD">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(K) Box plots of CancerSEA functional state scores. High‑risk tumours show significantly elevated EMT, invasion, angiogenesis and metastasis scores, while DNA damage, DNA repair and differentiation scores are higher in the low‑risk group.</w:t>
      </w:r>
    </w:p>
    <w:p w14:paraId="3EB22101">
      <w:pPr>
        <w:keepNext w:val="0"/>
        <w:keepLines w:val="0"/>
        <w:pageBreakBefore w:val="0"/>
        <w:widowControl/>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 xml:space="preserve">Abbreviations: TMB, tumour mutational burden; MSI, microsatellite instability; EMT, epithelial‑mesenchymal transition. Statistical tests: Wilcoxon rank‑sum test for box plots; Fisher’s exact test for mutation frequencies. *p &lt; 0.05, **p &lt; 0.01, ***p &lt; 0.001. </w:t>
      </w:r>
    </w:p>
    <w:p w14:paraId="3EC3614B">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8</w:t>
      </w:r>
    </w:p>
    <w:p w14:paraId="180A7AB7">
      <w:pPr>
        <w:keepNext w:val="0"/>
        <w:keepLines w:val="0"/>
        <w:pageBreakBefore w:val="0"/>
        <w:widowControl/>
        <w:kinsoku w:val="0"/>
        <w:wordWrap/>
        <w:overflowPunct/>
        <w:topLinePunct w:val="0"/>
        <w:autoSpaceDE w:val="0"/>
        <w:autoSpaceDN w:val="0"/>
        <w:bidi w:val="0"/>
        <w:adjustRightInd w:val="0"/>
        <w:snapToGrid w:val="0"/>
        <w:textAlignment w:val="baseline"/>
        <w:rPr>
          <w:rFonts w:hint="eastAsia"/>
          <w:lang w:eastAsia="zh-CN"/>
        </w:rPr>
      </w:pPr>
      <w:r>
        <w:rPr>
          <w:rFonts w:hint="eastAsia"/>
          <w:lang w:eastAsia="zh-CN"/>
        </w:rPr>
        <w:drawing>
          <wp:inline distT="0" distB="0" distL="114300" distR="114300">
            <wp:extent cx="5267325" cy="5524500"/>
            <wp:effectExtent l="0" t="0" r="0" b="0"/>
            <wp:docPr id="2" name="图片 2" descr="Sup-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Figure 2"/>
                    <pic:cNvPicPr>
                      <a:picLocks noChangeAspect="1"/>
                    </pic:cNvPicPr>
                  </pic:nvPicPr>
                  <pic:blipFill>
                    <a:blip r:embed="rId13"/>
                    <a:stretch>
                      <a:fillRect/>
                    </a:stretch>
                  </pic:blipFill>
                  <pic:spPr>
                    <a:xfrm>
                      <a:off x="0" y="0"/>
                      <a:ext cx="5267325" cy="5524500"/>
                    </a:xfrm>
                    <a:prstGeom prst="rect">
                      <a:avLst/>
                    </a:prstGeom>
                  </pic:spPr>
                </pic:pic>
              </a:graphicData>
            </a:graphic>
          </wp:inline>
        </w:drawing>
      </w:r>
    </w:p>
    <w:p w14:paraId="0426F0C0">
      <w:pPr>
        <w:pStyle w:val="2"/>
        <w:keepNext w:val="0"/>
        <w:keepLines w:val="0"/>
        <w:pageBreakBefore w:val="0"/>
        <w:widowControl/>
        <w:suppressLineNumbers w:val="0"/>
        <w:shd w:val="clear" w:fill="FFFFFF"/>
        <w:kinsoku w:val="0"/>
        <w:wordWrap/>
        <w:overflowPunct/>
        <w:topLinePunct w:val="0"/>
        <w:autoSpaceDE w:val="0"/>
        <w:autoSpaceDN w:val="0"/>
        <w:bidi w:val="0"/>
        <w:adjustRightInd w:val="0"/>
        <w:snapToGrid w:val="0"/>
        <w:spacing w:before="0" w:beforeAutospacing="0" w:after="0" w:afterAutospacing="0" w:line="225" w:lineRule="atLeast"/>
        <w:ind w:left="0" w:right="0" w:firstLine="0"/>
        <w:textAlignment w:val="baseline"/>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Supplementary Figure </w:t>
      </w:r>
      <w:r>
        <w:rPr>
          <w:rFonts w:hint="eastAsia" w:ascii="Times New Roman" w:hAnsi="Times New Roman" w:cs="Times New Roman"/>
          <w:b/>
          <w:bCs/>
          <w:caps w:val="0"/>
          <w:color w:val="0F1115"/>
          <w:spacing w:val="0"/>
          <w:sz w:val="21"/>
          <w:szCs w:val="21"/>
          <w:shd w:val="clear" w:fill="FFFFFF"/>
          <w:lang w:val="en-US" w:eastAsia="zh-CN"/>
        </w:rPr>
        <w:t>8</w:t>
      </w:r>
      <w:r>
        <w:rPr>
          <w:rFonts w:hint="default" w:ascii="Times New Roman" w:hAnsi="Times New Roman" w:eastAsia="Segoe UI" w:cs="Times New Roman"/>
          <w:b/>
          <w:bCs/>
          <w:caps w:val="0"/>
          <w:color w:val="0F1115"/>
          <w:spacing w:val="0"/>
          <w:sz w:val="21"/>
          <w:szCs w:val="21"/>
          <w:shd w:val="clear" w:fill="FFFFFF"/>
        </w:rPr>
        <w:t>. Pharmacogenomic profiling and drug sensitivity predictions between high</w:t>
      </w:r>
      <w:r>
        <w:rPr>
          <w:rFonts w:hint="default" w:ascii="Times New Roman" w:hAnsi="Times New Roman" w:eastAsia="Segoe UI" w:cs="Times New Roman"/>
          <w:b/>
          <w:bCs/>
          <w:caps w:val="0"/>
          <w:color w:val="0F1115"/>
          <w:spacing w:val="0"/>
          <w:sz w:val="21"/>
          <w:szCs w:val="21"/>
          <w:shd w:val="clear" w:fill="FFFFFF"/>
        </w:rPr>
        <w:noBreakHyphen/>
      </w:r>
      <w:r>
        <w:rPr>
          <w:rFonts w:hint="default" w:ascii="Times New Roman" w:hAnsi="Times New Roman" w:eastAsia="Segoe UI" w:cs="Times New Roman"/>
          <w:b/>
          <w:bCs/>
          <w:caps w:val="0"/>
          <w:color w:val="0F1115"/>
          <w:spacing w:val="0"/>
          <w:sz w:val="21"/>
          <w:szCs w:val="21"/>
          <w:shd w:val="clear" w:fill="FFFFFF"/>
        </w:rPr>
        <w:t xml:space="preserve"> and low</w:t>
      </w:r>
      <w:r>
        <w:rPr>
          <w:rFonts w:hint="default" w:ascii="Times New Roman" w:hAnsi="Times New Roman" w:eastAsia="Segoe UI" w:cs="Times New Roman"/>
          <w:b/>
          <w:bCs/>
          <w:caps w:val="0"/>
          <w:color w:val="0F1115"/>
          <w:spacing w:val="0"/>
          <w:sz w:val="21"/>
          <w:szCs w:val="21"/>
          <w:shd w:val="clear" w:fill="FFFFFF"/>
        </w:rPr>
        <w:noBreakHyphen/>
      </w:r>
      <w:r>
        <w:rPr>
          <w:rFonts w:hint="default" w:ascii="Times New Roman" w:hAnsi="Times New Roman" w:eastAsia="Segoe UI" w:cs="Times New Roman"/>
          <w:b/>
          <w:bCs/>
          <w:caps w:val="0"/>
          <w:color w:val="0F1115"/>
          <w:spacing w:val="0"/>
          <w:sz w:val="21"/>
          <w:szCs w:val="21"/>
          <w:shd w:val="clear" w:fill="FFFFFF"/>
        </w:rPr>
        <w:t>risk groups.</w:t>
      </w:r>
    </w:p>
    <w:p w14:paraId="50200E98">
      <w:pPr>
        <w:pStyle w:val="3"/>
        <w:keepNext w:val="0"/>
        <w:keepLines w:val="0"/>
        <w:pageBreakBefore w:val="0"/>
        <w:widowControl/>
        <w:numPr>
          <w:ilvl w:val="0"/>
          <w:numId w:val="0"/>
        </w:numPr>
        <w:suppressLineNumbers w:val="0"/>
        <w:shd w:val="clear" w:fill="FFFFFF"/>
        <w:kinsoku w:val="0"/>
        <w:wordWrap/>
        <w:overflowPunct/>
        <w:topLinePunct w:val="0"/>
        <w:autoSpaceDE w:val="0"/>
        <w:autoSpaceDN w:val="0"/>
        <w:bidi w:val="0"/>
        <w:adjustRightInd w:val="0"/>
        <w:snapToGrid w:val="0"/>
        <w:spacing w:beforeAutospacing="0" w:afterAutospacing="0"/>
        <w:ind w:left="0" w:leftChars="0" w:right="0" w:rightChars="0" w:firstLine="0" w:firstLineChars="0"/>
        <w:jc w:val="both"/>
        <w:textAlignment w:val="baseline"/>
        <w:rPr>
          <w:rFonts w:hint="default" w:ascii="Times New Roman" w:hAnsi="Times New Roman" w:eastAsia="Segoe UI" w:cs="Times New Roman"/>
          <w:b w:val="0"/>
          <w:bCs w:val="0"/>
          <w:i w:val="0"/>
          <w:iCs w:val="0"/>
          <w:caps w:val="0"/>
          <w:color w:val="0F1115"/>
          <w:spacing w:val="0"/>
          <w:sz w:val="21"/>
          <w:szCs w:val="21"/>
          <w:shd w:val="clear" w:fill="FFFFFF"/>
        </w:rPr>
      </w:pPr>
      <w:r>
        <w:rPr>
          <w:rFonts w:hint="default" w:ascii="Times New Roman" w:hAnsi="Times New Roman" w:eastAsia="Segoe UI" w:cs="Times New Roman"/>
          <w:b w:val="0"/>
          <w:bCs w:val="0"/>
          <w:i w:val="0"/>
          <w:iCs w:val="0"/>
          <w:caps w:val="0"/>
          <w:snapToGrid w:val="0"/>
          <w:color w:val="0F1115"/>
          <w:spacing w:val="0"/>
          <w:kern w:val="0"/>
          <w:sz w:val="21"/>
          <w:szCs w:val="21"/>
          <w:shd w:val="clear" w:fill="FFFFFF"/>
          <w:lang w:val="en-US" w:eastAsia="en-US" w:bidi="ar-SA"/>
        </w:rPr>
        <w:t>(A)</w:t>
      </w:r>
      <w:r>
        <w:rPr>
          <w:rFonts w:hint="default" w:ascii="Times New Roman" w:hAnsi="Times New Roman" w:eastAsia="Segoe UI" w:cs="Times New Roman"/>
          <w:b w:val="0"/>
          <w:bCs w:val="0"/>
          <w:i w:val="0"/>
          <w:iCs w:val="0"/>
          <w:caps w:val="0"/>
          <w:color w:val="0F1115"/>
          <w:spacing w:val="0"/>
          <w:sz w:val="21"/>
          <w:szCs w:val="21"/>
          <w:shd w:val="clear" w:fill="FFFFFF"/>
        </w:rPr>
        <w:t> Waterfall plot of mean IC50 differences (high</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risk minus low</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risk) for drugs with significant differential sensitivity (FDR &lt; 0.05). Positive values (red) indicate higher IC50 (lower sensitivity) in high</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risk tumours; negative values (blue) indicate lower IC50 (higher sensitivity) in high</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risk tumours.</w:t>
      </w:r>
    </w:p>
    <w:p w14:paraId="2612D087">
      <w:pPr>
        <w:pStyle w:val="3"/>
        <w:keepNext w:val="0"/>
        <w:keepLines w:val="0"/>
        <w:pageBreakBefore w:val="0"/>
        <w:widowControl/>
        <w:numPr>
          <w:ilvl w:val="0"/>
          <w:numId w:val="0"/>
        </w:numPr>
        <w:suppressLineNumbers w:val="0"/>
        <w:shd w:val="clear" w:fill="FFFFFF"/>
        <w:kinsoku w:val="0"/>
        <w:wordWrap/>
        <w:overflowPunct/>
        <w:topLinePunct w:val="0"/>
        <w:autoSpaceDE w:val="0"/>
        <w:autoSpaceDN w:val="0"/>
        <w:bidi w:val="0"/>
        <w:adjustRightInd w:val="0"/>
        <w:snapToGrid w:val="0"/>
        <w:spacing w:beforeAutospacing="0" w:afterAutospacing="0"/>
        <w:ind w:left="0" w:leftChars="0" w:right="0" w:rightChars="0" w:firstLine="0" w:firstLineChars="0"/>
        <w:jc w:val="both"/>
        <w:textAlignment w:val="baseline"/>
        <w:rPr>
          <w:rFonts w:hint="default" w:ascii="Times New Roman" w:hAnsi="Times New Roman" w:eastAsia="Segoe UI" w:cs="Times New Roman"/>
          <w:b w:val="0"/>
          <w:bCs w:val="0"/>
          <w:i w:val="0"/>
          <w:iCs w:val="0"/>
          <w:caps w:val="0"/>
          <w:color w:val="0F1115"/>
          <w:spacing w:val="0"/>
          <w:sz w:val="21"/>
          <w:szCs w:val="21"/>
          <w:shd w:val="clear" w:fill="FFFFFF"/>
        </w:rPr>
      </w:pPr>
      <w:r>
        <w:rPr>
          <w:rFonts w:hint="default" w:ascii="Times New Roman" w:hAnsi="Times New Roman" w:eastAsia="Segoe UI" w:cs="Times New Roman"/>
          <w:b w:val="0"/>
          <w:bCs w:val="0"/>
          <w:i w:val="0"/>
          <w:iCs w:val="0"/>
          <w:caps w:val="0"/>
          <w:color w:val="0F1115"/>
          <w:spacing w:val="0"/>
          <w:sz w:val="21"/>
          <w:szCs w:val="21"/>
          <w:shd w:val="clear" w:fill="FFFFFF"/>
        </w:rPr>
        <w:t>(B) Forest plot of the top 20 drugs with the most significant IC50 differences. Dasatinib, BMS</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754807 and dihydrorotenone show lower IC50 (favourable) in the high</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risk group. </w:t>
      </w:r>
    </w:p>
    <w:p w14:paraId="2E99A3A2">
      <w:pPr>
        <w:pStyle w:val="3"/>
        <w:keepNext w:val="0"/>
        <w:keepLines w:val="0"/>
        <w:pageBreakBefore w:val="0"/>
        <w:widowControl/>
        <w:numPr>
          <w:ilvl w:val="0"/>
          <w:numId w:val="0"/>
        </w:numPr>
        <w:suppressLineNumbers w:val="0"/>
        <w:shd w:val="clear" w:fill="FFFFFF"/>
        <w:kinsoku w:val="0"/>
        <w:wordWrap/>
        <w:overflowPunct/>
        <w:topLinePunct w:val="0"/>
        <w:autoSpaceDE w:val="0"/>
        <w:autoSpaceDN w:val="0"/>
        <w:bidi w:val="0"/>
        <w:adjustRightInd w:val="0"/>
        <w:snapToGrid w:val="0"/>
        <w:spacing w:beforeAutospacing="0" w:afterAutospacing="0"/>
        <w:ind w:left="0" w:leftChars="0" w:right="0" w:rightChars="0" w:firstLine="0" w:firstLineChars="0"/>
        <w:jc w:val="both"/>
        <w:textAlignment w:val="baseline"/>
        <w:rPr>
          <w:rFonts w:hint="default" w:ascii="Times New Roman" w:hAnsi="Times New Roman" w:eastAsia="Segoe UI" w:cs="Times New Roman"/>
          <w:b w:val="0"/>
          <w:bCs w:val="0"/>
          <w:i w:val="0"/>
          <w:iCs w:val="0"/>
          <w:caps w:val="0"/>
          <w:color w:val="0F1115"/>
          <w:spacing w:val="0"/>
          <w:sz w:val="21"/>
          <w:szCs w:val="21"/>
          <w:shd w:val="clear" w:fill="FFFFFF"/>
        </w:rPr>
      </w:pPr>
      <w:r>
        <w:rPr>
          <w:rFonts w:hint="default" w:ascii="Times New Roman" w:hAnsi="Times New Roman" w:eastAsia="Segoe UI" w:cs="Times New Roman"/>
          <w:b w:val="0"/>
          <w:bCs w:val="0"/>
          <w:i w:val="0"/>
          <w:iCs w:val="0"/>
          <w:caps w:val="0"/>
          <w:color w:val="0F1115"/>
          <w:spacing w:val="0"/>
          <w:sz w:val="21"/>
          <w:szCs w:val="21"/>
          <w:shd w:val="clear" w:fill="FFFFFF"/>
        </w:rPr>
        <w:t>(C</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G) Scatter plots of IC50 values for representative drugs (lapatinib, acetalax, afatinib, dasatinib, gefitinib) versus risk score, coloured by risk group. Lapatinib, acetalax, afatinib and gefitinib show significant positive Spearman correlations with risk score, whereas dasatinib shows a significant negative correlation. </w:t>
      </w:r>
    </w:p>
    <w:p w14:paraId="02C3B70F">
      <w:pPr>
        <w:pStyle w:val="3"/>
        <w:keepNext w:val="0"/>
        <w:keepLines w:val="0"/>
        <w:pageBreakBefore w:val="0"/>
        <w:widowControl/>
        <w:numPr>
          <w:ilvl w:val="0"/>
          <w:numId w:val="0"/>
        </w:numPr>
        <w:suppressLineNumbers w:val="0"/>
        <w:shd w:val="clear" w:fill="FFFFFF"/>
        <w:kinsoku w:val="0"/>
        <w:wordWrap/>
        <w:overflowPunct/>
        <w:topLinePunct w:val="0"/>
        <w:autoSpaceDE w:val="0"/>
        <w:autoSpaceDN w:val="0"/>
        <w:bidi w:val="0"/>
        <w:adjustRightInd w:val="0"/>
        <w:snapToGrid w:val="0"/>
        <w:spacing w:beforeAutospacing="0" w:afterAutospacing="0"/>
        <w:ind w:left="0" w:leftChars="0" w:right="0" w:rightChars="0" w:firstLine="0" w:firstLineChars="0"/>
        <w:jc w:val="both"/>
        <w:textAlignment w:val="baseline"/>
        <w:rPr>
          <w:rFonts w:hint="default" w:ascii="Times New Roman" w:hAnsi="Times New Roman" w:eastAsia="Segoe UI" w:cs="Times New Roman"/>
          <w:b w:val="0"/>
          <w:bCs w:val="0"/>
          <w:i w:val="0"/>
          <w:iCs w:val="0"/>
          <w:caps w:val="0"/>
          <w:color w:val="0F1115"/>
          <w:spacing w:val="0"/>
          <w:sz w:val="21"/>
          <w:szCs w:val="21"/>
        </w:rPr>
      </w:pPr>
      <w:r>
        <w:rPr>
          <w:rFonts w:hint="default" w:ascii="Times New Roman" w:hAnsi="Times New Roman" w:eastAsia="Segoe UI" w:cs="Times New Roman"/>
          <w:b w:val="0"/>
          <w:bCs w:val="0"/>
          <w:i w:val="0"/>
          <w:iCs w:val="0"/>
          <w:caps w:val="0"/>
          <w:color w:val="0F1115"/>
          <w:spacing w:val="0"/>
          <w:sz w:val="21"/>
          <w:szCs w:val="21"/>
          <w:shd w:val="clear" w:fill="FFFFFF"/>
        </w:rPr>
        <w:t>(H) Scatter plot of BMS</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754807 IC50 versus risk score, demonstrating a significant negative correlation (Spearman r = –0.43), indicating that high</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risk tumours may be more sensitive to this agent.</w:t>
      </w:r>
      <w:r>
        <w:rPr>
          <w:rFonts w:hint="default" w:ascii="Times New Roman" w:hAnsi="Times New Roman" w:eastAsia="Segoe UI" w:cs="Times New Roman"/>
          <w:b w:val="0"/>
          <w:bCs w:val="0"/>
          <w:i w:val="0"/>
          <w:iCs w:val="0"/>
          <w:caps w:val="0"/>
          <w:color w:val="0F1115"/>
          <w:spacing w:val="0"/>
          <w:sz w:val="21"/>
          <w:szCs w:val="21"/>
          <w:shd w:val="clear" w:fill="FFFFFF"/>
        </w:rPr>
        <w:br w:type="textWrapping"/>
      </w:r>
      <w:r>
        <w:rPr>
          <w:rFonts w:hint="default" w:ascii="Times New Roman" w:hAnsi="Times New Roman" w:eastAsia="Segoe UI" w:cs="Times New Roman"/>
          <w:b w:val="0"/>
          <w:bCs w:val="0"/>
          <w:i w:val="0"/>
          <w:iCs w:val="0"/>
          <w:caps w:val="0"/>
          <w:color w:val="0F1115"/>
          <w:spacing w:val="0"/>
          <w:sz w:val="21"/>
          <w:szCs w:val="21"/>
          <w:shd w:val="clear" w:fill="FFFFFF"/>
        </w:rPr>
        <w:t>Abbreviations: IC50, half</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maximal inhibitory concentration; FDR, false discovery rate; MCE, MedChemExpress; TCM, traditional Chinese medicine. Statistical significance: FDR &lt; 0.05 for drug selection; Spearman correlation p</w:t>
      </w:r>
      <w:r>
        <w:rPr>
          <w:rFonts w:hint="default" w:ascii="Times New Roman" w:hAnsi="Times New Roman" w:eastAsia="Segoe UI" w:cs="Times New Roman"/>
          <w:b w:val="0"/>
          <w:bCs w:val="0"/>
          <w:i w:val="0"/>
          <w:iCs w:val="0"/>
          <w:caps w:val="0"/>
          <w:color w:val="0F1115"/>
          <w:spacing w:val="0"/>
          <w:sz w:val="21"/>
          <w:szCs w:val="21"/>
          <w:shd w:val="clear" w:fill="FFFFFF"/>
        </w:rPr>
        <w:noBreakHyphen/>
      </w:r>
      <w:r>
        <w:rPr>
          <w:rFonts w:hint="default" w:ascii="Times New Roman" w:hAnsi="Times New Roman" w:eastAsia="Segoe UI" w:cs="Times New Roman"/>
          <w:b w:val="0"/>
          <w:bCs w:val="0"/>
          <w:i w:val="0"/>
          <w:iCs w:val="0"/>
          <w:caps w:val="0"/>
          <w:color w:val="0F1115"/>
          <w:spacing w:val="0"/>
          <w:sz w:val="21"/>
          <w:szCs w:val="21"/>
          <w:shd w:val="clear" w:fill="FFFFFF"/>
        </w:rPr>
        <w:t>values are indicated in each panel.</w:t>
      </w:r>
    </w:p>
    <w:p w14:paraId="6F6966A6">
      <w:pPr>
        <w:rPr>
          <w:rFonts w:hint="eastAsia"/>
          <w:lang w:eastAsia="zh-CN"/>
        </w:rPr>
      </w:pPr>
    </w:p>
    <w:p w14:paraId="063C1CA3">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9</w:t>
      </w:r>
    </w:p>
    <w:p w14:paraId="5F0455DE">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eastAsia" w:ascii="Times New Roman" w:hAnsi="Times New Roman" w:cs="Times New Roman"/>
          <w:b/>
          <w:bCs/>
          <w:sz w:val="40"/>
          <w:szCs w:val="40"/>
          <w:lang w:val="en-US" w:eastAsia="zh-CN"/>
        </w:rPr>
        <w:drawing>
          <wp:inline distT="0" distB="0" distL="114300" distR="114300">
            <wp:extent cx="5270500" cy="6922770"/>
            <wp:effectExtent l="0" t="0" r="6350" b="1905"/>
            <wp:docPr id="9" name="图片 9" descr="Supplementary 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plementary Figure 9"/>
                    <pic:cNvPicPr>
                      <a:picLocks noChangeAspect="1"/>
                    </pic:cNvPicPr>
                  </pic:nvPicPr>
                  <pic:blipFill>
                    <a:blip r:embed="rId14"/>
                    <a:stretch>
                      <a:fillRect/>
                    </a:stretch>
                  </pic:blipFill>
                  <pic:spPr>
                    <a:xfrm>
                      <a:off x="0" y="0"/>
                      <a:ext cx="5270500" cy="6922770"/>
                    </a:xfrm>
                    <a:prstGeom prst="rect">
                      <a:avLst/>
                    </a:prstGeom>
                  </pic:spPr>
                </pic:pic>
              </a:graphicData>
            </a:graphic>
          </wp:inline>
        </w:drawing>
      </w:r>
    </w:p>
    <w:p w14:paraId="0D5B7784">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textAlignment w:val="center"/>
        <w:rPr>
          <w:rFonts w:hint="default" w:ascii="Times New Roman" w:hAnsi="Times New Roman" w:cs="Times New Roman"/>
          <w:b/>
          <w:bCs/>
          <w:color w:val="000000"/>
          <w:spacing w:val="0"/>
          <w:position w:val="0"/>
          <w:sz w:val="22"/>
          <w:szCs w:val="22"/>
        </w:rPr>
      </w:pPr>
      <w:r>
        <w:rPr>
          <w:rFonts w:hint="default" w:ascii="Times New Roman" w:hAnsi="Times New Roman" w:cs="Times New Roman"/>
          <w:b/>
          <w:bCs/>
          <w:sz w:val="21"/>
          <w:szCs w:val="21"/>
          <w:lang w:val="en-US" w:eastAsia="zh-CN"/>
        </w:rPr>
        <w:t>Supplementary Figure </w:t>
      </w:r>
      <w:r>
        <w:rPr>
          <w:rFonts w:hint="eastAsia" w:ascii="Times New Roman" w:hAnsi="Times New Roman" w:cs="Times New Roman"/>
          <w:b/>
          <w:bCs/>
          <w:sz w:val="21"/>
          <w:szCs w:val="21"/>
          <w:lang w:val="en-US" w:eastAsia="zh-CN"/>
        </w:rPr>
        <w:t xml:space="preserve">9. </w:t>
      </w:r>
      <w:r>
        <w:rPr>
          <w:rFonts w:hint="default" w:ascii="Times New Roman" w:hAnsi="Times New Roman" w:cs="Times New Roman"/>
          <w:b/>
          <w:bCs/>
          <w:color w:val="000000"/>
          <w:spacing w:val="0"/>
          <w:position w:val="0"/>
          <w:sz w:val="22"/>
          <w:szCs w:val="22"/>
        </w:rPr>
        <w:t>Pharmacological and upstream regulatory landscape of the key prognostic genes.</w:t>
      </w:r>
    </w:p>
    <w:p w14:paraId="3878BD3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both"/>
        <w:textAlignment w:val="center"/>
        <w:rPr>
          <w:rFonts w:hint="default" w:ascii="Times New Roman" w:hAnsi="Times New Roman" w:cs="Times New Roman"/>
          <w:b w:val="0"/>
          <w:bCs w:val="0"/>
          <w:color w:val="000000"/>
          <w:spacing w:val="0"/>
          <w:position w:val="0"/>
          <w:sz w:val="20"/>
          <w:szCs w:val="20"/>
        </w:rPr>
      </w:pPr>
      <w:r>
        <w:rPr>
          <w:rFonts w:hint="default" w:ascii="Times New Roman" w:hAnsi="Times New Roman" w:cs="Times New Roman"/>
          <w:b w:val="0"/>
          <w:bCs w:val="0"/>
          <w:color w:val="000000"/>
          <w:spacing w:val="0"/>
          <w:position w:val="0"/>
          <w:sz w:val="20"/>
          <w:szCs w:val="20"/>
        </w:rPr>
        <w:t xml:space="preserve"> (A–E) Top upregulating and downregulating compounds (MCE and TCM) for individual key genes from the CIGS database. (F) Circular layout of the upstream regulatory network; red edges denote activation, blue edges denote inhibition. (G) Ranked list of top upstream regulators for each key gene. (H) Gradient-edge layout of the downstream target gene network. (I) Top downstream target genes for key genes with available GPSA data.</w:t>
      </w:r>
    </w:p>
    <w:p w14:paraId="0B470D4C">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10</w:t>
      </w:r>
    </w:p>
    <w:p w14:paraId="72BC8E88">
      <w:pPr>
        <w:rPr>
          <w:rFonts w:hint="eastAsia"/>
          <w:lang w:eastAsia="zh-CN"/>
        </w:rPr>
      </w:pPr>
      <w:r>
        <w:rPr>
          <w:rFonts w:hint="eastAsia"/>
          <w:lang w:eastAsia="zh-CN"/>
        </w:rPr>
        <w:drawing>
          <wp:inline distT="0" distB="0" distL="114300" distR="114300">
            <wp:extent cx="5273040" cy="5287645"/>
            <wp:effectExtent l="0" t="0" r="3810" b="8255"/>
            <wp:docPr id="19" name="图片 19" descr="Supplementary 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Supplementary Figure 10"/>
                    <pic:cNvPicPr>
                      <a:picLocks noChangeAspect="1"/>
                    </pic:cNvPicPr>
                  </pic:nvPicPr>
                  <pic:blipFill>
                    <a:blip r:embed="rId15"/>
                    <a:stretch>
                      <a:fillRect/>
                    </a:stretch>
                  </pic:blipFill>
                  <pic:spPr>
                    <a:xfrm>
                      <a:off x="0" y="0"/>
                      <a:ext cx="5273040" cy="5287645"/>
                    </a:xfrm>
                    <a:prstGeom prst="rect">
                      <a:avLst/>
                    </a:prstGeom>
                  </pic:spPr>
                </pic:pic>
              </a:graphicData>
            </a:graphic>
          </wp:inline>
        </w:drawing>
      </w:r>
    </w:p>
    <w:p w14:paraId="540E4221">
      <w:pPr>
        <w:keepNext w:val="0"/>
        <w:keepLines w:val="0"/>
        <w:pageBreakBefore w:val="0"/>
        <w:widowControl/>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Supplementary Figure</w:t>
      </w:r>
      <w:r>
        <w:rPr>
          <w:rFonts w:hint="eastAsia" w:ascii="Times New Roman" w:hAnsi="Times New Roman" w:cs="Times New Roman"/>
          <w:b/>
          <w:bCs/>
          <w:sz w:val="21"/>
          <w:szCs w:val="21"/>
          <w:lang w:val="en-US" w:eastAsia="zh-CN"/>
        </w:rPr>
        <w:t xml:space="preserve"> 10</w:t>
      </w:r>
      <w:r>
        <w:rPr>
          <w:rFonts w:hint="default" w:ascii="Times New Roman" w:hAnsi="Times New Roman" w:cs="Times New Roman"/>
          <w:b/>
          <w:bCs/>
          <w:sz w:val="21"/>
          <w:szCs w:val="21"/>
          <w:lang w:val="en-US" w:eastAsia="zh-CN"/>
        </w:rPr>
        <w:t>. Identification of predominant VCAN isoforms in primary CAFs and functional validation of endogenous VCAN knockout and rescue in driving gastric cancer cell proliferation and invasion.</w:t>
      </w:r>
    </w:p>
    <w:p w14:paraId="68A33999">
      <w:pPr>
        <w:keepNext w:val="0"/>
        <w:keepLines w:val="0"/>
        <w:pageBreakBefore w:val="0"/>
        <w:widowControl/>
        <w:numPr>
          <w:ilvl w:val="0"/>
          <w:numId w:val="4"/>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RT-qPCR quantification of the relative mRNA abundance of VCAN splice isoforms (V0, V1, V2, V3) in primary High-NM CAFs, identifying V1 as the predominant transcript.</w:t>
      </w:r>
    </w:p>
    <w:p w14:paraId="24501CC8">
      <w:pPr>
        <w:keepNext w:val="0"/>
        <w:keepLines w:val="0"/>
        <w:pageBreakBefore w:val="0"/>
        <w:widowControl/>
        <w:numPr>
          <w:ilvl w:val="0"/>
          <w:numId w:val="4"/>
        </w:numPr>
        <w:kinsoku w:val="0"/>
        <w:wordWrap/>
        <w:overflowPunct/>
        <w:topLinePunct w:val="0"/>
        <w:autoSpaceDE w:val="0"/>
        <w:autoSpaceDN w:val="0"/>
        <w:bidi w:val="0"/>
        <w:adjustRightInd w:val="0"/>
        <w:snapToGrid w:val="0"/>
        <w:ind w:left="0" w:leftChars="0" w:firstLine="0" w:firstLineChars="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 xml:space="preserve">Western blot confirmation of CRISPR-Cas9-mediated double-guide RNA knockout (sgVCAN-1, sgVCAN-2) and guide-resistant V1 rescue (sgRes-VCAN1) in three independent patient-derived primary High-NM CAF isolates (CAF1, CAF2, CAF3). </w:t>
      </w:r>
    </w:p>
    <w:p w14:paraId="4427D931">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 xml:space="preserve">(C, D) Functional validation of VCAN depletion and rescue in CAFs by RT-qPCR (C) and ELISA quantification of secreted VCAN in conditioned media (D).  </w:t>
      </w:r>
    </w:p>
    <w:p w14:paraId="5F0217F8">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 xml:space="preserve">(E–G) Western blot analysis of total AKT, p-AKT, proNGF, proBDNF, total ERK, and p-ERK in AGS (E), MKN-45 (F), and HGC-27 (G) cells treated with CM from Low-NM CAFs, High-NM CAFs, VCAN-KO CAFs, or VCAN-Rescue CAFs. </w:t>
      </w:r>
    </w:p>
    <w:p w14:paraId="3D050559">
      <w:pPr>
        <w:keepNext w:val="0"/>
        <w:keepLines w:val="0"/>
        <w:pageBreakBefore w:val="0"/>
        <w:widowControl/>
        <w:numPr>
          <w:ilvl w:val="0"/>
          <w:numId w:val="5"/>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 xml:space="preserve">CCK-8 cell proliferation growth curves of gastric cancer cells treated with CM from Low-NM, High-NM, VCAN-KO, and VCAN-Rescue CAFs at 24, 48, and 72 h. </w:t>
      </w:r>
    </w:p>
    <w:p w14:paraId="5841831B">
      <w:pPr>
        <w:keepNext w:val="0"/>
        <w:keepLines w:val="0"/>
        <w:pageBreakBefore w:val="0"/>
        <w:widowControl/>
        <w:numPr>
          <w:ilvl w:val="0"/>
          <w:numId w:val="0"/>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(I, J) Transwell Matrigel invasion assays of gastric cancer cells exposed to the indicated CAF CM. (I) Representative micrographs of invaded cells (scale bar: 100</w:t>
      </w:r>
      <w:r>
        <w:rPr>
          <w:rFonts w:hint="default" w:ascii="Times New Roman" w:hAnsi="Times New Roman" w:eastAsia="Arial" w:cs="Times New Roman"/>
          <w:b w:val="0"/>
          <w:bCs w:val="0"/>
          <w:snapToGrid w:val="0"/>
          <w:color w:val="000000"/>
          <w:kern w:val="0"/>
          <w:sz w:val="21"/>
          <w:szCs w:val="21"/>
          <w:lang w:val="en-US" w:eastAsia="zh-CN" w:bidi="ar-SA"/>
        </w:rPr>
        <w:t>μm</w:t>
      </w:r>
      <w:r>
        <w:rPr>
          <w:rFonts w:hint="default" w:ascii="Times New Roman" w:hAnsi="Times New Roman" w:cs="Times New Roman"/>
          <w:b w:val="0"/>
          <w:bCs w:val="0"/>
          <w:sz w:val="21"/>
          <w:szCs w:val="21"/>
          <w:lang w:val="en-US" w:eastAsia="zh-CN"/>
        </w:rPr>
        <w:t xml:space="preserve">). (J) Quantification of invading cell counts per microscopic field (200×).  </w:t>
      </w:r>
    </w:p>
    <w:p w14:paraId="5263B2BE">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textAlignment w:val="baseline"/>
        <w:rPr>
          <w:rFonts w:hint="default" w:ascii="Times New Roman" w:hAnsi="Times New Roman" w:cs="Times New Roman"/>
          <w:b/>
          <w:bCs/>
          <w:sz w:val="40"/>
          <w:szCs w:val="40"/>
          <w:lang w:val="en-US" w:eastAsia="zh-CN"/>
        </w:rPr>
      </w:pPr>
    </w:p>
    <w:p w14:paraId="22D2E7E1">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11</w:t>
      </w:r>
    </w:p>
    <w:p w14:paraId="31A865C6">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drawing>
          <wp:inline distT="0" distB="0" distL="114300" distR="114300">
            <wp:extent cx="5266055" cy="5272405"/>
            <wp:effectExtent l="0" t="0" r="1270" b="4445"/>
            <wp:docPr id="11" name="图片 11" descr="su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up11"/>
                    <pic:cNvPicPr>
                      <a:picLocks noChangeAspect="1"/>
                    </pic:cNvPicPr>
                  </pic:nvPicPr>
                  <pic:blipFill>
                    <a:blip r:embed="rId16"/>
                    <a:stretch>
                      <a:fillRect/>
                    </a:stretch>
                  </pic:blipFill>
                  <pic:spPr>
                    <a:xfrm>
                      <a:off x="0" y="0"/>
                      <a:ext cx="5266055" cy="5272405"/>
                    </a:xfrm>
                    <a:prstGeom prst="rect">
                      <a:avLst/>
                    </a:prstGeom>
                  </pic:spPr>
                </pic:pic>
              </a:graphicData>
            </a:graphic>
          </wp:inline>
        </w:drawing>
      </w:r>
    </w:p>
    <w:p w14:paraId="0ED85103">
      <w:pPr>
        <w:keepNext w:val="0"/>
        <w:keepLines w:val="0"/>
        <w:pageBreakBefore w:val="0"/>
        <w:widowControl/>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Supplementary Figure </w:t>
      </w:r>
      <w:r>
        <w:rPr>
          <w:rFonts w:hint="eastAsia" w:ascii="Times New Roman" w:hAnsi="Times New Roman" w:cs="Times New Roman"/>
          <w:b/>
          <w:bCs/>
          <w:sz w:val="21"/>
          <w:szCs w:val="21"/>
          <w:lang w:val="en-US" w:eastAsia="zh-CN"/>
        </w:rPr>
        <w:t>11</w:t>
      </w:r>
      <w:r>
        <w:rPr>
          <w:rFonts w:hint="default" w:ascii="Times New Roman" w:hAnsi="Times New Roman" w:cs="Times New Roman"/>
          <w:b/>
          <w:bCs/>
          <w:sz w:val="21"/>
          <w:szCs w:val="21"/>
          <w:lang w:val="en-US" w:eastAsia="zh-CN"/>
        </w:rPr>
        <w:t>. Evaluation of predictive calibration, clinical net benefit, and feature stability for the Random Survival Forest (RSF) model.</w:t>
      </w:r>
    </w:p>
    <w:p w14:paraId="05A7199C">
      <w:pPr>
        <w:keepNext w:val="0"/>
        <w:keepLines w:val="0"/>
        <w:pageBreakBefore w:val="0"/>
        <w:widowControl/>
        <w:numPr>
          <w:ilvl w:val="0"/>
          <w:numId w:val="6"/>
        </w:numPr>
        <w:kinsoku w:val="0"/>
        <w:wordWrap/>
        <w:overflowPunct/>
        <w:topLinePunct w:val="0"/>
        <w:autoSpaceDE w:val="0"/>
        <w:autoSpaceDN w:val="0"/>
        <w:bidi w:val="0"/>
        <w:adjustRightInd w:val="0"/>
        <w:snapToGrid w:val="0"/>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One-year survival calibration profile in the combined gastric cancer validation cohort.</w:t>
      </w:r>
    </w:p>
    <w:p w14:paraId="5522F66A">
      <w:pPr>
        <w:keepNext w:val="0"/>
        <w:keepLines w:val="0"/>
        <w:pageBreakBefore w:val="0"/>
        <w:widowControl/>
        <w:numPr>
          <w:ilvl w:val="0"/>
          <w:numId w:val="6"/>
        </w:numPr>
        <w:kinsoku w:val="0"/>
        <w:wordWrap/>
        <w:overflowPunct/>
        <w:topLinePunct w:val="0"/>
        <w:autoSpaceDE w:val="0"/>
        <w:autoSpaceDN w:val="0"/>
        <w:bidi w:val="0"/>
        <w:adjustRightInd w:val="0"/>
        <w:snapToGrid w:val="0"/>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One-year decision curve analysis (DCA) benchmarking net clinical benefit.</w:t>
      </w:r>
    </w:p>
    <w:p w14:paraId="75361C78">
      <w:pPr>
        <w:keepNext w:val="0"/>
        <w:keepLines w:val="0"/>
        <w:pageBreakBefore w:val="0"/>
        <w:widowControl/>
        <w:numPr>
          <w:ilvl w:val="0"/>
          <w:numId w:val="6"/>
        </w:numPr>
        <w:kinsoku w:val="0"/>
        <w:wordWrap/>
        <w:overflowPunct/>
        <w:topLinePunct w:val="0"/>
        <w:autoSpaceDE w:val="0"/>
        <w:autoSpaceDN w:val="0"/>
        <w:bidi w:val="0"/>
        <w:adjustRightInd w:val="0"/>
        <w:snapToGrid w:val="0"/>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Three-year survival calibration profile evaluating predicted versus observed outcomes.</w:t>
      </w:r>
    </w:p>
    <w:p w14:paraId="4AF601FC">
      <w:pPr>
        <w:keepNext w:val="0"/>
        <w:keepLines w:val="0"/>
        <w:pageBreakBefore w:val="0"/>
        <w:widowControl/>
        <w:numPr>
          <w:ilvl w:val="0"/>
          <w:numId w:val="6"/>
        </w:numPr>
        <w:kinsoku w:val="0"/>
        <w:wordWrap/>
        <w:overflowPunct/>
        <w:topLinePunct w:val="0"/>
        <w:autoSpaceDE w:val="0"/>
        <w:autoSpaceDN w:val="0"/>
        <w:bidi w:val="0"/>
        <w:adjustRightInd w:val="0"/>
        <w:snapToGrid w:val="0"/>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Three-year decision curve analysis (DCA) across clinical risk thresholds.</w:t>
      </w:r>
    </w:p>
    <w:p w14:paraId="0CA61CA3">
      <w:pPr>
        <w:keepNext w:val="0"/>
        <w:keepLines w:val="0"/>
        <w:pageBreakBefore w:val="0"/>
        <w:widowControl/>
        <w:numPr>
          <w:ilvl w:val="0"/>
          <w:numId w:val="6"/>
        </w:numPr>
        <w:kinsoku w:val="0"/>
        <w:wordWrap/>
        <w:overflowPunct/>
        <w:topLinePunct w:val="0"/>
        <w:autoSpaceDE w:val="0"/>
        <w:autoSpaceDN w:val="0"/>
        <w:bidi w:val="0"/>
        <w:adjustRightInd w:val="0"/>
        <w:snapToGrid w:val="0"/>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Five-year survival calibration profile validating long-term prognostic accuracy.</w:t>
      </w:r>
    </w:p>
    <w:p w14:paraId="31E809E2">
      <w:pPr>
        <w:keepNext w:val="0"/>
        <w:keepLines w:val="0"/>
        <w:pageBreakBefore w:val="0"/>
        <w:widowControl/>
        <w:numPr>
          <w:ilvl w:val="0"/>
          <w:numId w:val="6"/>
        </w:numPr>
        <w:kinsoku w:val="0"/>
        <w:wordWrap/>
        <w:overflowPunct/>
        <w:topLinePunct w:val="0"/>
        <w:autoSpaceDE w:val="0"/>
        <w:autoSpaceDN w:val="0"/>
        <w:bidi w:val="0"/>
        <w:adjustRightInd w:val="0"/>
        <w:snapToGrid w:val="0"/>
        <w:textAlignment w:val="baseline"/>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Five-year decision curve analysis (DCA) establishing clinical utility utility spectrums.</w:t>
      </w:r>
    </w:p>
    <w:p w14:paraId="63F5F40D">
      <w:pPr>
        <w:keepNext w:val="0"/>
        <w:keepLines w:val="0"/>
        <w:pageBreakBefore w:val="0"/>
        <w:widowControl/>
        <w:numPr>
          <w:ilvl w:val="0"/>
          <w:numId w:val="6"/>
        </w:numPr>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sz w:val="21"/>
          <w:szCs w:val="21"/>
          <w:lang w:val="en-US" w:eastAsia="zh-CN"/>
        </w:rPr>
        <w:t>Multivariable Cox proportional hazards analysis adjusting for core clinical covariates.</w:t>
      </w:r>
    </w:p>
    <w:p w14:paraId="709D78C6">
      <w:pPr>
        <w:keepNext w:val="0"/>
        <w:keepLines w:val="0"/>
        <w:pageBreakBefore w:val="0"/>
        <w:widowControl/>
        <w:numPr>
          <w:ilvl w:val="0"/>
          <w:numId w:val="6"/>
        </w:numPr>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sz w:val="21"/>
          <w:szCs w:val="21"/>
          <w:lang w:val="en-US" w:eastAsia="zh-CN"/>
        </w:rPr>
        <w:t>Bootstrap LASSO-Cox resampling frequencies for the 21-gene prognostic signature.</w:t>
      </w:r>
    </w:p>
    <w:p w14:paraId="3FE4185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p w14:paraId="4E80BF4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p w14:paraId="4101E9C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p w14:paraId="0C6C6F8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p w14:paraId="71AE9C4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p w14:paraId="4F826B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p w14:paraId="4C0B73B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p w14:paraId="297A2A8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p w14:paraId="68B8AAB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p w14:paraId="295F622C">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12</w:t>
      </w:r>
    </w:p>
    <w:p w14:paraId="7D1BEDCC">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eastAsia" w:ascii="Times New Roman" w:hAnsi="Times New Roman" w:cs="Times New Roman"/>
          <w:b/>
          <w:bCs/>
          <w:sz w:val="40"/>
          <w:szCs w:val="40"/>
          <w:lang w:val="en-US" w:eastAsia="zh-CN"/>
        </w:rPr>
        <w:drawing>
          <wp:inline distT="0" distB="0" distL="114300" distR="114300">
            <wp:extent cx="5269865" cy="3230880"/>
            <wp:effectExtent l="0" t="0" r="6985" b="7620"/>
            <wp:docPr id="18" name="图片 18" descr="Supplementary 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upplementary Figure 13"/>
                    <pic:cNvPicPr>
                      <a:picLocks noChangeAspect="1"/>
                    </pic:cNvPicPr>
                  </pic:nvPicPr>
                  <pic:blipFill>
                    <a:blip r:embed="rId17"/>
                    <a:stretch>
                      <a:fillRect/>
                    </a:stretch>
                  </pic:blipFill>
                  <pic:spPr>
                    <a:xfrm>
                      <a:off x="0" y="0"/>
                      <a:ext cx="5269865" cy="3230880"/>
                    </a:xfrm>
                    <a:prstGeom prst="rect">
                      <a:avLst/>
                    </a:prstGeom>
                  </pic:spPr>
                </pic:pic>
              </a:graphicData>
            </a:graphic>
          </wp:inline>
        </w:drawing>
      </w:r>
    </w:p>
    <w:p w14:paraId="4964A509">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240" w:lineRule="auto"/>
        <w:jc w:val="both"/>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Supplementary Figure </w:t>
      </w:r>
      <w:r>
        <w:rPr>
          <w:rFonts w:hint="eastAsia" w:ascii="Times New Roman" w:hAnsi="Times New Roman" w:cs="Times New Roman"/>
          <w:b/>
          <w:bCs/>
          <w:sz w:val="21"/>
          <w:szCs w:val="21"/>
          <w:lang w:val="en-US" w:eastAsia="zh-CN"/>
        </w:rPr>
        <w:t>12</w:t>
      </w:r>
      <w:r>
        <w:rPr>
          <w:rFonts w:hint="default" w:ascii="Times New Roman" w:hAnsi="Times New Roman" w:cs="Times New Roman"/>
          <w:b/>
          <w:bCs/>
          <w:sz w:val="21"/>
          <w:szCs w:val="21"/>
          <w:lang w:val="en-US" w:eastAsia="zh-CN"/>
        </w:rPr>
        <w:t>.</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1"/>
          <w:szCs w:val="21"/>
          <w:lang w:val="en-US" w:eastAsia="zh-CN"/>
        </w:rPr>
        <w:t>Short-term kinetic cascade activation of the Integrin β1–FAK/SRC–MEK/ERK and AKT signaling axes in multiple molecularly distinct gastric cancer cell lines.</w:t>
      </w:r>
    </w:p>
    <w:p w14:paraId="26A1F9FE">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240" w:lineRule="auto"/>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eastAsia="宋体" w:cs="Times New Roman"/>
          <w:b w:val="0"/>
          <w:bCs w:val="0"/>
          <w:sz w:val="21"/>
          <w:szCs w:val="21"/>
        </w:rPr>
        <w:t xml:space="preserve">(A–C) Time-course Western blot profiling of phosphorylation kinetics for key signaling nodes in AGS (A), MKN-45 (B), and HGC-27 (C) cells. Serum-starved wild-type cells were stimulated with High-NM CAF CM for 0, 5, 15, 30, 60, and 120 min, in parallel with </w:t>
      </w:r>
      <w:r>
        <w:rPr>
          <w:rFonts w:hint="default" w:ascii="Times New Roman" w:hAnsi="Times New Roman" w:eastAsia="宋体" w:cs="Times New Roman"/>
          <w:b w:val="0"/>
          <w:bCs w:val="0"/>
          <w:i/>
          <w:iCs/>
          <w:sz w:val="21"/>
          <w:szCs w:val="21"/>
        </w:rPr>
        <w:t>ITGB1</w:t>
      </w:r>
      <w:r>
        <w:rPr>
          <w:rFonts w:hint="default" w:ascii="Times New Roman" w:hAnsi="Times New Roman" w:eastAsia="宋体" w:cs="Times New Roman"/>
          <w:b w:val="0"/>
          <w:bCs w:val="0"/>
          <w:sz w:val="21"/>
          <w:szCs w:val="21"/>
        </w:rPr>
        <w:t>-knockout cells stimulated for 15 min (ITGB1-KO 15 min). Blots were probed for p-AKT, p-FAK, p-SRC, p-MEK, p-ERK, total ERK, and GAPDH.</w:t>
      </w:r>
    </w:p>
    <w:p w14:paraId="55D6CDA1">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p>
    <w:p w14:paraId="5595B596">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486C97A6">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16E316B8">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56B27500">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426A6FE7">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133E8960">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2C29021C">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3256D79A">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p>
    <w:p w14:paraId="2F23E692">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13</w:t>
      </w:r>
    </w:p>
    <w:p w14:paraId="03D50CFC">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eastAsia" w:ascii="Times New Roman" w:hAnsi="Times New Roman" w:cs="Times New Roman"/>
          <w:b/>
          <w:bCs/>
          <w:sz w:val="40"/>
          <w:szCs w:val="40"/>
          <w:lang w:val="en-US" w:eastAsia="zh-CN"/>
        </w:rPr>
        <w:drawing>
          <wp:inline distT="0" distB="0" distL="114300" distR="114300">
            <wp:extent cx="5271770" cy="5092065"/>
            <wp:effectExtent l="0" t="0" r="5080" b="3810"/>
            <wp:docPr id="17" name="图片 17" descr="Supplementary Fig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upplementary Figure 14"/>
                    <pic:cNvPicPr>
                      <a:picLocks noChangeAspect="1"/>
                    </pic:cNvPicPr>
                  </pic:nvPicPr>
                  <pic:blipFill>
                    <a:blip r:embed="rId18"/>
                    <a:stretch>
                      <a:fillRect/>
                    </a:stretch>
                  </pic:blipFill>
                  <pic:spPr>
                    <a:xfrm>
                      <a:off x="0" y="0"/>
                      <a:ext cx="5271770" cy="5092065"/>
                    </a:xfrm>
                    <a:prstGeom prst="rect">
                      <a:avLst/>
                    </a:prstGeom>
                  </pic:spPr>
                </pic:pic>
              </a:graphicData>
            </a:graphic>
          </wp:inline>
        </w:drawing>
      </w:r>
    </w:p>
    <w:p w14:paraId="1313AEAD">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9" w:lineRule="atLeast"/>
        <w:jc w:val="both"/>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Supplementary Figure </w:t>
      </w:r>
      <w:r>
        <w:rPr>
          <w:rFonts w:hint="eastAsia" w:ascii="Times New Roman" w:hAnsi="Times New Roman" w:cs="Times New Roman"/>
          <w:b/>
          <w:bCs/>
          <w:sz w:val="21"/>
          <w:szCs w:val="21"/>
          <w:lang w:val="en-US" w:eastAsia="zh-CN"/>
        </w:rPr>
        <w:t>13</w:t>
      </w:r>
      <w:r>
        <w:rPr>
          <w:rFonts w:hint="default" w:ascii="Times New Roman" w:hAnsi="Times New Roman" w:cs="Times New Roman"/>
          <w:b/>
          <w:bCs/>
          <w:sz w:val="21"/>
          <w:szCs w:val="21"/>
          <w:lang w:val="en-US" w:eastAsia="zh-CN"/>
        </w:rPr>
        <w:t>. High-NM CAFs induce a coordinated neuronal-like transcriptomic and functional program dependent on endogenous stromal VCAN.</w:t>
      </w:r>
    </w:p>
    <w:p w14:paraId="7960FD61">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240" w:lineRule="auto"/>
        <w:jc w:val="both"/>
        <w:textAlignment w:val="baseline"/>
        <w:rPr>
          <w:rFonts w:hint="default" w:ascii="Times New Roman" w:hAnsi="Times New Roman" w:eastAsia="sans-serif" w:cs="Times New Roman"/>
          <w:b w:val="0"/>
          <w:bCs w:val="0"/>
          <w:sz w:val="21"/>
          <w:szCs w:val="18"/>
        </w:rPr>
      </w:pPr>
      <w:r>
        <w:rPr>
          <w:rFonts w:hint="default" w:ascii="Times New Roman" w:hAnsi="Times New Roman" w:eastAsia="sans-serif" w:cs="Times New Roman"/>
          <w:b w:val="0"/>
          <w:bCs w:val="0"/>
          <w:sz w:val="21"/>
          <w:szCs w:val="18"/>
        </w:rPr>
        <w:t>(A</w:t>
      </w:r>
      <w:r>
        <w:rPr>
          <w:rFonts w:hint="default" w:ascii="Times New Roman" w:hAnsi="Times New Roman" w:eastAsia="宋体" w:cs="Times New Roman"/>
          <w:b w:val="0"/>
          <w:bCs w:val="0"/>
          <w:sz w:val="21"/>
          <w:szCs w:val="18"/>
          <w:lang w:val="en-US" w:eastAsia="zh-CN"/>
        </w:rPr>
        <w:t>-</w:t>
      </w:r>
      <w:r>
        <w:rPr>
          <w:rFonts w:hint="default" w:ascii="Times New Roman" w:hAnsi="Times New Roman" w:eastAsia="sans-serif" w:cs="Times New Roman"/>
          <w:b w:val="0"/>
          <w:bCs w:val="0"/>
          <w:sz w:val="21"/>
          <w:szCs w:val="18"/>
        </w:rPr>
        <w:t xml:space="preserve">C) Western blot verification of neuronal markers (MAP2, NeuN, NSE) across three independent patient-derived primary CAF cultures (CAF1 </w:t>
      </w:r>
      <w:r>
        <w:rPr>
          <w:rFonts w:hint="eastAsia" w:ascii="Times New Roman" w:hAnsi="Times New Roman" w:eastAsia="宋体" w:cs="Times New Roman"/>
          <w:b w:val="0"/>
          <w:bCs w:val="0"/>
          <w:sz w:val="21"/>
          <w:szCs w:val="18"/>
          <w:lang w:val="en-US" w:eastAsia="zh-CN"/>
        </w:rPr>
        <w:t>(</w:t>
      </w:r>
      <w:r>
        <w:rPr>
          <w:rFonts w:hint="default" w:ascii="Times New Roman" w:hAnsi="Times New Roman" w:eastAsia="sans-serif" w:cs="Times New Roman"/>
          <w:b w:val="0"/>
          <w:bCs w:val="0"/>
          <w:sz w:val="21"/>
          <w:szCs w:val="18"/>
        </w:rPr>
        <w:t>A</w:t>
      </w:r>
      <w:r>
        <w:rPr>
          <w:rFonts w:hint="default" w:ascii="Times New Roman" w:hAnsi="Times New Roman" w:eastAsia="宋体" w:cs="Times New Roman"/>
          <w:b w:val="0"/>
          <w:bCs w:val="0"/>
          <w:sz w:val="21"/>
          <w:szCs w:val="18"/>
          <w:lang w:val="en-US" w:eastAsia="zh-CN"/>
        </w:rPr>
        <w:t>)</w:t>
      </w:r>
      <w:r>
        <w:rPr>
          <w:rFonts w:hint="default" w:ascii="Times New Roman" w:hAnsi="Times New Roman" w:eastAsia="sans-serif" w:cs="Times New Roman"/>
          <w:b w:val="0"/>
          <w:bCs w:val="0"/>
          <w:sz w:val="21"/>
          <w:szCs w:val="18"/>
        </w:rPr>
        <w:t xml:space="preserve">, CAF2 </w:t>
      </w:r>
      <w:r>
        <w:rPr>
          <w:rFonts w:hint="default" w:ascii="Times New Roman" w:hAnsi="Times New Roman" w:eastAsia="宋体" w:cs="Times New Roman"/>
          <w:b w:val="0"/>
          <w:bCs w:val="0"/>
          <w:sz w:val="21"/>
          <w:szCs w:val="18"/>
          <w:lang w:val="en-US" w:eastAsia="zh-CN"/>
        </w:rPr>
        <w:t>(</w:t>
      </w:r>
      <w:r>
        <w:rPr>
          <w:rFonts w:hint="default" w:ascii="Times New Roman" w:hAnsi="Times New Roman" w:eastAsia="sans-serif" w:cs="Times New Roman"/>
          <w:b w:val="0"/>
          <w:bCs w:val="0"/>
          <w:sz w:val="21"/>
          <w:szCs w:val="18"/>
        </w:rPr>
        <w:t>B</w:t>
      </w:r>
      <w:r>
        <w:rPr>
          <w:rFonts w:hint="default" w:ascii="Times New Roman" w:hAnsi="Times New Roman" w:eastAsia="宋体" w:cs="Times New Roman"/>
          <w:b w:val="0"/>
          <w:bCs w:val="0"/>
          <w:sz w:val="21"/>
          <w:szCs w:val="18"/>
          <w:lang w:val="en-US" w:eastAsia="zh-CN"/>
        </w:rPr>
        <w:t>)</w:t>
      </w:r>
      <w:r>
        <w:rPr>
          <w:rFonts w:hint="default" w:ascii="Times New Roman" w:hAnsi="Times New Roman" w:eastAsia="sans-serif" w:cs="Times New Roman"/>
          <w:b w:val="0"/>
          <w:bCs w:val="0"/>
          <w:sz w:val="21"/>
          <w:szCs w:val="18"/>
        </w:rPr>
        <w:t xml:space="preserve">, CAF3 </w:t>
      </w:r>
      <w:r>
        <w:rPr>
          <w:rFonts w:hint="default" w:ascii="Times New Roman" w:hAnsi="Times New Roman" w:eastAsia="宋体" w:cs="Times New Roman"/>
          <w:b w:val="0"/>
          <w:bCs w:val="0"/>
          <w:sz w:val="21"/>
          <w:szCs w:val="18"/>
          <w:lang w:val="en-US" w:eastAsia="zh-CN"/>
        </w:rPr>
        <w:t>(</w:t>
      </w:r>
      <w:r>
        <w:rPr>
          <w:rFonts w:hint="default" w:ascii="Times New Roman" w:hAnsi="Times New Roman" w:eastAsia="sans-serif" w:cs="Times New Roman"/>
          <w:b w:val="0"/>
          <w:bCs w:val="0"/>
          <w:sz w:val="21"/>
          <w:szCs w:val="18"/>
        </w:rPr>
        <w:t>C</w:t>
      </w:r>
      <w:r>
        <w:rPr>
          <w:rFonts w:hint="default" w:ascii="Times New Roman" w:hAnsi="Times New Roman" w:eastAsia="宋体" w:cs="Times New Roman"/>
          <w:b w:val="0"/>
          <w:bCs w:val="0"/>
          <w:sz w:val="21"/>
          <w:szCs w:val="18"/>
          <w:lang w:val="en-US" w:eastAsia="zh-CN"/>
        </w:rPr>
        <w:t>)</w:t>
      </w:r>
      <w:r>
        <w:rPr>
          <w:rFonts w:hint="default" w:ascii="Times New Roman" w:hAnsi="Times New Roman" w:eastAsia="sans-serif" w:cs="Times New Roman"/>
          <w:b w:val="0"/>
          <w:bCs w:val="0"/>
          <w:sz w:val="21"/>
          <w:szCs w:val="18"/>
        </w:rPr>
        <w:t xml:space="preserve">) under Control, Low-NM, High-NM, sg-VCAN1, sg-VCAN2, and sg-VCAN + VCAN-Res conditions. </w:t>
      </w:r>
    </w:p>
    <w:p w14:paraId="2A47336B">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240" w:lineRule="auto"/>
        <w:jc w:val="both"/>
        <w:textAlignment w:val="baseline"/>
        <w:rPr>
          <w:rFonts w:hint="default" w:ascii="Times New Roman" w:hAnsi="Times New Roman" w:eastAsia="sans-serif" w:cs="Times New Roman"/>
          <w:b w:val="0"/>
          <w:bCs w:val="0"/>
          <w:sz w:val="21"/>
          <w:szCs w:val="18"/>
        </w:rPr>
      </w:pPr>
      <w:r>
        <w:rPr>
          <w:rFonts w:hint="default" w:ascii="Times New Roman" w:hAnsi="Times New Roman" w:eastAsia="sans-serif" w:cs="Times New Roman"/>
          <w:b w:val="0"/>
          <w:bCs w:val="0"/>
          <w:sz w:val="21"/>
          <w:szCs w:val="18"/>
        </w:rPr>
        <w:t xml:space="preserve">(D) Principal component analysis (PCA) of RNA-seq profiles demonstrating transcriptional segregation among Control, High-NM, VCAN-KO, and VCAN-Rescue CAF CM-treated gastric cancer cells. </w:t>
      </w:r>
    </w:p>
    <w:p w14:paraId="5E91F961">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240" w:lineRule="auto"/>
        <w:jc w:val="both"/>
        <w:textAlignment w:val="baseline"/>
        <w:rPr>
          <w:rFonts w:hint="default" w:ascii="Times New Roman" w:hAnsi="Times New Roman" w:eastAsia="sans-serif" w:cs="Times New Roman"/>
          <w:b w:val="0"/>
          <w:bCs w:val="0"/>
          <w:sz w:val="21"/>
          <w:szCs w:val="18"/>
        </w:rPr>
      </w:pPr>
      <w:r>
        <w:rPr>
          <w:rFonts w:hint="default" w:ascii="Times New Roman" w:hAnsi="Times New Roman" w:eastAsia="sans-serif" w:cs="Times New Roman"/>
          <w:b w:val="0"/>
          <w:bCs w:val="0"/>
          <w:sz w:val="21"/>
          <w:szCs w:val="18"/>
        </w:rPr>
        <w:t xml:space="preserve">(E) Heatmap of row Z-score normalized expression across key modules: Axon Guidance, Synapse/Neurotransmitter machinery, EMT, Stemness, and Hypoxia/Stress response. </w:t>
      </w:r>
    </w:p>
    <w:p w14:paraId="7D067061">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240" w:lineRule="auto"/>
        <w:jc w:val="both"/>
        <w:textAlignment w:val="baseline"/>
        <w:rPr>
          <w:rFonts w:hint="default" w:ascii="Times New Roman" w:hAnsi="Times New Roman" w:eastAsia="sans-serif" w:cs="Times New Roman"/>
          <w:b w:val="0"/>
          <w:bCs w:val="0"/>
          <w:sz w:val="21"/>
          <w:szCs w:val="18"/>
        </w:rPr>
      </w:pPr>
      <w:r>
        <w:rPr>
          <w:rFonts w:hint="default" w:ascii="Times New Roman" w:hAnsi="Times New Roman" w:eastAsia="sans-serif" w:cs="Times New Roman"/>
          <w:b w:val="0"/>
          <w:bCs w:val="0"/>
          <w:sz w:val="21"/>
          <w:szCs w:val="18"/>
        </w:rPr>
        <w:t>(F</w:t>
      </w:r>
      <w:r>
        <w:rPr>
          <w:rFonts w:hint="default" w:ascii="Times New Roman" w:hAnsi="Times New Roman" w:eastAsia="宋体" w:cs="Times New Roman"/>
          <w:b w:val="0"/>
          <w:bCs w:val="0"/>
          <w:sz w:val="21"/>
          <w:szCs w:val="18"/>
          <w:lang w:val="en-US" w:eastAsia="zh-CN"/>
        </w:rPr>
        <w:t>-</w:t>
      </w:r>
      <w:r>
        <w:rPr>
          <w:rFonts w:hint="default" w:ascii="Times New Roman" w:hAnsi="Times New Roman" w:eastAsia="sans-serif" w:cs="Times New Roman"/>
          <w:b w:val="0"/>
          <w:bCs w:val="0"/>
          <w:sz w:val="21"/>
          <w:szCs w:val="18"/>
        </w:rPr>
        <w:t xml:space="preserve">J) GSEA enrichment plots for Axon Guidance (F), Synapse/Neurotransmitter Signaling (G), Hypoxia/Stress (H), EMT (I), and Stemness (J) gene signatures in High-NM vs Control cells. </w:t>
      </w:r>
    </w:p>
    <w:p w14:paraId="0114E8FD">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240" w:lineRule="auto"/>
        <w:jc w:val="both"/>
        <w:textAlignment w:val="baseline"/>
        <w:rPr>
          <w:rFonts w:hint="default" w:ascii="Times New Roman" w:hAnsi="Times New Roman" w:eastAsia="sans-serif" w:cs="Times New Roman"/>
          <w:b w:val="0"/>
          <w:bCs w:val="0"/>
          <w:sz w:val="21"/>
          <w:szCs w:val="18"/>
        </w:rPr>
      </w:pPr>
      <w:r>
        <w:rPr>
          <w:rFonts w:hint="default" w:ascii="Times New Roman" w:hAnsi="Times New Roman" w:eastAsia="sans-serif" w:cs="Times New Roman"/>
          <w:b w:val="0"/>
          <w:bCs w:val="0"/>
          <w:sz w:val="21"/>
          <w:szCs w:val="18"/>
        </w:rPr>
        <w:t>(K</w:t>
      </w:r>
      <w:r>
        <w:rPr>
          <w:rFonts w:hint="default" w:ascii="Times New Roman" w:hAnsi="Times New Roman" w:eastAsia="宋体" w:cs="Times New Roman"/>
          <w:b w:val="0"/>
          <w:bCs w:val="0"/>
          <w:sz w:val="21"/>
          <w:szCs w:val="18"/>
          <w:lang w:val="en-US" w:eastAsia="zh-CN"/>
        </w:rPr>
        <w:t>-</w:t>
      </w:r>
      <w:r>
        <w:rPr>
          <w:rFonts w:hint="default" w:ascii="Times New Roman" w:hAnsi="Times New Roman" w:eastAsia="sans-serif" w:cs="Times New Roman"/>
          <w:b w:val="0"/>
          <w:bCs w:val="0"/>
          <w:sz w:val="21"/>
          <w:szCs w:val="18"/>
        </w:rPr>
        <w:t xml:space="preserve">M) Quantitative module program scores for Neuronal-like Program (K), EMT (L), and Stemness (M) across treatment cohorts. </w:t>
      </w:r>
    </w:p>
    <w:p w14:paraId="28307267">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240" w:lineRule="auto"/>
        <w:jc w:val="both"/>
        <w:textAlignment w:val="baseline"/>
        <w:rPr>
          <w:rFonts w:hint="default" w:ascii="Times New Roman" w:hAnsi="Times New Roman" w:eastAsia="sans-serif" w:cs="Times New Roman"/>
          <w:b w:val="0"/>
          <w:bCs w:val="0"/>
          <w:sz w:val="21"/>
          <w:szCs w:val="18"/>
        </w:rPr>
      </w:pPr>
      <w:r>
        <w:rPr>
          <w:rFonts w:hint="default" w:ascii="Times New Roman" w:hAnsi="Times New Roman" w:eastAsia="sans-serif" w:cs="Times New Roman"/>
          <w:b w:val="0"/>
          <w:bCs w:val="0"/>
          <w:sz w:val="21"/>
          <w:szCs w:val="18"/>
        </w:rPr>
        <w:t>(N) Real-time intracellular calcium (C</w:t>
      </w:r>
      <w:r>
        <w:rPr>
          <w:rFonts w:hint="default" w:ascii="Times New Roman" w:hAnsi="Times New Roman" w:eastAsia="宋体" w:cs="Times New Roman"/>
          <w:b w:val="0"/>
          <w:bCs w:val="0"/>
          <w:sz w:val="21"/>
          <w:szCs w:val="18"/>
          <w:lang w:val="en-US" w:eastAsia="zh-CN"/>
        </w:rPr>
        <w:t>a</w:t>
      </w:r>
      <w:r>
        <w:rPr>
          <w:rFonts w:hint="default" w:ascii="Times New Roman" w:hAnsi="Times New Roman" w:eastAsia="sans-serif" w:cs="Times New Roman"/>
          <w:b w:val="0"/>
          <w:bCs w:val="0"/>
          <w:sz w:val="21"/>
          <w:szCs w:val="18"/>
          <w:vertAlign w:val="superscript"/>
        </w:rPr>
        <w:t>2+</w:t>
      </w:r>
      <w:r>
        <w:rPr>
          <w:rFonts w:hint="default" w:ascii="Times New Roman" w:hAnsi="Times New Roman" w:eastAsia="sans-serif" w:cs="Times New Roman"/>
          <w:b w:val="0"/>
          <w:bCs w:val="0"/>
          <w:sz w:val="21"/>
          <w:szCs w:val="18"/>
        </w:rPr>
        <w:t xml:space="preserve">) transient kinetics (Δ F/F$) over 30 s recorded by confocal imaging upon 60 mM KCl depolarization stimulation in gastric cancer cells preconditioned with Ctrl-CAFs CM, High-NM CAFs CM, VCAN-KO CAFs CM, or VCAN-Rescue CAFs CM. </w:t>
      </w:r>
    </w:p>
    <w:p w14:paraId="4BC16320">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p>
    <w:p w14:paraId="2E2BC03D">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14</w:t>
      </w:r>
    </w:p>
    <w:p w14:paraId="2D15F61E">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eastAsia" w:ascii="Times New Roman" w:hAnsi="Times New Roman" w:cs="Times New Roman"/>
          <w:b/>
          <w:bCs/>
          <w:sz w:val="40"/>
          <w:szCs w:val="40"/>
          <w:lang w:val="en-US" w:eastAsia="zh-CN"/>
        </w:rPr>
        <w:drawing>
          <wp:inline distT="0" distB="0" distL="114300" distR="114300">
            <wp:extent cx="5273675" cy="5440045"/>
            <wp:effectExtent l="0" t="0" r="3175" b="8255"/>
            <wp:docPr id="16" name="图片 16" descr="Supplementary Fig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upplementary Figure 15"/>
                    <pic:cNvPicPr>
                      <a:picLocks noChangeAspect="1"/>
                    </pic:cNvPicPr>
                  </pic:nvPicPr>
                  <pic:blipFill>
                    <a:blip r:embed="rId19"/>
                    <a:stretch>
                      <a:fillRect/>
                    </a:stretch>
                  </pic:blipFill>
                  <pic:spPr>
                    <a:xfrm>
                      <a:off x="0" y="0"/>
                      <a:ext cx="5273675" cy="5440045"/>
                    </a:xfrm>
                    <a:prstGeom prst="rect">
                      <a:avLst/>
                    </a:prstGeom>
                  </pic:spPr>
                </pic:pic>
              </a:graphicData>
            </a:graphic>
          </wp:inline>
        </w:drawing>
      </w:r>
    </w:p>
    <w:p w14:paraId="5393912F">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9" w:lineRule="atLeast"/>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Supplementary Figure </w:t>
      </w:r>
      <w:r>
        <w:rPr>
          <w:rFonts w:hint="eastAsia" w:ascii="Times New Roman" w:hAnsi="Times New Roman" w:cs="Times New Roman"/>
          <w:b/>
          <w:bCs/>
          <w:sz w:val="21"/>
          <w:szCs w:val="21"/>
          <w:lang w:val="en-US" w:eastAsia="zh-CN"/>
        </w:rPr>
        <w:t>14</w:t>
      </w:r>
      <w:r>
        <w:rPr>
          <w:rFonts w:hint="default" w:ascii="Times New Roman" w:hAnsi="Times New Roman" w:cs="Times New Roman"/>
          <w:b/>
          <w:bCs/>
          <w:sz w:val="21"/>
          <w:szCs w:val="21"/>
          <w:lang w:val="en-US" w:eastAsia="zh-CN"/>
        </w:rPr>
        <w:t>. Real-time live-cell confocal tracking of CD8⁺ T cell 3D matrix penetration, contact dynamics, and cytotoxic function in tumor spheroids co-embedded with distinct CAF subsets.</w:t>
      </w:r>
    </w:p>
    <w:p w14:paraId="637DC5EE">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9" w:lineRule="atLeast"/>
        <w:jc w:val="both"/>
        <w:textAlignment w:val="baseline"/>
        <w:rPr>
          <w:rFonts w:hint="default" w:ascii="Times New Roman" w:hAnsi="Times New Roman" w:eastAsia="Arial" w:cs="Times New Roman"/>
          <w:b w:val="0"/>
          <w:bCs w:val="0"/>
          <w:snapToGrid w:val="0"/>
          <w:color w:val="000000"/>
          <w:kern w:val="0"/>
          <w:sz w:val="21"/>
          <w:szCs w:val="21"/>
          <w:lang w:val="en-US" w:eastAsia="zh-CN" w:bidi="ar-SA"/>
        </w:rPr>
      </w:pPr>
      <w:r>
        <w:rPr>
          <w:rFonts w:hint="default" w:ascii="Times New Roman" w:hAnsi="Times New Roman" w:eastAsia="Arial" w:cs="Times New Roman"/>
          <w:b w:val="0"/>
          <w:bCs w:val="0"/>
          <w:snapToGrid w:val="0"/>
          <w:color w:val="000000"/>
          <w:kern w:val="0"/>
          <w:sz w:val="21"/>
          <w:szCs w:val="21"/>
          <w:lang w:val="en-US" w:eastAsia="zh-CN" w:bidi="ar-SA"/>
        </w:rPr>
        <w:t>(A) Representative 3D live-cell confocal reconstruction micrographs tracking the spatiotemporal migration of activated CD8</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T</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 xml:space="preserve">cells (green) into gastric tumor spheroids (red) within Matrigel matrices across 24, 48, and 72 h in Ctrl-CAFs, High-NM CAFs, VCAN-KO CAFs, and VCAN-Rescue CAFs co-cultures. </w:t>
      </w:r>
    </w:p>
    <w:p w14:paraId="486D8069">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9" w:lineRule="atLeast"/>
        <w:jc w:val="both"/>
        <w:textAlignment w:val="baseline"/>
        <w:rPr>
          <w:rFonts w:hint="default" w:ascii="Times New Roman" w:hAnsi="Times New Roman" w:eastAsia="Arial" w:cs="Times New Roman"/>
          <w:b w:val="0"/>
          <w:bCs w:val="0"/>
          <w:snapToGrid w:val="0"/>
          <w:color w:val="000000"/>
          <w:kern w:val="0"/>
          <w:sz w:val="21"/>
          <w:szCs w:val="21"/>
          <w:lang w:val="en-US" w:eastAsia="zh-CN" w:bidi="ar-SA"/>
        </w:rPr>
      </w:pP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(B, C) Quantification of CD8</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T</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 xml:space="preserve">cell migration depth in outer Matrigel matrix (B) and penetration depth within tumor spheroids (C) over time. </w:t>
      </w:r>
    </w:p>
    <w:p w14:paraId="08A558CB">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9" w:lineRule="atLeast"/>
        <w:jc w:val="both"/>
        <w:textAlignment w:val="baseline"/>
        <w:rPr>
          <w:rFonts w:hint="default" w:ascii="Times New Roman" w:hAnsi="Times New Roman" w:eastAsia="Arial" w:cs="Times New Roman"/>
          <w:b w:val="0"/>
          <w:bCs w:val="0"/>
          <w:snapToGrid w:val="0"/>
          <w:color w:val="000000"/>
          <w:kern w:val="0"/>
          <w:sz w:val="21"/>
          <w:szCs w:val="21"/>
          <w:lang w:val="en-US" w:eastAsia="zh-CN" w:bidi="ar-SA"/>
        </w:rPr>
      </w:pPr>
      <w:r>
        <w:rPr>
          <w:rFonts w:hint="default" w:ascii="Times New Roman" w:hAnsi="Times New Roman" w:eastAsia="Arial" w:cs="Times New Roman"/>
          <w:b w:val="0"/>
          <w:bCs w:val="0"/>
          <w:snapToGrid w:val="0"/>
          <w:color w:val="000000"/>
          <w:kern w:val="0"/>
          <w:sz w:val="21"/>
          <w:szCs w:val="21"/>
          <w:lang w:val="en-US" w:eastAsia="zh-CN" w:bidi="ar-SA"/>
        </w:rPr>
        <w:t>(D, E) Kinetic quantification of total infiltrating CD8</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T cell counts (D) and CD8</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T cell density per mm</w:t>
      </w:r>
      <w:r>
        <w:rPr>
          <w:rFonts w:hint="default" w:ascii="Times New Roman" w:hAnsi="Times New Roman" w:eastAsia="Arial" w:cs="Times New Roman"/>
          <w:b w:val="0"/>
          <w:bCs w:val="0"/>
          <w:snapToGrid w:val="0"/>
          <w:color w:val="000000"/>
          <w:kern w:val="0"/>
          <w:sz w:val="21"/>
          <w:szCs w:val="21"/>
          <w:vertAlign w:val="superscript"/>
          <w:lang w:val="en-US" w:eastAsia="zh-CN" w:bidi="ar-SA"/>
        </w:rPr>
        <w:t>2</w:t>
      </w:r>
      <w:r>
        <w:rPr>
          <w:rFonts w:hint="default" w:ascii="Times New Roman" w:hAnsi="Times New Roman" w:eastAsia="Arial" w:cs="Times New Roman"/>
          <w:b w:val="0"/>
          <w:bCs w:val="0"/>
          <w:snapToGrid w:val="0"/>
          <w:color w:val="000000"/>
          <w:kern w:val="0"/>
          <w:sz w:val="21"/>
          <w:szCs w:val="21"/>
          <w:lang w:val="en-US" w:eastAsia="zh-CN" w:bidi="ar-SA"/>
        </w:rPr>
        <w:t xml:space="preserve"> (E) in tumor compartments. </w:t>
      </w:r>
    </w:p>
    <w:p w14:paraId="2CB0EED0">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9" w:lineRule="atLeast"/>
        <w:jc w:val="both"/>
        <w:textAlignment w:val="baseline"/>
        <w:rPr>
          <w:rFonts w:hint="default" w:ascii="Times New Roman" w:hAnsi="Times New Roman" w:eastAsia="Arial" w:cs="Times New Roman"/>
          <w:b w:val="0"/>
          <w:bCs w:val="0"/>
          <w:snapToGrid w:val="0"/>
          <w:color w:val="000000"/>
          <w:kern w:val="0"/>
          <w:sz w:val="21"/>
          <w:szCs w:val="21"/>
          <w:lang w:val="en-US" w:eastAsia="zh-CN" w:bidi="ar-SA"/>
        </w:rPr>
      </w:pPr>
      <w:r>
        <w:rPr>
          <w:rFonts w:hint="default" w:ascii="Times New Roman" w:hAnsi="Times New Roman" w:eastAsia="Arial" w:cs="Times New Roman"/>
          <w:b w:val="0"/>
          <w:bCs w:val="0"/>
          <w:snapToGrid w:val="0"/>
          <w:color w:val="000000"/>
          <w:kern w:val="0"/>
          <w:sz w:val="21"/>
          <w:szCs w:val="21"/>
          <w:lang w:val="en-US" w:eastAsia="zh-CN" w:bidi="ar-SA"/>
        </w:rPr>
        <w:t>(F) Percentage spatial distribution of intratumoral CD8</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T cells across defined distance zones (0</w:t>
      </w:r>
      <w:r>
        <w:rPr>
          <w:rFonts w:hint="eastAsia" w:ascii="Times New Roman" w:hAnsi="Times New Roman" w:eastAsia="Arial" w:cs="Times New Roman"/>
          <w:b w:val="0"/>
          <w:bCs w:val="0"/>
          <w:snapToGrid w:val="0"/>
          <w:color w:val="000000"/>
          <w:kern w:val="0"/>
          <w:sz w:val="21"/>
          <w:szCs w:val="21"/>
          <w:lang w:val="en-US" w:eastAsia="zh-CN" w:bidi="ar-SA"/>
        </w:rPr>
        <w:t>-</w:t>
      </w:r>
      <w:r>
        <w:rPr>
          <w:rFonts w:hint="default" w:ascii="Times New Roman" w:hAnsi="Times New Roman" w:eastAsia="Arial" w:cs="Times New Roman"/>
          <w:b w:val="0"/>
          <w:bCs w:val="0"/>
          <w:snapToGrid w:val="0"/>
          <w:color w:val="000000"/>
          <w:kern w:val="0"/>
          <w:sz w:val="21"/>
          <w:szCs w:val="21"/>
          <w:lang w:val="en-US" w:eastAsia="zh-CN" w:bidi="ar-SA"/>
        </w:rPr>
        <w:t>2</w:t>
      </w:r>
      <w:r>
        <w:rPr>
          <w:rFonts w:hint="eastAsia" w:ascii="Times New Roman" w:hAnsi="Times New Roman" w:eastAsia="Arial" w:cs="Times New Roman"/>
          <w:b w:val="0"/>
          <w:bCs w:val="0"/>
          <w:snapToGrid w:val="0"/>
          <w:color w:val="000000"/>
          <w:kern w:val="0"/>
          <w:sz w:val="21"/>
          <w:szCs w:val="21"/>
          <w:lang w:val="en-US" w:eastAsia="zh-CN" w:bidi="ar-SA"/>
        </w:rPr>
        <w:t xml:space="preserve">5 </w:t>
      </w:r>
      <w:r>
        <w:rPr>
          <w:rFonts w:hint="default" w:ascii="Times New Roman" w:hAnsi="Times New Roman" w:eastAsia="Arial" w:cs="Times New Roman"/>
          <w:b w:val="0"/>
          <w:bCs w:val="0"/>
          <w:snapToGrid w:val="0"/>
          <w:color w:val="000000"/>
          <w:kern w:val="0"/>
          <w:sz w:val="21"/>
          <w:szCs w:val="21"/>
          <w:lang w:val="en-US" w:eastAsia="zh-CN" w:bidi="ar-SA"/>
        </w:rPr>
        <w:t>μm, 25</w:t>
      </w:r>
      <w:r>
        <w:rPr>
          <w:rFonts w:hint="eastAsia" w:ascii="Times New Roman" w:hAnsi="Times New Roman" w:eastAsia="Arial" w:cs="Times New Roman"/>
          <w:b w:val="0"/>
          <w:bCs w:val="0"/>
          <w:snapToGrid w:val="0"/>
          <w:color w:val="000000"/>
          <w:kern w:val="0"/>
          <w:sz w:val="21"/>
          <w:szCs w:val="21"/>
          <w:lang w:val="en-US" w:eastAsia="zh-CN" w:bidi="ar-SA"/>
        </w:rPr>
        <w:t>-</w:t>
      </w:r>
      <w:r>
        <w:rPr>
          <w:rFonts w:hint="default" w:ascii="Times New Roman" w:hAnsi="Times New Roman" w:eastAsia="Arial" w:cs="Times New Roman"/>
          <w:b w:val="0"/>
          <w:bCs w:val="0"/>
          <w:snapToGrid w:val="0"/>
          <w:color w:val="000000"/>
          <w:kern w:val="0"/>
          <w:sz w:val="21"/>
          <w:szCs w:val="21"/>
          <w:lang w:val="en-US" w:eastAsia="zh-CN" w:bidi="ar-SA"/>
        </w:rPr>
        <w:t>50</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μm, 50</w:t>
      </w:r>
      <w:r>
        <w:rPr>
          <w:rFonts w:hint="eastAsia" w:ascii="Times New Roman" w:hAnsi="Times New Roman" w:eastAsia="Arial" w:cs="Times New Roman"/>
          <w:b w:val="0"/>
          <w:bCs w:val="0"/>
          <w:snapToGrid w:val="0"/>
          <w:color w:val="000000"/>
          <w:kern w:val="0"/>
          <w:sz w:val="21"/>
          <w:szCs w:val="21"/>
          <w:lang w:val="en-US" w:eastAsia="zh-CN" w:bidi="ar-SA"/>
        </w:rPr>
        <w:t>-</w:t>
      </w:r>
      <w:r>
        <w:rPr>
          <w:rFonts w:hint="default" w:ascii="Times New Roman" w:hAnsi="Times New Roman" w:eastAsia="Arial" w:cs="Times New Roman"/>
          <w:b w:val="0"/>
          <w:bCs w:val="0"/>
          <w:snapToGrid w:val="0"/>
          <w:color w:val="000000"/>
          <w:kern w:val="0"/>
          <w:sz w:val="21"/>
          <w:szCs w:val="21"/>
          <w:lang w:val="en-US" w:eastAsia="zh-CN" w:bidi="ar-SA"/>
        </w:rPr>
        <w:t>75</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μm, &gt;75</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 xml:space="preserve">μm from the spheroid boundary). </w:t>
      </w:r>
    </w:p>
    <w:p w14:paraId="20B7C347">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9" w:lineRule="atLeast"/>
        <w:jc w:val="both"/>
        <w:textAlignment w:val="baseline"/>
        <w:rPr>
          <w:rFonts w:hint="default" w:ascii="Times New Roman" w:hAnsi="Times New Roman" w:eastAsia="Arial" w:cs="Times New Roman"/>
          <w:b w:val="0"/>
          <w:bCs w:val="0"/>
          <w:snapToGrid w:val="0"/>
          <w:color w:val="000000"/>
          <w:kern w:val="0"/>
          <w:sz w:val="21"/>
          <w:szCs w:val="21"/>
          <w:lang w:val="en-US" w:eastAsia="zh-CN" w:bidi="ar-SA"/>
        </w:rPr>
      </w:pPr>
      <w:r>
        <w:rPr>
          <w:rFonts w:hint="default" w:ascii="Times New Roman" w:hAnsi="Times New Roman" w:eastAsia="Arial" w:cs="Times New Roman"/>
          <w:b w:val="0"/>
          <w:bCs w:val="0"/>
          <w:snapToGrid w:val="0"/>
          <w:color w:val="000000"/>
          <w:kern w:val="0"/>
          <w:sz w:val="21"/>
          <w:szCs w:val="21"/>
          <w:lang w:val="en-US" w:eastAsia="zh-CN" w:bidi="ar-SA"/>
        </w:rPr>
        <w:t>(G, H) In vitro tumor spheroid killing efficiency quantified by Caspase-3</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default" w:ascii="Times New Roman" w:hAnsi="Times New Roman" w:eastAsia="Arial" w:cs="Times New Roman"/>
          <w:b w:val="0"/>
          <w:bCs w:val="0"/>
          <w:snapToGrid w:val="0"/>
          <w:color w:val="000000"/>
          <w:kern w:val="0"/>
          <w:sz w:val="21"/>
          <w:szCs w:val="21"/>
          <w:lang w:val="en-US" w:eastAsia="zh-CN" w:bidi="ar-SA"/>
        </w:rPr>
        <w:t xml:space="preserve"> apoptotic fractions (G) and total tumor cell apoptosis percentage (H). </w:t>
      </w:r>
    </w:p>
    <w:p w14:paraId="483B0D76">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9" w:lineRule="atLeast"/>
        <w:jc w:val="both"/>
        <w:textAlignment w:val="baseline"/>
        <w:rPr>
          <w:rFonts w:hint="default" w:ascii="Times New Roman" w:hAnsi="Times New Roman" w:eastAsia="Arial" w:cs="Times New Roman"/>
          <w:b w:val="0"/>
          <w:bCs w:val="0"/>
          <w:snapToGrid w:val="0"/>
          <w:color w:val="000000"/>
          <w:kern w:val="0"/>
          <w:sz w:val="21"/>
          <w:szCs w:val="21"/>
          <w:lang w:val="en-US" w:eastAsia="zh-CN" w:bidi="ar-SA"/>
        </w:rPr>
      </w:pPr>
      <w:r>
        <w:rPr>
          <w:rFonts w:hint="default" w:ascii="Times New Roman" w:hAnsi="Times New Roman" w:eastAsia="Arial" w:cs="Times New Roman"/>
          <w:b w:val="0"/>
          <w:bCs w:val="0"/>
          <w:snapToGrid w:val="0"/>
          <w:color w:val="000000"/>
          <w:kern w:val="0"/>
          <w:sz w:val="21"/>
          <w:szCs w:val="21"/>
          <w:lang w:val="en-US" w:eastAsia="zh-CN" w:bidi="ar-SA"/>
        </w:rPr>
        <w:t xml:space="preserve">(I) Tumor cell fraction breakdown (viable vs early/late apoptotic cells) after 72 h co-culture. </w:t>
      </w:r>
    </w:p>
    <w:p w14:paraId="4950849E">
      <w:pPr>
        <w:pStyle w:val="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Autospacing="0" w:line="9" w:lineRule="atLeast"/>
        <w:jc w:val="both"/>
        <w:textAlignment w:val="baseline"/>
        <w:rPr>
          <w:rFonts w:hint="eastAsia" w:ascii="Times New Roman" w:hAnsi="Times New Roman" w:eastAsia="Arial" w:cs="Times New Roman"/>
          <w:b w:val="0"/>
          <w:bCs w:val="0"/>
          <w:snapToGrid w:val="0"/>
          <w:color w:val="000000"/>
          <w:kern w:val="0"/>
          <w:sz w:val="21"/>
          <w:szCs w:val="21"/>
          <w:lang w:val="en-US" w:eastAsia="zh-CN" w:bidi="ar-SA"/>
        </w:rPr>
      </w:pPr>
      <w:r>
        <w:rPr>
          <w:rFonts w:hint="default" w:ascii="Times New Roman" w:hAnsi="Times New Roman" w:eastAsia="Arial" w:cs="Times New Roman"/>
          <w:b w:val="0"/>
          <w:bCs w:val="0"/>
          <w:snapToGrid w:val="0"/>
          <w:color w:val="000000"/>
          <w:kern w:val="0"/>
          <w:sz w:val="21"/>
          <w:szCs w:val="21"/>
          <w:lang w:val="en-US" w:eastAsia="zh-CN" w:bidi="ar-SA"/>
        </w:rPr>
        <w:t>(J) Flow cytometric profiling and statistical quantification of cytotoxic degranulation and effector cytokines</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CD107a</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default" w:ascii="Times New Roman" w:hAnsi="Times New Roman" w:eastAsia="Arial" w:cs="Times New Roman"/>
          <w:b w:val="0"/>
          <w:bCs w:val="0"/>
          <w:snapToGrid w:val="0"/>
          <w:color w:val="000000"/>
          <w:kern w:val="0"/>
          <w:sz w:val="21"/>
          <w:szCs w:val="21"/>
          <w:lang w:val="en-US" w:eastAsia="zh-CN" w:bidi="ar-SA"/>
        </w:rPr>
        <w:t>, Granzyme B</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default" w:ascii="Times New Roman" w:hAnsi="Times New Roman" w:eastAsia="Arial" w:cs="Times New Roman"/>
          <w:b w:val="0"/>
          <w:bCs w:val="0"/>
          <w:snapToGrid w:val="0"/>
          <w:color w:val="000000"/>
          <w:kern w:val="0"/>
          <w:sz w:val="21"/>
          <w:szCs w:val="21"/>
          <w:lang w:val="en-US" w:eastAsia="zh-CN" w:bidi="ar-SA"/>
        </w:rPr>
        <w:t>,</w:t>
      </w:r>
      <w:r>
        <w:rPr>
          <w:rFonts w:hint="eastAsia" w:ascii="Times New Roman" w:hAnsi="Times New Roman" w:eastAsia="Arial"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IFN-</w:t>
      </w:r>
      <w:r>
        <w:rPr>
          <w:rFonts w:hint="eastAsia" w:ascii="Times New Roman" w:hAnsi="Times New Roman" w:eastAsia="Arial" w:cs="Times New Roman"/>
          <w:b w:val="0"/>
          <w:bCs w:val="0"/>
          <w:snapToGrid w:val="0"/>
          <w:color w:val="000000"/>
          <w:kern w:val="0"/>
          <w:sz w:val="21"/>
          <w:szCs w:val="21"/>
          <w:lang w:val="en-US" w:eastAsia="zh-CN" w:bidi="ar-SA"/>
        </w:rPr>
        <w:t>γ</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default" w:ascii="Times New Roman" w:hAnsi="Times New Roman" w:eastAsia="Arial" w:cs="Times New Roman"/>
          <w:b w:val="0"/>
          <w:bCs w:val="0"/>
          <w:snapToGrid w:val="0"/>
          <w:color w:val="000000"/>
          <w:kern w:val="0"/>
          <w:sz w:val="21"/>
          <w:szCs w:val="21"/>
          <w:lang w:val="en-US" w:eastAsia="zh-CN" w:bidi="ar-SA"/>
        </w:rPr>
        <w:t>, and</w:t>
      </w:r>
      <w:r>
        <w:rPr>
          <w:rFonts w:hint="eastAsia" w:ascii="Times New Roman" w:hAnsi="Times New Roman" w:cs="Times New Roman"/>
          <w:b w:val="0"/>
          <w:bCs w:val="0"/>
          <w:snapToGrid w:val="0"/>
          <w:color w:val="000000"/>
          <w:kern w:val="0"/>
          <w:sz w:val="21"/>
          <w:szCs w:val="21"/>
          <w:lang w:val="en-US" w:eastAsia="zh-CN" w:bidi="ar-SA"/>
        </w:rPr>
        <w:t xml:space="preserve"> </w:t>
      </w:r>
      <w:r>
        <w:rPr>
          <w:rFonts w:hint="default" w:ascii="Times New Roman" w:hAnsi="Times New Roman" w:eastAsia="Arial" w:cs="Times New Roman"/>
          <w:b w:val="0"/>
          <w:bCs w:val="0"/>
          <w:snapToGrid w:val="0"/>
          <w:color w:val="000000"/>
          <w:kern w:val="0"/>
          <w:sz w:val="21"/>
          <w:szCs w:val="21"/>
          <w:lang w:val="en-US" w:eastAsia="zh-CN" w:bidi="ar-SA"/>
        </w:rPr>
        <w:t>Perforin</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default" w:ascii="Times New Roman" w:hAnsi="Times New Roman" w:eastAsia="Arial" w:cs="Times New Roman"/>
          <w:b w:val="0"/>
          <w:bCs w:val="0"/>
          <w:snapToGrid w:val="0"/>
          <w:color w:val="000000"/>
          <w:kern w:val="0"/>
          <w:sz w:val="21"/>
          <w:szCs w:val="21"/>
          <w:lang w:val="en-US" w:eastAsia="zh-CN" w:bidi="ar-SA"/>
        </w:rPr>
        <w:t>) in harvested CD8</w:t>
      </w:r>
      <w:r>
        <w:rPr>
          <w:rFonts w:hint="default" w:ascii="Times New Roman" w:hAnsi="Times New Roman" w:eastAsia="Arial" w:cs="Times New Roman"/>
          <w:b w:val="0"/>
          <w:bCs w:val="0"/>
          <w:snapToGrid w:val="0"/>
          <w:color w:val="000000"/>
          <w:kern w:val="0"/>
          <w:sz w:val="21"/>
          <w:szCs w:val="21"/>
          <w:vertAlign w:val="superscript"/>
          <w:lang w:val="en-US" w:eastAsia="zh-CN" w:bidi="ar-SA"/>
        </w:rPr>
        <w:t>+</w:t>
      </w:r>
      <w:r>
        <w:rPr>
          <w:rFonts w:hint="eastAsia" w:ascii="Times New Roman" w:hAnsi="Times New Roman" w:eastAsia="Arial" w:cs="Times New Roman"/>
          <w:b w:val="0"/>
          <w:bCs w:val="0"/>
          <w:snapToGrid w:val="0"/>
          <w:color w:val="000000"/>
          <w:kern w:val="0"/>
          <w:sz w:val="21"/>
          <w:szCs w:val="21"/>
          <w:lang w:val="en-US" w:eastAsia="zh-CN" w:bidi="ar-SA"/>
        </w:rPr>
        <w:t xml:space="preserve"> T</w:t>
      </w:r>
      <w:r>
        <w:rPr>
          <w:rFonts w:hint="default" w:ascii="Times New Roman" w:hAnsi="Times New Roman" w:eastAsia="Arial" w:cs="Times New Roman"/>
          <w:b w:val="0"/>
          <w:bCs w:val="0"/>
          <w:snapToGrid w:val="0"/>
          <w:color w:val="000000"/>
          <w:kern w:val="0"/>
          <w:sz w:val="21"/>
          <w:szCs w:val="21"/>
          <w:lang w:val="en-US" w:eastAsia="zh-CN" w:bidi="ar-SA"/>
        </w:rPr>
        <w:t xml:space="preserve"> cells across co-culture arms. </w:t>
      </w:r>
    </w:p>
    <w:p w14:paraId="6AEE3A4F">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15</w:t>
      </w:r>
    </w:p>
    <w:p w14:paraId="0AA43517">
      <w:pPr>
        <w:pStyle w:val="3"/>
        <w:keepNext w:val="0"/>
        <w:keepLines w:val="0"/>
        <w:widowControl/>
        <w:suppressLineNumbers w:val="0"/>
        <w:spacing w:before="0" w:beforeAutospacing="0" w:line="9" w:lineRule="atLeast"/>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drawing>
          <wp:inline distT="0" distB="0" distL="114300" distR="114300">
            <wp:extent cx="5269865" cy="2344420"/>
            <wp:effectExtent l="0" t="0" r="6985" b="8255"/>
            <wp:docPr id="15" name="图片 15" descr="Supplementary Fig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upplementary Figure 16"/>
                    <pic:cNvPicPr>
                      <a:picLocks noChangeAspect="1"/>
                    </pic:cNvPicPr>
                  </pic:nvPicPr>
                  <pic:blipFill>
                    <a:blip r:embed="rId20"/>
                    <a:stretch>
                      <a:fillRect/>
                    </a:stretch>
                  </pic:blipFill>
                  <pic:spPr>
                    <a:xfrm>
                      <a:off x="0" y="0"/>
                      <a:ext cx="5269865" cy="2344420"/>
                    </a:xfrm>
                    <a:prstGeom prst="rect">
                      <a:avLst/>
                    </a:prstGeom>
                  </pic:spPr>
                </pic:pic>
              </a:graphicData>
            </a:graphic>
          </wp:inline>
        </w:drawing>
      </w:r>
    </w:p>
    <w:p w14:paraId="1C1AAD66">
      <w:pPr>
        <w:keepNext w:val="0"/>
        <w:keepLines w:val="0"/>
        <w:pageBreakBefore w:val="0"/>
        <w:widowControl/>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Supplementary Figure </w:t>
      </w:r>
      <w:r>
        <w:rPr>
          <w:rFonts w:hint="eastAsia" w:ascii="Times New Roman" w:hAnsi="Times New Roman" w:cs="Times New Roman"/>
          <w:b/>
          <w:bCs/>
          <w:sz w:val="21"/>
          <w:szCs w:val="21"/>
          <w:lang w:val="en-US" w:eastAsia="zh-CN"/>
        </w:rPr>
        <w:t>15</w:t>
      </w:r>
      <w:r>
        <w:rPr>
          <w:rFonts w:hint="default" w:ascii="Times New Roman" w:hAnsi="Times New Roman" w:cs="Times New Roman"/>
          <w:b/>
          <w:bCs/>
          <w:sz w:val="21"/>
          <w:szCs w:val="21"/>
          <w:lang w:val="en-US" w:eastAsia="zh-CN"/>
        </w:rPr>
        <w:t>.</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b/>
          <w:bCs/>
          <w:sz w:val="21"/>
          <w:szCs w:val="21"/>
          <w:lang w:val="en-US" w:eastAsia="zh-CN"/>
        </w:rPr>
        <w:t>Flow cytometric quantification of functional cytotoxic activation and effector cytokine secretion in tumor-infiltrating CD8⁺ T lymphocytes from orthotopic syngeneic gastric tumors.</w:t>
      </w:r>
    </w:p>
    <w:p w14:paraId="2C7713A9">
      <w:pPr>
        <w:keepNext w:val="0"/>
        <w:keepLines w:val="0"/>
        <w:pageBreakBefore w:val="0"/>
        <w:widowControl/>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(A, B) Flow cytometric gating plots (A) and statistical quantification (B) of the proportion of CD8</w:t>
      </w:r>
      <w:r>
        <w:rPr>
          <w:rFonts w:hint="default" w:ascii="Times New Roman" w:hAnsi="Times New Roman" w:cs="Times New Roman"/>
          <w:b w:val="0"/>
          <w:bCs w:val="0"/>
          <w:sz w:val="21"/>
          <w:szCs w:val="21"/>
          <w:vertAlign w:val="superscript"/>
          <w:lang w:val="en-US" w:eastAsia="zh-CN"/>
        </w:rPr>
        <w:t>+</w:t>
      </w:r>
      <w:r>
        <w:rPr>
          <w:rFonts w:hint="default" w:ascii="Times New Roman" w:hAnsi="Times New Roman" w:cs="Times New Roman"/>
          <w:b w:val="0"/>
          <w:bCs w:val="0"/>
          <w:sz w:val="21"/>
          <w:szCs w:val="21"/>
          <w:lang w:val="en-US" w:eastAsia="zh-CN"/>
        </w:rPr>
        <w:t xml:space="preserve"> T cells among total tumor-infiltrating lymphocytes across Control, VCAN-Target, αPD-1, and αPD-1 + VCAN-Targetgroups.  </w:t>
      </w:r>
    </w:p>
    <w:p w14:paraId="2883659D">
      <w:pPr>
        <w:keepNext w:val="0"/>
        <w:keepLines w:val="0"/>
        <w:pageBreakBefore w:val="0"/>
        <w:widowControl/>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(C, D) Representative flow cytometric pseudo-color density plots (C) and statistical quantification (D) evaluating the fraction of polyfunctional double-positive</w:t>
      </w:r>
      <w:r>
        <w:rPr>
          <w:rFonts w:hint="eastAsia" w:ascii="Times New Roman" w:hAnsi="Times New Roman" w:cs="Times New Roman"/>
          <w:b w:val="0"/>
          <w:bCs w:val="0"/>
          <w:sz w:val="21"/>
          <w:szCs w:val="21"/>
          <w:lang w:val="en-US" w:eastAsia="zh-CN"/>
        </w:rPr>
        <w:t xml:space="preserve"> I</w:t>
      </w:r>
      <w:r>
        <w:rPr>
          <w:rFonts w:hint="default" w:ascii="Times New Roman" w:hAnsi="Times New Roman" w:cs="Times New Roman"/>
          <w:b w:val="0"/>
          <w:bCs w:val="0"/>
          <w:sz w:val="21"/>
          <w:szCs w:val="21"/>
          <w:lang w:val="en-US" w:eastAsia="zh-CN"/>
        </w:rPr>
        <w:t>FN-γ</w:t>
      </w:r>
      <w:r>
        <w:rPr>
          <w:rFonts w:hint="default" w:ascii="Times New Roman" w:hAnsi="Times New Roman" w:cs="Times New Roman"/>
          <w:b w:val="0"/>
          <w:bCs w:val="0"/>
          <w:sz w:val="21"/>
          <w:szCs w:val="21"/>
          <w:vertAlign w:val="superscript"/>
          <w:lang w:val="en-US" w:eastAsia="zh-CN"/>
        </w:rPr>
        <w:t>+</w:t>
      </w:r>
      <w:r>
        <w:rPr>
          <w:rFonts w:hint="default" w:ascii="Times New Roman" w:hAnsi="Times New Roman" w:cs="Times New Roman"/>
          <w:b w:val="0"/>
          <w:bCs w:val="0"/>
          <w:sz w:val="21"/>
          <w:szCs w:val="21"/>
          <w:lang w:val="en-US" w:eastAsia="zh-CN"/>
        </w:rPr>
        <w:t>Granzyme B</w:t>
      </w:r>
      <w:r>
        <w:rPr>
          <w:rFonts w:hint="default" w:ascii="Times New Roman" w:hAnsi="Times New Roman" w:cs="Times New Roman"/>
          <w:b w:val="0"/>
          <w:bCs w:val="0"/>
          <w:sz w:val="21"/>
          <w:szCs w:val="21"/>
          <w:vertAlign w:val="superscript"/>
          <w:lang w:val="en-US" w:eastAsia="zh-CN"/>
        </w:rPr>
        <w:t>+</w:t>
      </w:r>
      <w:r>
        <w:rPr>
          <w:rFonts w:hint="default" w:ascii="Times New Roman" w:hAnsi="Times New Roman" w:cs="Times New Roman"/>
          <w:b w:val="0"/>
          <w:bCs w:val="0"/>
          <w:sz w:val="21"/>
          <w:szCs w:val="21"/>
          <w:lang w:val="en-US" w:eastAsia="zh-CN"/>
        </w:rPr>
        <w:t>CD8</w:t>
      </w:r>
      <w:r>
        <w:rPr>
          <w:rFonts w:hint="default" w:ascii="Times New Roman" w:hAnsi="Times New Roman" w:cs="Times New Roman"/>
          <w:b w:val="0"/>
          <w:bCs w:val="0"/>
          <w:sz w:val="21"/>
          <w:szCs w:val="21"/>
          <w:vertAlign w:val="superscript"/>
          <w:lang w:val="en-US" w:eastAsia="zh-CN"/>
        </w:rPr>
        <w:t>+</w:t>
      </w:r>
      <w:r>
        <w:rPr>
          <w:rFonts w:hint="default" w:ascii="Times New Roman" w:hAnsi="Times New Roman" w:cs="Times New Roman"/>
          <w:b w:val="0"/>
          <w:bCs w:val="0"/>
          <w:sz w:val="21"/>
          <w:szCs w:val="21"/>
          <w:lang w:val="en-US" w:eastAsia="zh-CN"/>
        </w:rPr>
        <w:t xml:space="preserve"> T</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 xml:space="preserve">cells across the four treatment cohorts.  </w:t>
      </w:r>
    </w:p>
    <w:p w14:paraId="793CFA81">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default" w:ascii="Times New Roman" w:hAnsi="Times New Roman" w:cs="Times New Roman"/>
          <w:b/>
          <w:bCs/>
          <w:sz w:val="40"/>
          <w:szCs w:val="40"/>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16</w:t>
      </w:r>
    </w:p>
    <w:p w14:paraId="1D9355B9">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ind w:left="0" w:hanging="400" w:hangingChars="100"/>
        <w:textAlignment w:val="baseline"/>
        <w:rPr>
          <w:rFonts w:hint="eastAsia" w:ascii="Times New Roman" w:hAnsi="Times New Roman" w:cs="Times New Roman"/>
          <w:b/>
          <w:bCs/>
          <w:sz w:val="40"/>
          <w:szCs w:val="40"/>
          <w:lang w:val="en-US" w:eastAsia="zh-CN"/>
        </w:rPr>
      </w:pPr>
      <w:r>
        <w:rPr>
          <w:rFonts w:hint="eastAsia" w:ascii="Times New Roman" w:hAnsi="Times New Roman" w:cs="Times New Roman"/>
          <w:b/>
          <w:bCs/>
          <w:sz w:val="40"/>
          <w:szCs w:val="40"/>
          <w:lang w:val="en-US" w:eastAsia="zh-CN"/>
        </w:rPr>
        <w:drawing>
          <wp:inline distT="0" distB="0" distL="114300" distR="114300">
            <wp:extent cx="5268595" cy="2503170"/>
            <wp:effectExtent l="0" t="0" r="0" b="0"/>
            <wp:docPr id="14" name="图片 14" descr="Supplementary Fig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upplementary Figure 17"/>
                    <pic:cNvPicPr>
                      <a:picLocks noChangeAspect="1"/>
                    </pic:cNvPicPr>
                  </pic:nvPicPr>
                  <pic:blipFill>
                    <a:blip r:embed="rId21"/>
                    <a:srcRect b="62670"/>
                    <a:stretch>
                      <a:fillRect/>
                    </a:stretch>
                  </pic:blipFill>
                  <pic:spPr>
                    <a:xfrm>
                      <a:off x="0" y="0"/>
                      <a:ext cx="5268595" cy="2503170"/>
                    </a:xfrm>
                    <a:prstGeom prst="rect">
                      <a:avLst/>
                    </a:prstGeom>
                  </pic:spPr>
                </pic:pic>
              </a:graphicData>
            </a:graphic>
          </wp:inline>
        </w:drawing>
      </w:r>
    </w:p>
    <w:p w14:paraId="61D1683B">
      <w:pPr>
        <w:keepNext w:val="0"/>
        <w:keepLines w:val="0"/>
        <w:pageBreakBefore w:val="0"/>
        <w:widowControl/>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Supplementary Figure </w:t>
      </w:r>
      <w:r>
        <w:rPr>
          <w:rFonts w:hint="eastAsia" w:ascii="Times New Roman" w:hAnsi="Times New Roman" w:cs="Times New Roman"/>
          <w:b/>
          <w:bCs/>
          <w:sz w:val="21"/>
          <w:szCs w:val="21"/>
          <w:lang w:val="en-US" w:eastAsia="zh-CN"/>
        </w:rPr>
        <w:t>17</w:t>
      </w:r>
      <w:r>
        <w:rPr>
          <w:rFonts w:hint="default" w:ascii="Times New Roman" w:hAnsi="Times New Roman" w:cs="Times New Roman"/>
          <w:b/>
          <w:bCs/>
          <w:sz w:val="21"/>
          <w:szCs w:val="21"/>
          <w:lang w:val="en-US" w:eastAsia="zh-CN"/>
        </w:rPr>
        <w:t>. Biochemical validation of canonical Wnt/β-catenin activation and matrix-remodeling signature expression in primary High-NM CAFs.</w:t>
      </w:r>
    </w:p>
    <w:p w14:paraId="21770A20">
      <w:pPr>
        <w:keepNext w:val="0"/>
        <w:keepLines w:val="0"/>
        <w:pageBreakBefore w:val="0"/>
        <w:widowControl/>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 xml:space="preserve">(A-C) Subcellular fractionation and Western blot analysis of β-catenin in cytoplasmic (GAPDH as cytoplasmic control) and nuclear fractions (Lamin B1 as nuclear control) isolated from Low-NM and High-NM CAFs from three patient isolates: CAF1 (A), CAF2 (B), and CAF3 (C).  </w:t>
      </w:r>
    </w:p>
    <w:p w14:paraId="45345491">
      <w:pPr>
        <w:keepNext w:val="0"/>
        <w:keepLines w:val="0"/>
        <w:pageBreakBefore w:val="0"/>
        <w:widowControl/>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(D–F) Western blot detection of matrix-remodeling and structural markers (VCAN, POSTN, FAP, COL1A1, and COL1A2) in Low-NM versus High-NM CAFs across CAF1 (D), CAF2 (E), and CAF3 (F). GAPDH served as the internal loading control.</w:t>
      </w:r>
    </w:p>
    <w:p w14:paraId="7B82EDB3">
      <w:pPr>
        <w:keepNext w:val="0"/>
        <w:keepLines w:val="0"/>
        <w:pageBreakBefore w:val="0"/>
        <w:widowControl/>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40"/>
          <w:szCs w:val="40"/>
          <w:lang w:val="en-US" w:eastAsia="zh-CN"/>
        </w:rPr>
        <w:t>Supplementary Figure </w:t>
      </w:r>
      <w:r>
        <w:rPr>
          <w:rFonts w:hint="eastAsia" w:ascii="Times New Roman" w:hAnsi="Times New Roman" w:cs="Times New Roman"/>
          <w:b/>
          <w:bCs/>
          <w:sz w:val="40"/>
          <w:szCs w:val="40"/>
          <w:lang w:val="en-US" w:eastAsia="zh-CN"/>
        </w:rPr>
        <w:t>17</w:t>
      </w:r>
    </w:p>
    <w:p w14:paraId="5D885B60">
      <w:pPr>
        <w:pStyle w:val="3"/>
        <w:keepNext w:val="0"/>
        <w:keepLines w:val="0"/>
        <w:widowControl/>
        <w:suppressLineNumbers w:val="0"/>
        <w:spacing w:before="0" w:beforeAutospacing="0" w:line="9" w:lineRule="atLeast"/>
        <w:rPr>
          <w:rFonts w:hint="eastAsia" w:ascii="sans-serif" w:hAnsi="sans-serif" w:eastAsia="宋体" w:cs="sans-serif"/>
          <w:lang w:eastAsia="zh-CN"/>
        </w:rPr>
      </w:pPr>
      <w:bookmarkStart w:id="0" w:name="_GoBack"/>
      <w:r>
        <w:rPr>
          <w:rFonts w:hint="eastAsia" w:ascii="sans-serif" w:hAnsi="sans-serif" w:eastAsia="宋体" w:cs="sans-serif"/>
          <w:lang w:eastAsia="zh-CN"/>
        </w:rPr>
        <w:drawing>
          <wp:inline distT="0" distB="0" distL="114300" distR="114300">
            <wp:extent cx="5267960" cy="5310505"/>
            <wp:effectExtent l="0" t="0" r="8890" b="4445"/>
            <wp:docPr id="10" name="图片 10" descr="Supplementary Fig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pplementary Figure 17"/>
                    <pic:cNvPicPr>
                      <a:picLocks noChangeAspect="1"/>
                    </pic:cNvPicPr>
                  </pic:nvPicPr>
                  <pic:blipFill>
                    <a:blip r:embed="rId22"/>
                    <a:stretch>
                      <a:fillRect/>
                    </a:stretch>
                  </pic:blipFill>
                  <pic:spPr>
                    <a:xfrm>
                      <a:off x="0" y="0"/>
                      <a:ext cx="5267960" cy="5310505"/>
                    </a:xfrm>
                    <a:prstGeom prst="rect">
                      <a:avLst/>
                    </a:prstGeom>
                  </pic:spPr>
                </pic:pic>
              </a:graphicData>
            </a:graphic>
          </wp:inline>
        </w:drawing>
      </w:r>
      <w:bookmarkEnd w:id="0"/>
    </w:p>
    <w:p w14:paraId="2694CC21">
      <w:pPr>
        <w:keepNext w:val="0"/>
        <w:keepLines w:val="0"/>
        <w:pageBreakBefore w:val="0"/>
        <w:widowControl/>
        <w:kinsoku w:val="0"/>
        <w:wordWrap/>
        <w:overflowPunct/>
        <w:topLinePunct w:val="0"/>
        <w:autoSpaceDE w:val="0"/>
        <w:autoSpaceDN w:val="0"/>
        <w:bidi w:val="0"/>
        <w:adjustRightInd w:val="0"/>
        <w:snapToGrid w:val="0"/>
        <w:textAlignment w:val="baseline"/>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Supplementary Figure </w:t>
      </w:r>
      <w:r>
        <w:rPr>
          <w:rFonts w:hint="eastAsia" w:ascii="Times New Roman" w:hAnsi="Times New Roman" w:cs="Times New Roman"/>
          <w:b/>
          <w:bCs/>
          <w:sz w:val="21"/>
          <w:szCs w:val="21"/>
          <w:lang w:val="en-US" w:eastAsia="zh-CN"/>
        </w:rPr>
        <w:t>17.</w:t>
      </w:r>
      <w:r>
        <w:rPr>
          <w:rFonts w:hint="default" w:ascii="Times New Roman" w:hAnsi="Times New Roman" w:cs="Times New Roman"/>
          <w:b/>
          <w:bCs/>
          <w:sz w:val="21"/>
          <w:szCs w:val="21"/>
          <w:lang w:val="en-US" w:eastAsia="zh-CN"/>
        </w:rPr>
        <w:t xml:space="preserve"> Multiplex immunofluorescence imaging and microenvironmental spatial association analysis of VCAN+ cells.</w:t>
      </w:r>
    </w:p>
    <w:p w14:paraId="186D8F66">
      <w:pPr>
        <w:keepNext w:val="0"/>
        <w:keepLines w:val="0"/>
        <w:pageBreakBefore w:val="0"/>
        <w:widowControl/>
        <w:numPr>
          <w:ilvl w:val="0"/>
          <w:numId w:val="7"/>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highlight w:val="none"/>
          <w:lang w:val="en-US" w:eastAsia="zh-CN"/>
        </w:rPr>
      </w:pPr>
      <w:r>
        <w:rPr>
          <w:rFonts w:hint="default" w:ascii="Times New Roman" w:hAnsi="Times New Roman" w:cs="Times New Roman"/>
          <w:sz w:val="21"/>
          <w:szCs w:val="21"/>
          <w:lang w:val="en-US" w:eastAsia="zh-CN"/>
        </w:rPr>
        <w:t xml:space="preserve">Multiplex immunofluorescence (mIF) revealing the microenvironmental physical barrier and immune vacuum zone constructed by the VCAN+ composite matrix wall. Representative mIF staining images of α-SMA (red), CD31 (green), CD8 (yellow), VCAN (cyan), and DAPI (blue) in </w:t>
      </w:r>
      <w:r>
        <w:rPr>
          <w:rFonts w:hint="default" w:ascii="Times New Roman" w:hAnsi="Times New Roman" w:cs="Times New Roman"/>
          <w:sz w:val="21"/>
          <w:szCs w:val="21"/>
          <w:highlight w:val="none"/>
          <w:lang w:val="en-US" w:eastAsia="zh-CN"/>
        </w:rPr>
        <w:t>tumor tissues.</w:t>
      </w:r>
    </w:p>
    <w:p w14:paraId="294572A1">
      <w:pPr>
        <w:keepNext w:val="0"/>
        <w:keepLines w:val="0"/>
        <w:pageBreakBefore w:val="0"/>
        <w:widowControl/>
        <w:numPr>
          <w:ilvl w:val="0"/>
          <w:numId w:val="7"/>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highlight w:val="none"/>
          <w:lang w:val="en-US" w:eastAsia="zh-CN"/>
        </w:rPr>
      </w:pPr>
      <w:r>
        <w:rPr>
          <w:rFonts w:hint="default" w:ascii="Times New Roman" w:hAnsi="Times New Roman" w:eastAsia="Arial" w:cs="Times New Roman"/>
          <w:snapToGrid w:val="0"/>
          <w:color w:val="000000"/>
          <w:kern w:val="0"/>
          <w:sz w:val="21"/>
          <w:szCs w:val="21"/>
          <w:highlight w:val="none"/>
          <w:lang w:val="en-US" w:eastAsia="zh-CN" w:bidi="ar-SA"/>
        </w:rPr>
        <w:t>Spatial distance analysis. Spatial Euclidean distances (μm) from VCAN⁺</w:t>
      </w:r>
      <w:r>
        <w:rPr>
          <w:rFonts w:hint="default" w:ascii="Times New Roman" w:hAnsi="Times New Roman" w:cs="Times New Roman"/>
          <w:sz w:val="21"/>
          <w:szCs w:val="21"/>
          <w:highlight w:val="none"/>
          <w:lang w:val="en-US" w:eastAsia="zh-CN"/>
        </w:rPr>
        <w:t>α</w:t>
      </w:r>
      <w:r>
        <w:rPr>
          <w:rFonts w:hint="default" w:ascii="Times New Roman" w:hAnsi="Times New Roman" w:eastAsia="Arial" w:cs="Times New Roman"/>
          <w:snapToGrid w:val="0"/>
          <w:color w:val="000000"/>
          <w:kern w:val="0"/>
          <w:sz w:val="21"/>
          <w:szCs w:val="21"/>
          <w:highlight w:val="none"/>
          <w:lang w:val="en-US" w:eastAsia="zh-CN" w:bidi="ar-SA"/>
        </w:rPr>
        <w:t>-SMA⁺ CAFs to their nearest CD31⁺ endothelial cells, and from CD31⁺ endothelial cells to their nearest CD8⁺ T cells, were quantified to evaluate microenvironmental spatial relationships.</w:t>
      </w:r>
    </w:p>
    <w:p w14:paraId="0D8C58A1">
      <w:pPr>
        <w:keepNext w:val="0"/>
        <w:keepLines w:val="0"/>
        <w:pageBreakBefore w:val="0"/>
        <w:widowControl/>
        <w:numPr>
          <w:ilvl w:val="0"/>
          <w:numId w:val="7"/>
        </w:numPr>
        <w:kinsoku w:val="0"/>
        <w:wordWrap/>
        <w:overflowPunct/>
        <w:topLinePunct w:val="0"/>
        <w:autoSpaceDE w:val="0"/>
        <w:autoSpaceDN w:val="0"/>
        <w:bidi w:val="0"/>
        <w:adjustRightInd w:val="0"/>
        <w:snapToGrid w:val="0"/>
        <w:jc w:val="both"/>
        <w:textAlignment w:val="baseline"/>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Spatial association analysis. Univariate logistic regression analysis with Z-score normalized distances was performed using R software to evaluate the spatial relationship between VCAN⁺</w:t>
      </w:r>
      <w:r>
        <w:rPr>
          <w:rFonts w:hint="default" w:ascii="Times New Roman" w:hAnsi="Times New Roman" w:cs="Times New Roman"/>
          <w:sz w:val="21"/>
          <w:szCs w:val="21"/>
          <w:highlight w:val="none"/>
          <w:lang w:val="en-US" w:eastAsia="zh-CN"/>
        </w:rPr>
        <w:t>α</w:t>
      </w:r>
      <w:r>
        <w:rPr>
          <w:rFonts w:hint="default" w:ascii="Times New Roman" w:hAnsi="Times New Roman" w:cs="Times New Roman"/>
          <w:highlight w:val="none"/>
          <w:lang w:val="en-US" w:eastAsia="zh-CN"/>
        </w:rPr>
        <w:t>-SMA⁺ cells and nearest CD31⁺ endothelial cells, with the predictive probability curve and its 95% confidence band (semi-transparent pink area) plotted (two-sided P &lt; 0.05).</w:t>
      </w:r>
    </w:p>
    <w:p w14:paraId="727ECB4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left"/>
        <w:textAlignment w:val="baseline"/>
        <w:rPr>
          <w:rFonts w:hint="default" w:ascii="Times New Roman" w:hAnsi="Times New Roman" w:cs="Times New Roman"/>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sans-serif">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8473A0"/>
    <w:multiLevelType w:val="singleLevel"/>
    <w:tmpl w:val="CD8473A0"/>
    <w:lvl w:ilvl="0" w:tentative="0">
      <w:start w:val="8"/>
      <w:numFmt w:val="upperLetter"/>
      <w:suff w:val="space"/>
      <w:lvlText w:val="(%1)"/>
      <w:lvlJc w:val="left"/>
    </w:lvl>
  </w:abstractNum>
  <w:abstractNum w:abstractNumId="1">
    <w:nsid w:val="CEEA12A7"/>
    <w:multiLevelType w:val="singleLevel"/>
    <w:tmpl w:val="CEEA12A7"/>
    <w:lvl w:ilvl="0" w:tentative="0">
      <w:start w:val="1"/>
      <w:numFmt w:val="upperLetter"/>
      <w:suff w:val="nothing"/>
      <w:lvlText w:val="（%1）"/>
      <w:lvlJc w:val="left"/>
      <w:rPr>
        <w:rFonts w:hint="default"/>
        <w:b w:val="0"/>
        <w:bCs w:val="0"/>
      </w:rPr>
    </w:lvl>
  </w:abstractNum>
  <w:abstractNum w:abstractNumId="2">
    <w:nsid w:val="E205276B"/>
    <w:multiLevelType w:val="singleLevel"/>
    <w:tmpl w:val="E205276B"/>
    <w:lvl w:ilvl="0" w:tentative="0">
      <w:start w:val="1"/>
      <w:numFmt w:val="upperLetter"/>
      <w:suff w:val="space"/>
      <w:lvlText w:val="(%1)"/>
      <w:lvlJc w:val="left"/>
    </w:lvl>
  </w:abstractNum>
  <w:abstractNum w:abstractNumId="3">
    <w:nsid w:val="200C4FDB"/>
    <w:multiLevelType w:val="singleLevel"/>
    <w:tmpl w:val="200C4FDB"/>
    <w:lvl w:ilvl="0" w:tentative="0">
      <w:start w:val="1"/>
      <w:numFmt w:val="upperLetter"/>
      <w:suff w:val="nothing"/>
      <w:lvlText w:val="(%1-"/>
      <w:lvlJc w:val="left"/>
    </w:lvl>
  </w:abstractNum>
  <w:abstractNum w:abstractNumId="4">
    <w:nsid w:val="314E808A"/>
    <w:multiLevelType w:val="singleLevel"/>
    <w:tmpl w:val="314E808A"/>
    <w:lvl w:ilvl="0" w:tentative="0">
      <w:start w:val="1"/>
      <w:numFmt w:val="upperLetter"/>
      <w:suff w:val="space"/>
      <w:lvlText w:val="(%1)"/>
      <w:lvlJc w:val="left"/>
    </w:lvl>
  </w:abstractNum>
  <w:abstractNum w:abstractNumId="5">
    <w:nsid w:val="5C332A9A"/>
    <w:multiLevelType w:val="singleLevel"/>
    <w:tmpl w:val="5C332A9A"/>
    <w:lvl w:ilvl="0" w:tentative="0">
      <w:start w:val="1"/>
      <w:numFmt w:val="upperLetter"/>
      <w:suff w:val="space"/>
      <w:lvlText w:val="(%1)"/>
      <w:lvlJc w:val="left"/>
      <w:rPr>
        <w:rFonts w:hint="default"/>
        <w:highlight w:val="none"/>
      </w:rPr>
    </w:lvl>
  </w:abstractNum>
  <w:abstractNum w:abstractNumId="6">
    <w:nsid w:val="78069974"/>
    <w:multiLevelType w:val="singleLevel"/>
    <w:tmpl w:val="78069974"/>
    <w:lvl w:ilvl="0" w:tentative="0">
      <w:start w:val="1"/>
      <w:numFmt w:val="upperLetter"/>
      <w:suff w:val="space"/>
      <w:lvlText w:val="(%1)"/>
      <w:lvlJc w:val="left"/>
    </w:lvl>
  </w:abstractNum>
  <w:num w:numId="1">
    <w:abstractNumId w:val="2"/>
  </w:num>
  <w:num w:numId="2">
    <w:abstractNumId w:val="3"/>
  </w:num>
  <w:num w:numId="3">
    <w:abstractNumId w:val="5"/>
  </w:num>
  <w:num w:numId="4">
    <w:abstractNumId w:val="4"/>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317A2"/>
    <w:rsid w:val="075317A2"/>
    <w:rsid w:val="083549E4"/>
    <w:rsid w:val="179D7CAF"/>
    <w:rsid w:val="1A0B22C7"/>
    <w:rsid w:val="27AA3428"/>
    <w:rsid w:val="285C501C"/>
    <w:rsid w:val="37170138"/>
    <w:rsid w:val="38C13582"/>
    <w:rsid w:val="482A0B0F"/>
    <w:rsid w:val="581666E6"/>
    <w:rsid w:val="5A307AF7"/>
    <w:rsid w:val="780A6454"/>
    <w:rsid w:val="7C1D0728"/>
    <w:rsid w:val="7DF238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TML Code"/>
    <w:basedOn w:val="5"/>
    <w:qFormat/>
    <w:uiPriority w:val="0"/>
    <w:rPr>
      <w:rFonts w:ascii="Courier New" w:hAnsi="Courier New"/>
      <w:sz w:val="20"/>
    </w:rPr>
  </w:style>
  <w:style w:type="paragraph" w:customStyle="1" w:styleId="7">
    <w:name w:val="Table Text"/>
    <w:basedOn w:val="1"/>
    <w:semiHidden/>
    <w:qFormat/>
    <w:uiPriority w:val="0"/>
    <w:rPr>
      <w:rFonts w:ascii="微软雅黑" w:hAnsi="微软雅黑" w:eastAsia="微软雅黑" w:cs="微软雅黑"/>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image" Target="media/image17.tiff"/><Relationship Id="rId21" Type="http://schemas.openxmlformats.org/officeDocument/2006/relationships/image" Target="media/image16.tiff"/><Relationship Id="rId20" Type="http://schemas.openxmlformats.org/officeDocument/2006/relationships/image" Target="media/image15.tiff"/><Relationship Id="rId2" Type="http://schemas.openxmlformats.org/officeDocument/2006/relationships/settings" Target="settings.xml"/><Relationship Id="rId19" Type="http://schemas.openxmlformats.org/officeDocument/2006/relationships/image" Target="media/image14.tiff"/><Relationship Id="rId18" Type="http://schemas.openxmlformats.org/officeDocument/2006/relationships/image" Target="media/image13.tiff"/><Relationship Id="rId17" Type="http://schemas.openxmlformats.org/officeDocument/2006/relationships/image" Target="media/image12.tiff"/><Relationship Id="rId16" Type="http://schemas.openxmlformats.org/officeDocument/2006/relationships/image" Target="media/image11.tiff"/><Relationship Id="rId15" Type="http://schemas.openxmlformats.org/officeDocument/2006/relationships/image" Target="media/image10.tiff"/><Relationship Id="rId14" Type="http://schemas.openxmlformats.org/officeDocument/2006/relationships/image" Target="media/image9.tiff"/><Relationship Id="rId13" Type="http://schemas.openxmlformats.org/officeDocument/2006/relationships/image" Target="media/image8.tiff"/><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1532</Words>
  <Characters>9897</Characters>
  <Lines>0</Lines>
  <Paragraphs>0</Paragraphs>
  <TotalTime>40</TotalTime>
  <ScaleCrop>false</ScaleCrop>
  <LinksUpToDate>false</LinksUpToDate>
  <CharactersWithSpaces>11381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2026-05-09T05:39:00Z</dcterms:created>
  <dc:creator>嗯呐呗</dc:creator>
  <cp:lastModifiedBy>嗯呐呗</cp:lastModifiedBy>
  <dcterms:modified xsi:type="dcterms:W3CDTF">2026-09-01T07:10:38Z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A01F5D1310DF400C9A5FA08761FC2C2A_13</vt:lpwstr>
  </property>
  <property fmtid="{D5CDD505-2E9C-101B-9397-08002B2CF9AE}" pid="4" name="KSOTemplateDocerSaveRecord">
    <vt:lpwstr>eyJoZGlkIjoiMGI2ZTgyNDBkNDg0NTViM2Y1MWFhODNkODFhOTdlYjkiLCJ1c2VySWQiOiIyODE5OTczMzkifQ==</vt:lpwstr>
  </property>
</Properties>
</file>