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3D49F">
      <w:pPr>
        <w:pStyle w:val="31"/>
        <w:spacing w:before="0" w:after="120" w:line="480" w:lineRule="auto"/>
        <w:jc w:val="center"/>
        <w:rPr>
          <w:color w:val="auto"/>
        </w:rPr>
      </w:pPr>
      <w:r>
        <w:rPr>
          <w:rFonts w:ascii="Times New Roman" w:hAnsi="Times New Roman"/>
          <w:b/>
          <w:color w:val="000000"/>
          <w:sz w:val="28"/>
        </w:rPr>
        <w:t>Additional file 1</w:t>
      </w:r>
    </w:p>
    <w:p w14:paraId="079B19FA">
      <w:pPr>
        <w:spacing w:before="0" w:after="280" w:line="480" w:lineRule="auto"/>
        <w:jc w:val="center"/>
        <w:rPr>
          <w:color w:val="auto"/>
        </w:rPr>
      </w:pPr>
      <w:r>
        <w:rPr>
          <w:rFonts w:ascii="Times New Roman" w:hAnsi="Times New Roman"/>
          <w:b/>
          <w:color w:val="000000"/>
          <w:sz w:val="21"/>
        </w:rPr>
        <w:t>Sustained-attention slowing and trial-level P3-reaction time coupling in university students with generalized anxiety disorder and self-reported habitual short sleep: a secondary cross-sectional study</w:t>
      </w:r>
    </w:p>
    <w:p w14:paraId="275918BD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Supplementary Methods S1. Age- and sex-adjusted sensitivity analyses</w:t>
      </w:r>
    </w:p>
    <w:p w14:paraId="5B44D233">
      <w:pPr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 xml:space="preserve">Participant-level age and sex data were available for all 69 participants. Original unadjusted analyses remained primary. Sensitivity models included centered age and sex. Continuous participant-level outcomes used HC3 inference with Huber sensitivity analyses. The lapse outcome was also assessed using an NB2 count model with log(valid trials) as an offset. EEG </w:t>
      </w:r>
      <w:bookmarkStart w:id="0" w:name="_GoBack"/>
      <w:bookmarkEnd w:id="0"/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contrasts preserved their original endpoint-family membership, and a separate global sensitivity correction covered 42 adjusted EEG contrasts. Trial-level models preserved the original task covariates and added age and sex.</w:t>
      </w:r>
    </w:p>
    <w:p w14:paraId="4B27A1E2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Supplementary Methods S2. PVT parameter reconstruction</w:t>
      </w:r>
    </w:p>
    <w:p w14:paraId="7BD185EF">
      <w:pPr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The PVT used E-Prime 3.0 as one continuous run. The recorded event stream contained S11 target, S1 response, and S3 feedback markers, a 10-s timeout, 79–81 target events, and a run duration of 577.5–603.6 s. Participants responded with the right hand using the ‘1’ key on a Lenovo keyboard. The exact programmed foreperiod and feedback duration could not be recovered from the available task files and were not inferred.</w:t>
      </w:r>
    </w:p>
    <w:p w14:paraId="20F4646C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Supplementary Table S1. Complete primary behavioral analyses</w:t>
      </w:r>
    </w:p>
    <w:tbl>
      <w:tblPr>
        <w:tblStyle w:val="32"/>
        <w:tblW w:w="8640" w:type="dxa"/>
        <w:tblInd w:w="120" w:type="dxa"/>
        <w:tblBorders>
          <w:top w:val="single" w:color="000000" w:sz="10" w:space="0"/>
          <w:left w:val="none" w:color="auto" w:sz="0" w:space="0"/>
          <w:bottom w:val="single" w:color="000000" w:sz="1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1080"/>
        <w:gridCol w:w="1224"/>
        <w:gridCol w:w="1296"/>
        <w:gridCol w:w="1080"/>
        <w:gridCol w:w="1080"/>
        <w:gridCol w:w="1080"/>
      </w:tblGrid>
      <w:tr w14:paraId="21051992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80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DC590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Endpoint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85EDE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HC mean</w:t>
            </w:r>
          </w:p>
        </w:tc>
        <w:tc>
          <w:tcPr>
            <w:tcW w:w="1224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923DE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GAD-HSS mean</w:t>
            </w:r>
          </w:p>
        </w:tc>
        <w:tc>
          <w:tcPr>
            <w:tcW w:w="129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5FCDF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Difference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1BB62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Hedges’ g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2AEB6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9CC61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</w:t>
            </w:r>
            <w:r>
              <w:rPr>
                <w:rFonts w:ascii="Times New Roman" w:hAnsi="Times New Roman"/>
                <w:color w:val="000000"/>
                <w:sz w:val="17"/>
                <w:vertAlign w:val="subscript"/>
              </w:rPr>
              <w:t>FDR</w:t>
            </w:r>
          </w:p>
        </w:tc>
      </w:tr>
      <w:tr w14:paraId="316F09C5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22BC5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median RT (ms)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311F9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320.000</w:t>
            </w:r>
          </w:p>
        </w:tc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3C471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353.000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243EE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33.000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37CD1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0.745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426A4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0.0022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E8225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0.0087</w:t>
            </w:r>
          </w:p>
        </w:tc>
      </w:tr>
      <w:tr w14:paraId="09628CF3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118EA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RT coefficient of variation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59D1E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0.429</w:t>
            </w:r>
          </w:p>
        </w:tc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2B987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0.386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A0059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−0.043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78C77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−0.112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42F98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0.6479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CD281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0.6479</w:t>
            </w:r>
          </w:p>
        </w:tc>
      </w:tr>
      <w:tr w14:paraId="5A930B9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E0AFD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lapse proportion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172F0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0.056</w:t>
            </w:r>
          </w:p>
        </w:tc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746D7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0.100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B0332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0.044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31AF3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0.474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BD958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0.0455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47BF8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0.0606</w:t>
            </w:r>
          </w:p>
        </w:tc>
      </w:tr>
      <w:tr w14:paraId="269043C7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CE4F2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omission proportion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AE48F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0.001</w:t>
            </w:r>
          </w:p>
        </w:tc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B368F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0.003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0F5A9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0.002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1E388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0.174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3D7EF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0.4397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B9C4D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0.513</w:t>
            </w:r>
          </w:p>
        </w:tc>
      </w:tr>
      <w:tr w14:paraId="38FE853C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53F62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mean RT (ms)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C78B7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351.958</w:t>
            </w:r>
          </w:p>
        </w:tc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910DD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390.455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70EE6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38.497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5815F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0.512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625FD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0.0295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25FC6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0.0516</w:t>
            </w:r>
          </w:p>
        </w:tc>
      </w:tr>
      <w:tr w14:paraId="136310AC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B7C21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RT SD (ms)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95BAB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164.142</w:t>
            </w:r>
          </w:p>
        </w:tc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EAE00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172.995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C1E5F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8.853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25903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0.043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B5360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0.8559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B5BE8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0.8559</w:t>
            </w:r>
          </w:p>
        </w:tc>
      </w:tr>
      <w:tr w14:paraId="601B0C65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6EAFF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median response speed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9371F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3.160</w:t>
            </w:r>
          </w:p>
        </w:tc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B1EBA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2.886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68812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−0.275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9B8F9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−0.747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DEE35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0.0023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BB922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0.0054</w:t>
            </w:r>
          </w:p>
        </w:tc>
      </w:tr>
      <w:tr w14:paraId="7D433DC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64C50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severe attention-failure proportion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413B6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0.057</w:t>
            </w:r>
          </w:p>
        </w:tc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F7480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0.103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AFA12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0.046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BA16A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0.488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91978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0.0395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D09A3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0.0553</w:t>
            </w:r>
          </w:p>
        </w:tc>
      </w:tr>
      <w:tr w14:paraId="5005FADC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06B7A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early median RT (ms)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70680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311.688</w:t>
            </w:r>
          </w:p>
        </w:tc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70ACB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343.757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20744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32.069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EC79A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0.764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D8B20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0.0015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E51C4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0.0054</w:t>
            </w:r>
          </w:p>
        </w:tc>
      </w:tr>
      <w:tr w14:paraId="6B1F95A7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80A34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median RT (ms)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E8DC5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328.031</w:t>
            </w:r>
          </w:p>
        </w:tc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12E4D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368.324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6F3C0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40.293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1C654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0.741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00EDC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0.0023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93217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0.0054</w:t>
            </w:r>
          </w:p>
        </w:tc>
      </w:tr>
      <w:tr w14:paraId="423EA3F1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2B42C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RT progress slope (ms)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12AB6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−43.735</w:t>
            </w:r>
          </w:p>
        </w:tc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A8A61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57.519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6CC8F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101.254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CD497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0.588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6DE20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0.0187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5E009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0.0373</w:t>
            </w:r>
          </w:p>
        </w:tc>
      </w:tr>
    </w:tbl>
    <w:p w14:paraId="387F7365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Supplementary Table S2. Age- and sex-adjusted behavioral models</w:t>
      </w:r>
    </w:p>
    <w:tbl>
      <w:tblPr>
        <w:tblStyle w:val="32"/>
        <w:tblW w:w="9360" w:type="dxa"/>
        <w:tblInd w:w="120" w:type="dxa"/>
        <w:tblBorders>
          <w:top w:val="single" w:color="000000" w:sz="10" w:space="0"/>
          <w:left w:val="none" w:color="auto" w:sz="0" w:space="0"/>
          <w:bottom w:val="single" w:color="000000" w:sz="1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2"/>
        <w:gridCol w:w="1368"/>
        <w:gridCol w:w="504"/>
        <w:gridCol w:w="1152"/>
        <w:gridCol w:w="1656"/>
        <w:gridCol w:w="792"/>
        <w:gridCol w:w="864"/>
        <w:gridCol w:w="1512"/>
      </w:tblGrid>
      <w:tr w14:paraId="5DC480C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51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BE13E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Endpoint</w:t>
            </w:r>
          </w:p>
        </w:tc>
        <w:tc>
          <w:tcPr>
            <w:tcW w:w="1368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BF534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Family</w:t>
            </w:r>
          </w:p>
        </w:tc>
        <w:tc>
          <w:tcPr>
            <w:tcW w:w="504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0E13E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n</w:t>
            </w:r>
          </w:p>
        </w:tc>
        <w:tc>
          <w:tcPr>
            <w:tcW w:w="115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24E84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Adjusted effect</w:t>
            </w:r>
          </w:p>
        </w:tc>
        <w:tc>
          <w:tcPr>
            <w:tcW w:w="165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EE01E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95% CI</w:t>
            </w:r>
          </w:p>
        </w:tc>
        <w:tc>
          <w:tcPr>
            <w:tcW w:w="79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70776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</w:t>
            </w:r>
          </w:p>
        </w:tc>
        <w:tc>
          <w:tcPr>
            <w:tcW w:w="864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D9174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</w:t>
            </w:r>
            <w:r>
              <w:rPr>
                <w:rFonts w:ascii="Times New Roman" w:hAnsi="Times New Roman"/>
                <w:color w:val="000000"/>
                <w:sz w:val="17"/>
                <w:vertAlign w:val="subscript"/>
              </w:rPr>
              <w:t>FDR</w:t>
            </w:r>
          </w:p>
        </w:tc>
        <w:tc>
          <w:tcPr>
            <w:tcW w:w="151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EC795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Scale</w:t>
            </w:r>
          </w:p>
        </w:tc>
      </w:tr>
      <w:tr w14:paraId="2DCE3667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F50D1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median RT (ms)</w:t>
            </w:r>
          </w:p>
        </w:tc>
        <w:tc>
          <w:tcPr>
            <w:tcW w:w="136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C4EA5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primary behavioral endpoint</w:t>
            </w:r>
          </w:p>
        </w:tc>
        <w:tc>
          <w:tcPr>
            <w:tcW w:w="50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A5DB5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69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167E1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31.4755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F1C9D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3.4559 to 59.4951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720F3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0.0283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F5A68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0.0449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12FE8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ms; Anxiety minus Healthy</w:t>
            </w:r>
          </w:p>
        </w:tc>
      </w:tr>
      <w:tr w14:paraId="0D071208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4E734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RT coefficient of variation</w:t>
            </w:r>
          </w:p>
        </w:tc>
        <w:tc>
          <w:tcPr>
            <w:tcW w:w="136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87302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primary behavioral endpoint</w:t>
            </w:r>
          </w:p>
        </w:tc>
        <w:tc>
          <w:tcPr>
            <w:tcW w:w="50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5FCB9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69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66ECD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0.0182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C4936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−0.2198 to 0.2563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2E145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0.879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ED1A7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0.879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F3727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coefficient of variation; Anxiety minus Healthy</w:t>
            </w:r>
          </w:p>
        </w:tc>
      </w:tr>
      <w:tr w14:paraId="7A64C107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FDF3E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lapse proportion</w:t>
            </w:r>
          </w:p>
        </w:tc>
        <w:tc>
          <w:tcPr>
            <w:tcW w:w="136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C837E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primary behavioral endpoint</w:t>
            </w:r>
          </w:p>
        </w:tc>
        <w:tc>
          <w:tcPr>
            <w:tcW w:w="50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CB84BE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69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A94E2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0.7424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AFB88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0.0572 to 1.4276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0229F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0.0337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17D95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0.0449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77617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log odds (Anxiety vs Healthy); odds ratio also reported</w:t>
            </w:r>
          </w:p>
        </w:tc>
      </w:tr>
      <w:tr w14:paraId="08434B22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54D3A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RT progress slope (ms)</w:t>
            </w:r>
          </w:p>
        </w:tc>
        <w:tc>
          <w:tcPr>
            <w:tcW w:w="136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708D5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primary behavioral endpoint</w:t>
            </w:r>
          </w:p>
        </w:tc>
        <w:tc>
          <w:tcPr>
            <w:tcW w:w="50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D5E17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69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FEEAB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100.2556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EAF5D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16.5581 to 183.9531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4EC7E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0.0196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B23BF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0.0449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636B0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ms across normalized task progress; Anxiety minus Healthy</w:t>
            </w:r>
          </w:p>
        </w:tc>
      </w:tr>
      <w:tr w14:paraId="4722B435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2EF60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mean RT (ms)</w:t>
            </w:r>
          </w:p>
        </w:tc>
        <w:tc>
          <w:tcPr>
            <w:tcW w:w="136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5A28C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secondary behavioral endpoint</w:t>
            </w:r>
          </w:p>
        </w:tc>
        <w:tc>
          <w:tcPr>
            <w:tcW w:w="50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0F257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69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B63736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44.2699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30BBF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−3.8139 to 92.3536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12686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0.0705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C1203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0.0705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F7301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ms; Anxiety minus Healthy</w:t>
            </w:r>
          </w:p>
        </w:tc>
      </w:tr>
      <w:tr w14:paraId="7EF33C7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A81A0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median response speed</w:t>
            </w:r>
          </w:p>
        </w:tc>
        <w:tc>
          <w:tcPr>
            <w:tcW w:w="136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F417F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secondary behavioral endpoint</w:t>
            </w:r>
          </w:p>
        </w:tc>
        <w:tc>
          <w:tcPr>
            <w:tcW w:w="50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652A0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69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EA7AC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−0.2520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8D6B7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−0.4787 to −0.0253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8F5F2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0.0299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67E70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0.0598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6B576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responses/s; Anxiety minus Healthy</w:t>
            </w:r>
          </w:p>
        </w:tc>
      </w:tr>
    </w:tbl>
    <w:p w14:paraId="670C3DF8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Supplementary Table S3. Lapse overdispersion sensitivity models</w:t>
      </w:r>
    </w:p>
    <w:tbl>
      <w:tblPr>
        <w:tblStyle w:val="32"/>
        <w:tblW w:w="9360" w:type="dxa"/>
        <w:tblInd w:w="120" w:type="dxa"/>
        <w:tblBorders>
          <w:top w:val="single" w:color="000000" w:sz="10" w:space="0"/>
          <w:left w:val="none" w:color="auto" w:sz="0" w:space="0"/>
          <w:bottom w:val="single" w:color="000000" w:sz="1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792"/>
        <w:gridCol w:w="792"/>
        <w:gridCol w:w="1152"/>
        <w:gridCol w:w="720"/>
        <w:gridCol w:w="1080"/>
        <w:gridCol w:w="792"/>
        <w:gridCol w:w="2088"/>
      </w:tblGrid>
      <w:tr w14:paraId="7B02A45B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44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A8E7E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Model</w:t>
            </w:r>
          </w:p>
        </w:tc>
        <w:tc>
          <w:tcPr>
            <w:tcW w:w="79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09C1B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Measure</w:t>
            </w:r>
          </w:p>
        </w:tc>
        <w:tc>
          <w:tcPr>
            <w:tcW w:w="79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C97AF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Effect</w:t>
            </w:r>
          </w:p>
        </w:tc>
        <w:tc>
          <w:tcPr>
            <w:tcW w:w="115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B5A83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95% CI</w:t>
            </w:r>
          </w:p>
        </w:tc>
        <w:tc>
          <w:tcPr>
            <w:tcW w:w="72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B1002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88F9C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Dispersion</w:t>
            </w:r>
          </w:p>
        </w:tc>
        <w:tc>
          <w:tcPr>
            <w:tcW w:w="79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0696C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AIC</w:t>
            </w:r>
          </w:p>
        </w:tc>
        <w:tc>
          <w:tcPr>
            <w:tcW w:w="2088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2DB28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FDR handling</w:t>
            </w:r>
          </w:p>
        </w:tc>
      </w:tr>
      <w:tr w14:paraId="11E26380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6BE5A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Participant-aggregate binomial with HC3 sandwich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EA5E7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OR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2770E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2.101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61D82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1.059–4.169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0D502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0.0337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E3486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8.997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2F9BB7">
            <w:pPr>
              <w:spacing w:after="20" w:line="240" w:lineRule="auto"/>
              <w:rPr>
                <w:color w:val="auto"/>
              </w:rPr>
            </w:pPr>
          </w:p>
        </w:tc>
        <w:tc>
          <w:tcPr>
            <w:tcW w:w="208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B699D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Member of the original four-endpoint adjusted behavioral family</w:t>
            </w:r>
          </w:p>
        </w:tc>
      </w:tr>
      <w:tr w14:paraId="71F7CF04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93D29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Negative-binomial NB2 lapse-count sensitivity with log(valid trials) offset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25630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IRR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35676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1.887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EB59A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1.110–3.205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A5492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0.0189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FC198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0.986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D198E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407.975</w:t>
            </w:r>
          </w:p>
        </w:tc>
        <w:tc>
          <w:tcPr>
            <w:tcW w:w="208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F7314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Additional sensitivity model; did not redefine the original adjusted family</w:t>
            </w:r>
          </w:p>
        </w:tc>
      </w:tr>
    </w:tbl>
    <w:p w14:paraId="3CF0074F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Supplementary Table S4. Complete ERP analyses</w:t>
      </w:r>
    </w:p>
    <w:tbl>
      <w:tblPr>
        <w:tblStyle w:val="32"/>
        <w:tblW w:w="9360" w:type="dxa"/>
        <w:tblInd w:w="120" w:type="dxa"/>
        <w:tblBorders>
          <w:top w:val="single" w:color="000000" w:sz="10" w:space="0"/>
          <w:left w:val="none" w:color="auto" w:sz="0" w:space="0"/>
          <w:bottom w:val="single" w:color="000000" w:sz="1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296"/>
        <w:gridCol w:w="1296"/>
        <w:gridCol w:w="1008"/>
        <w:gridCol w:w="1152"/>
        <w:gridCol w:w="1728"/>
        <w:gridCol w:w="792"/>
        <w:gridCol w:w="864"/>
      </w:tblGrid>
      <w:tr w14:paraId="41CFA841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24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DEC8BA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Component</w:t>
            </w:r>
          </w:p>
        </w:tc>
        <w:tc>
          <w:tcPr>
            <w:tcW w:w="129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52385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Analysis</w:t>
            </w:r>
          </w:p>
        </w:tc>
        <w:tc>
          <w:tcPr>
            <w:tcW w:w="129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04950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Contrast</w:t>
            </w:r>
          </w:p>
        </w:tc>
        <w:tc>
          <w:tcPr>
            <w:tcW w:w="1008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D6C45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n HC/GAD-HSS</w:t>
            </w:r>
          </w:p>
        </w:tc>
        <w:tc>
          <w:tcPr>
            <w:tcW w:w="115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47584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Difference (µV)</w:t>
            </w:r>
          </w:p>
        </w:tc>
        <w:tc>
          <w:tcPr>
            <w:tcW w:w="1728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C978D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95% CI</w:t>
            </w:r>
          </w:p>
        </w:tc>
        <w:tc>
          <w:tcPr>
            <w:tcW w:w="79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095FA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</w:t>
            </w:r>
          </w:p>
        </w:tc>
        <w:tc>
          <w:tcPr>
            <w:tcW w:w="864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D92F3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</w:t>
            </w:r>
            <w:r>
              <w:rPr>
                <w:rFonts w:ascii="Times New Roman" w:hAnsi="Times New Roman"/>
                <w:color w:val="000000"/>
                <w:sz w:val="17"/>
                <w:vertAlign w:val="subscript"/>
              </w:rPr>
              <w:t>FDR</w:t>
            </w:r>
          </w:p>
        </w:tc>
      </w:tr>
      <w:tr w14:paraId="360DFD44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5F1FA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P1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1F12D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FA604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5F289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25/33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33AE8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−0.480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EB66F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−1.222 to 0.262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0829B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0.1975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A904D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0.4168</w:t>
            </w:r>
          </w:p>
        </w:tc>
      </w:tr>
      <w:tr w14:paraId="486ED498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6EC56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P1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3B11A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D9085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749EE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19/17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A02E1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0.169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1D98F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−1.391 to 1.728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6F932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0.827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5EBF3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0.8532</w:t>
            </w:r>
          </w:p>
        </w:tc>
      </w:tr>
      <w:tr w14:paraId="154557C9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85111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P1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00F33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0C8FF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364D4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18/20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B89EA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−0.789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47CFE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−2.500 to 0.922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58A1B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0.3559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82ACD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0.5338</w:t>
            </w:r>
          </w:p>
        </w:tc>
      </w:tr>
      <w:tr w14:paraId="70E8B85B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264F5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N1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9FA8F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0D4E6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FBBBE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25/33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F68D9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−0.899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E9159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−2.142 to 0.344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0BF53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0.153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6A8C9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0.4168</w:t>
            </w:r>
          </w:p>
        </w:tc>
      </w:tr>
      <w:tr w14:paraId="70D093B3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0A1BC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N1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36137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3732A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759D5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19/17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D11E6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0.194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F64A7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−1.943 to 2.332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B0296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0.8532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0C1A5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0.8532</w:t>
            </w:r>
          </w:p>
        </w:tc>
      </w:tr>
      <w:tr w14:paraId="06C5774C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D2559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N1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473DB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35C92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4965A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18/20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A0CFA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1.239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ADCE3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−0.723 to 3.202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AB980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0.2084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A2650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0.4168</w:t>
            </w:r>
          </w:p>
        </w:tc>
      </w:tr>
      <w:tr w14:paraId="4BABF425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EF934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N2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0C332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2B0FF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69850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25/33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F1AC4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0.733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9EADF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−1.371 to 2.836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919EA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0.487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B19B6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0.487</w:t>
            </w:r>
          </w:p>
        </w:tc>
      </w:tr>
      <w:tr w14:paraId="6D5D31C9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32DB8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N2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73A5B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62302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DF33F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19/17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3A8EF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3.518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EF046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−0.083 to 7.119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8F102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0.0552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EF79A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0.2997</w:t>
            </w:r>
          </w:p>
        </w:tc>
      </w:tr>
      <w:tr w14:paraId="77347B7F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67F4A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N2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1C5E6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CADF1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F6336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18/20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6D0FC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1.388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382F2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−1.424 to 4.199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7BD7E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0.3218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A2E34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0.3861</w:t>
            </w:r>
          </w:p>
        </w:tc>
      </w:tr>
      <w:tr w14:paraId="77617AA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B8DD7D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P3/LPC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6C57A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A09E0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62C73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25/33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E8D3F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−2.249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BBAD9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−5.436 to 0.938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4391C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0.1623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AD1B4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0.3246</w:t>
            </w:r>
          </w:p>
        </w:tc>
      </w:tr>
      <w:tr w14:paraId="4B7F54D9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DE39C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P3/LPC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0C719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B6098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8A676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19/17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5BD36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2.070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0BDB6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−1.557 to 5.697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0DAF1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0.2498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12D6D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0.3747</w:t>
            </w:r>
          </w:p>
        </w:tc>
      </w:tr>
      <w:tr w14:paraId="149976C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9E1B3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P3/LPC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22CA2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0ED72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8147F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18/20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1B623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2.063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4E908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−0.415 to 4.540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09D53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0.0999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CA703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0.2997</w:t>
            </w:r>
          </w:p>
        </w:tc>
      </w:tr>
      <w:tr w14:paraId="28E181FA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4F1D8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readiness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B53FD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00FEE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E0C2B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24/29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F2979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−0.197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A9A8E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−1.207 to 0.814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A785E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0.6971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E9644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0.8963</w:t>
            </w:r>
          </w:p>
        </w:tc>
      </w:tr>
      <w:tr w14:paraId="1607BB1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5B3FD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readiness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75951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B46A4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0DD29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16/13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D98E4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0.974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FF3B8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−1.653 to 3.602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93C81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0.4514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C66E6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0.8963</w:t>
            </w:r>
          </w:p>
        </w:tc>
      </w:tr>
      <w:tr w14:paraId="65AE6423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679EA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readiness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4A442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8E3B3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B0B5E0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15/15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032B09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−0.849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2FE2A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−3.810 to 2.113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95468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0.5601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6BCC8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0.8963</w:t>
            </w:r>
          </w:p>
        </w:tc>
      </w:tr>
      <w:tr w14:paraId="2196548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30172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motor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7C3E5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0AEA9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DE501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24/29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5573B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−0.632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EA5AD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−3.249 to 1.984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0E31C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0.6296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5B8F3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0.8963</w:t>
            </w:r>
          </w:p>
        </w:tc>
      </w:tr>
      <w:tr w14:paraId="7D85F8FF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2D214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motor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6A3A7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5FAD0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AF068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16/13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F5C4F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−0.110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ADBB2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−4.308 to 4.087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CD653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0.9564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39C45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0.9564</w:t>
            </w:r>
          </w:p>
        </w:tc>
      </w:tr>
      <w:tr w14:paraId="4410C79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3A860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motor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2616B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37532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EE08C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15/15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08FFA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−0.217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91693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−3.118 to 2.683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A2A62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0.8791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F8B6A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0.9564</w:t>
            </w:r>
          </w:p>
        </w:tc>
      </w:tr>
      <w:tr w14:paraId="44A68053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79CBB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post-response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71E26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BB3B5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65464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24/29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BB1C8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−2.538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90824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−5.857 to 0.781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4666E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0.1307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D642A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0.8963</w:t>
            </w:r>
          </w:p>
        </w:tc>
      </w:tr>
      <w:tr w14:paraId="77A6052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222E3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post-response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280FB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3159F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30DEA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16/13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0EBD3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−1.190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D5BA63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−5.470 to 3.090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D08B8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0.5691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BBDCF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0.8963</w:t>
            </w:r>
          </w:p>
        </w:tc>
      </w:tr>
      <w:tr w14:paraId="553AA39C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8702A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post-response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90359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B1B01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016CE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15/15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BA814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−1.138</w:t>
            </w:r>
          </w:p>
        </w:tc>
        <w:tc>
          <w:tcPr>
            <w:tcW w:w="172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116F7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−4.646 to 2.371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99A16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0.5111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070F1F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0.8963</w:t>
            </w:r>
          </w:p>
        </w:tc>
      </w:tr>
    </w:tbl>
    <w:p w14:paraId="48601E6E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Supplementary Table S5. Age- and sex-adjusted ERP analyses</w:t>
      </w:r>
    </w:p>
    <w:tbl>
      <w:tblPr>
        <w:tblStyle w:val="32"/>
        <w:tblW w:w="9360" w:type="dxa"/>
        <w:tblInd w:w="120" w:type="dxa"/>
        <w:tblBorders>
          <w:top w:val="single" w:color="000000" w:sz="10" w:space="0"/>
          <w:left w:val="none" w:color="auto" w:sz="0" w:space="0"/>
          <w:bottom w:val="single" w:color="000000" w:sz="1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152"/>
        <w:gridCol w:w="936"/>
        <w:gridCol w:w="1080"/>
        <w:gridCol w:w="1512"/>
        <w:gridCol w:w="720"/>
        <w:gridCol w:w="936"/>
        <w:gridCol w:w="864"/>
      </w:tblGrid>
      <w:tr w14:paraId="3571B97C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08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97FB2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Endpoint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99B06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Analysis</w:t>
            </w:r>
          </w:p>
        </w:tc>
        <w:tc>
          <w:tcPr>
            <w:tcW w:w="115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4CE85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Contrast</w:t>
            </w:r>
          </w:p>
        </w:tc>
        <w:tc>
          <w:tcPr>
            <w:tcW w:w="93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715E1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n HC/GAD-HSS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10E55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Adjusted effect</w:t>
            </w:r>
          </w:p>
        </w:tc>
        <w:tc>
          <w:tcPr>
            <w:tcW w:w="151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6ABDD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95% CI</w:t>
            </w:r>
          </w:p>
        </w:tc>
        <w:tc>
          <w:tcPr>
            <w:tcW w:w="72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CB79F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</w:t>
            </w:r>
          </w:p>
        </w:tc>
        <w:tc>
          <w:tcPr>
            <w:tcW w:w="93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FD663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 xml:space="preserve">Family </w:t>
            </w:r>
            <w:r>
              <w:rPr>
                <w:rFonts w:ascii="Times New Roman" w:hAnsi="Times New Roman"/>
                <w:color w:val="000000"/>
                <w:sz w:val="17"/>
              </w:rPr>
              <w:t>p</w:t>
            </w:r>
            <w:r>
              <w:rPr>
                <w:rFonts w:ascii="Times New Roman" w:hAnsi="Times New Roman"/>
                <w:color w:val="000000"/>
                <w:sz w:val="17"/>
                <w:vertAlign w:val="subscript"/>
              </w:rPr>
              <w:t>FDR</w:t>
            </w:r>
          </w:p>
        </w:tc>
        <w:tc>
          <w:tcPr>
            <w:tcW w:w="864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2AF3B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 xml:space="preserve">Global </w:t>
            </w:r>
            <w:r>
              <w:rPr>
                <w:rFonts w:ascii="Times New Roman" w:hAnsi="Times New Roman"/>
                <w:color w:val="000000"/>
                <w:sz w:val="17"/>
              </w:rPr>
              <w:t>p</w:t>
            </w:r>
            <w:r>
              <w:rPr>
                <w:rFonts w:ascii="Times New Roman" w:hAnsi="Times New Roman"/>
                <w:color w:val="000000"/>
                <w:sz w:val="17"/>
                <w:vertAlign w:val="subscript"/>
              </w:rPr>
              <w:t>FDR</w:t>
            </w:r>
          </w:p>
        </w:tc>
      </w:tr>
      <w:tr w14:paraId="3EA47E09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EA207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P1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C079A8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10902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73C0F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25/33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2E6BC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−0.570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1A69B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−1.377 to 0.237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F37CF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0.1627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34588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0.3254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4DDF5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0.541</w:t>
            </w:r>
          </w:p>
        </w:tc>
      </w:tr>
      <w:tr w14:paraId="0CABB0B2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30186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P1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ED8C6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82520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A078B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19/17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A6607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−0.213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62396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−2.343 to 1.917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64B2A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0.8398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45669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0.945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A3872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  <w:tr w14:paraId="0CBFF5C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02C81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P1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7F3DB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D7A52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6A237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18/20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AECDE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0.121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52F64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−1.864 to 2.105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9BFAA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0.9025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6C1F4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0.945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84621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  <w:tr w14:paraId="10CB4852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4AC94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N1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98FF1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E09ED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A37B5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25/33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F990F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−1.316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680B1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−2.775 to 0.142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B9208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0.076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B4D1D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0.3254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6B5CC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0.4593</w:t>
            </w:r>
          </w:p>
        </w:tc>
      </w:tr>
      <w:tr w14:paraId="0D3C31E1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F67BB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N1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96EEF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074CDC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1A369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19/17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7DF9A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−0.131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2BB48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−3.980 to 3.717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DDBC8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0.945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C4388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0.945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F546D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  <w:tr w14:paraId="6A3A05A7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77665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N1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C7D89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E0CF7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7B0F2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18/20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DD9299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2.117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2856F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−0.716 to 4.951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52329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0.1382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FC634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0.3254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1BBE9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0.5275</w:t>
            </w:r>
          </w:p>
        </w:tc>
      </w:tr>
      <w:tr w14:paraId="4D2816A0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A4EFF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N2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64044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65B5B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7E7D5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25/33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35953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0.020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C0525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−2.444 to 2.484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28EE6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0.9873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07212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0.9873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DEDAB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0.9873</w:t>
            </w:r>
          </w:p>
        </w:tc>
      </w:tr>
      <w:tr w14:paraId="7A753689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3FB99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N2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B4B39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C4CBE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B1DBB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19/17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D4839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3.493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B9122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−0.670 to 7.657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23449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0.0971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69D11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0.1289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E081D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0.5011</w:t>
            </w:r>
          </w:p>
        </w:tc>
      </w:tr>
      <w:tr w14:paraId="213A1CFB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349A7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N2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FC695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E1F26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B042E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18/20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AD071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2.498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40E0F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−0.572 to 5.568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B83DFD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0.1074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7B07D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0.1289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405E8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0.5011</w:t>
            </w:r>
          </w:p>
        </w:tc>
      </w:tr>
      <w:tr w14:paraId="004645A1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FBFAB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P3/LPC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095EA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96D73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86711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25/33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FF8C4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−3.408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C810E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−6.805 to −0.011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6E9EA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0.0493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D6964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0.1289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E641D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0.4141</w:t>
            </w:r>
          </w:p>
        </w:tc>
      </w:tr>
      <w:tr w14:paraId="1E3F2638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A96BF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P3/LPC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ED94A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1423E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42C57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19/17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F5345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3.189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90C7D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−0.360 to 6.739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EF8F9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0.0765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D289E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0.1289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FFF06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0.4593</w:t>
            </w:r>
          </w:p>
        </w:tc>
      </w:tr>
      <w:tr w14:paraId="49FE6355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59ACA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P3/LPC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B0515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20013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2233C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18/20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5F822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3.158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27F2D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0.092 to 6.225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A4A56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0.0439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CA634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0.1289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3B230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0.4141</w:t>
            </w:r>
          </w:p>
        </w:tc>
      </w:tr>
      <w:tr w14:paraId="277DA2C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8F7B1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readiness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B3C51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303C9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3C8FA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24/29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C1AED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−0.471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9D14A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−1.601 to 0.660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61102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0.4069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0400F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0.9569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FEE7C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0.7947</w:t>
            </w:r>
          </w:p>
        </w:tc>
      </w:tr>
      <w:tr w14:paraId="5FC40C9A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F471E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readiness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8D27E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26921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C2541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16/13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45420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1.137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2091A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−1.816 to 4.091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48B94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0.4352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A9772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0.9569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7C3D4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0.7947</w:t>
            </w:r>
          </w:p>
        </w:tc>
      </w:tr>
      <w:tr w14:paraId="5D51BE0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C2A2F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readiness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D5A2A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94BD8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231EC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15/15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D6F1F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0.959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74FC8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−4.510 to 6.428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EDFD8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0.7214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0102D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0.9569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3191D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  <w:tr w14:paraId="722A6428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D8950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motor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07044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DBA54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C660D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24/29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B54EB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−1.466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EE0AF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−4.137 to 1.206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59DF8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0.2755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D47FB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0.9569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0CAD2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0.6807</w:t>
            </w:r>
          </w:p>
        </w:tc>
      </w:tr>
      <w:tr w14:paraId="31C23CA9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0003A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motor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727FE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2731D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FAACE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16/13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A0A2A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0.580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9EDF7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−4.080 to 5.240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25B3C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0.7997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C261A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0.9569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A9451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  <w:tr w14:paraId="77B76035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99852C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motor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E6966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58A1E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6B505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15/15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E0389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1.006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04ADF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−6.764 to 8.776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C5B53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0.7922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CE69C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0.9569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C85AB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  <w:tr w14:paraId="40D807B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12238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post-response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EF2C2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0D689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958E5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24/29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02C9B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−4.171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AED10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−7.408 to −0.933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98AD4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0.0126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7F307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0.1137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EF4DB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0.363</w:t>
            </w:r>
          </w:p>
        </w:tc>
      </w:tr>
      <w:tr w14:paraId="7C4DFE2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B10FE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post-response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41429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E8FF1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50C9A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16/13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7CD75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−0.415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50A94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−5.902 to 5.071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A4DCC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0.8774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C59F2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0.9569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5F433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  <w:tr w14:paraId="36439459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8A4FA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post-response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B06F0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3C1CA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EF6EF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15/15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F9AFE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0.197</w:t>
            </w:r>
          </w:p>
        </w:tc>
        <w:tc>
          <w:tcPr>
            <w:tcW w:w="15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C6672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−7.244 to 7.639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E2551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0.9569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FF41C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0.9569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C00C3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</w:tbl>
    <w:p w14:paraId="413F021B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Supplementary Table S6. Complete time-frequency and response-beta analyses</w:t>
      </w:r>
    </w:p>
    <w:tbl>
      <w:tblPr>
        <w:tblStyle w:val="32"/>
        <w:tblW w:w="9000" w:type="dxa"/>
        <w:tblInd w:w="120" w:type="dxa"/>
        <w:tblBorders>
          <w:top w:val="single" w:color="000000" w:sz="10" w:space="0"/>
          <w:left w:val="none" w:color="auto" w:sz="0" w:space="0"/>
          <w:bottom w:val="single" w:color="000000" w:sz="1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152"/>
        <w:gridCol w:w="1152"/>
        <w:gridCol w:w="1008"/>
        <w:gridCol w:w="936"/>
        <w:gridCol w:w="1656"/>
        <w:gridCol w:w="792"/>
        <w:gridCol w:w="864"/>
      </w:tblGrid>
      <w:tr w14:paraId="6CE9ECB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44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FFA47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Metric</w:t>
            </w:r>
          </w:p>
        </w:tc>
        <w:tc>
          <w:tcPr>
            <w:tcW w:w="115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802D2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Analysis</w:t>
            </w:r>
          </w:p>
        </w:tc>
        <w:tc>
          <w:tcPr>
            <w:tcW w:w="115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E0E5B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Contrast</w:t>
            </w:r>
          </w:p>
        </w:tc>
        <w:tc>
          <w:tcPr>
            <w:tcW w:w="1008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E4075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n HC/GAD-HSS</w:t>
            </w:r>
          </w:p>
        </w:tc>
        <w:tc>
          <w:tcPr>
            <w:tcW w:w="93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17962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Difference</w:t>
            </w:r>
          </w:p>
        </w:tc>
        <w:tc>
          <w:tcPr>
            <w:tcW w:w="165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4D008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95% CI</w:t>
            </w:r>
          </w:p>
        </w:tc>
        <w:tc>
          <w:tcPr>
            <w:tcW w:w="79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17E67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</w:t>
            </w:r>
          </w:p>
        </w:tc>
        <w:tc>
          <w:tcPr>
            <w:tcW w:w="864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BBC17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</w:t>
            </w:r>
            <w:r>
              <w:rPr>
                <w:rFonts w:ascii="Times New Roman" w:hAnsi="Times New Roman"/>
                <w:color w:val="000000"/>
                <w:sz w:val="17"/>
                <w:vertAlign w:val="subscript"/>
              </w:rPr>
              <w:t>FDR</w:t>
            </w:r>
          </w:p>
        </w:tc>
      </w:tr>
      <w:tr w14:paraId="7D9C70B1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E8610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poststimulus theta (dB)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B4112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B8681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D3942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24/31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00AE3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−0.222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53A30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−0.690 to 0.245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39C46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0.3441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D2D2C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0.6452</w:t>
            </w:r>
          </w:p>
        </w:tc>
      </w:tr>
      <w:tr w14:paraId="762E02F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AE4AEE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poststimulus theta (dB)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5CFF3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686C0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53C4D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072CC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0.100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60C38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−1.079 to 1.279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972DB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0.8626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89DE2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0.906</w:t>
            </w:r>
          </w:p>
        </w:tc>
      </w:tr>
      <w:tr w14:paraId="36E0E8DA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B5644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poststimulus theta (dB)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AD86A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34B2C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10453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17/15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C1F29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0.835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19AC3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−0.184 to 1.855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8A6FC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0.1045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527FF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0.6452</w:t>
            </w:r>
          </w:p>
        </w:tc>
      </w:tr>
      <w:tr w14:paraId="465D7A15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69523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alpha suppression (dB)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1000E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CF4D6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60850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24/31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9219DE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0.193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09358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−0.884 to 1.270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65A13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0.7195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E0804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0.906</w:t>
            </w:r>
          </w:p>
        </w:tc>
      </w:tr>
      <w:tr w14:paraId="215A1E93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4EBC9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alpha suppression (dB)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6A9D8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5692B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71965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2A546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−0.084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91EAE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−1.336 to 1.168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46D37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0.8911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EEF20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0.906</w:t>
            </w:r>
          </w:p>
        </w:tc>
      </w:tr>
      <w:tr w14:paraId="14F90024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42F6E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alpha suppression (dB)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13A2A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84F0A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D4DE0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17/15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9AE83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−0.159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054F3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−1.542 to 1.223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D68660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0.8157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4118D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0.906</w:t>
            </w:r>
          </w:p>
        </w:tc>
      </w:tr>
      <w:tr w14:paraId="02CE1996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1C9AB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prestimulus alpha log power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DA1B0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9D149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99788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24/31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1F211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0.144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C83F3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−0.104 to 0.392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6A196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0.2453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DEF05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0.6452</w:t>
            </w:r>
          </w:p>
        </w:tc>
      </w:tr>
      <w:tr w14:paraId="4E624EE3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F7547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prestimulus alpha log power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9C309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3F81E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B72A8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5223A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0.052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96D24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−0.024 to 0.128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4676E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0.1724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E3C47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0.6452</w:t>
            </w:r>
          </w:p>
        </w:tc>
      </w:tr>
      <w:tr w14:paraId="5820ED5C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09365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prestimulus alpha log power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A080F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8414E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9D1B8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17/15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8BD5D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−0.006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6BB33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−0.118 to 0.105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DF8B5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0.906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33C31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0.906</w:t>
            </w:r>
          </w:p>
        </w:tc>
      </w:tr>
      <w:tr w14:paraId="2F080189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B1989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delta ITPC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FFF3B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85865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00B3A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24/31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95878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−0.034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57EF2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−0.103 to 0.034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1D537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0.3213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64531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0.6452</w:t>
            </w:r>
          </w:p>
        </w:tc>
      </w:tr>
      <w:tr w14:paraId="6CF6D295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59364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delta ITPC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F6576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FCA11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0BC8F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DDE81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0.023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1DF50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−0.142 to 0.189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0F913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0.7741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6664C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0.906</w:t>
            </w:r>
          </w:p>
        </w:tc>
      </w:tr>
      <w:tr w14:paraId="06011EB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87F46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delta ITPC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10F6C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D5CDA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F6271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17/15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4BBD2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0.065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FE88D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−0.049 to 0.179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D8DF7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0.2548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9E308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0.6452</w:t>
            </w:r>
          </w:p>
        </w:tc>
      </w:tr>
      <w:tr w14:paraId="6C17C774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9BDE1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theta ITPC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7EB90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85A91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0EC35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24/31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59C0C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−0.046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C104A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−0.094 to 0.001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A35B8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0.0568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A4209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0.6452</w:t>
            </w:r>
          </w:p>
        </w:tc>
      </w:tr>
      <w:tr w14:paraId="009431CC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E024D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theta ITPC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D4138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0ABC3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1ECAA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77E31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0.045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BDA0B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−0.072 to 0.163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3E960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0.429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C145F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0.715</w:t>
            </w:r>
          </w:p>
        </w:tc>
      </w:tr>
      <w:tr w14:paraId="1CB9763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CBF32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theta ITPC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018BC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85C71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404A9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17/15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8CDB5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0.047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6B98B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−0.046 to 0.139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D130A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0.3097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AD596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0.6452</w:t>
            </w:r>
          </w:p>
        </w:tc>
      </w:tr>
      <w:tr w14:paraId="7B70F1A2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879DB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pre-response beta (dB)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2DF4A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E1A67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28512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24/33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57879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0.225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085A6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−0.004 to 0.454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35F4D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0.0538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576AD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0.1614</w:t>
            </w:r>
          </w:p>
        </w:tc>
      </w:tr>
      <w:tr w14:paraId="40EB0BA7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0469A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pre-response beta (dB)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1F733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47F8D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C6D34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19/17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C2EC91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0.188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95AD9E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−0.382 to 0.757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FF1FC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0.506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ABEDF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0.506</w:t>
            </w:r>
          </w:p>
        </w:tc>
      </w:tr>
      <w:tr w14:paraId="140E6B9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2153A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pre-response beta (dB)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DBB18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AAFBD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B798A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20/19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B9C3F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−0.436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A3CC5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−1.073 to 0.201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8A829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0.1725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9D68D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0.3072</w:t>
            </w:r>
          </w:p>
        </w:tc>
      </w:tr>
      <w:tr w14:paraId="3B095950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3D084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post-response beta (dB)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4AE45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E6D4C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B5A46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24/33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135A1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0.207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B07B9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−0.252 to 0.666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9995D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0.3689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5EC1C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0.4427</w:t>
            </w:r>
          </w:p>
        </w:tc>
      </w:tr>
      <w:tr w14:paraId="70D88DC1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CA4A2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post-response beta (dB)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26193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D3614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A983D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19/17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BD3B1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−0.345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265D8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−0.891 to 0.200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F174A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0.2048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073A8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0.3072</w:t>
            </w:r>
          </w:p>
        </w:tc>
      </w:tr>
      <w:tr w14:paraId="45B830F3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FDB5A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post-response beta (dB)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D263F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15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70923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F6C83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20/19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D09C4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−0.833</w:t>
            </w:r>
          </w:p>
        </w:tc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54F02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−1.426 to −0.240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05CF7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0.0072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F391F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0.0431</w:t>
            </w:r>
          </w:p>
        </w:tc>
      </w:tr>
    </w:tbl>
    <w:p w14:paraId="64F6988B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Supplementary Table S7. Adjusted time-frequency and response-beta analyses</w:t>
      </w:r>
    </w:p>
    <w:tbl>
      <w:tblPr>
        <w:tblStyle w:val="32"/>
        <w:tblW w:w="9288" w:type="dxa"/>
        <w:tblInd w:w="120" w:type="dxa"/>
        <w:tblBorders>
          <w:top w:val="single" w:color="000000" w:sz="10" w:space="0"/>
          <w:left w:val="none" w:color="auto" w:sz="0" w:space="0"/>
          <w:bottom w:val="single" w:color="000000" w:sz="1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1008"/>
        <w:gridCol w:w="1080"/>
        <w:gridCol w:w="936"/>
        <w:gridCol w:w="1008"/>
        <w:gridCol w:w="1440"/>
        <w:gridCol w:w="720"/>
        <w:gridCol w:w="936"/>
        <w:gridCol w:w="936"/>
      </w:tblGrid>
      <w:tr w14:paraId="6174FF44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24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24A99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Endpoint</w:t>
            </w:r>
          </w:p>
        </w:tc>
        <w:tc>
          <w:tcPr>
            <w:tcW w:w="1008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DFC5A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Analysis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59CEA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Contrast</w:t>
            </w:r>
          </w:p>
        </w:tc>
        <w:tc>
          <w:tcPr>
            <w:tcW w:w="93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CC155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n HC/GAD-HSS</w:t>
            </w:r>
          </w:p>
        </w:tc>
        <w:tc>
          <w:tcPr>
            <w:tcW w:w="1008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665C6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Adjusted effect</w:t>
            </w:r>
          </w:p>
        </w:tc>
        <w:tc>
          <w:tcPr>
            <w:tcW w:w="144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DD90C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95% CI</w:t>
            </w:r>
          </w:p>
        </w:tc>
        <w:tc>
          <w:tcPr>
            <w:tcW w:w="72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A7BA5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</w:t>
            </w:r>
          </w:p>
        </w:tc>
        <w:tc>
          <w:tcPr>
            <w:tcW w:w="93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AD31D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 xml:space="preserve">Family </w:t>
            </w:r>
            <w:r>
              <w:rPr>
                <w:rFonts w:ascii="Times New Roman" w:hAnsi="Times New Roman"/>
                <w:color w:val="000000"/>
                <w:sz w:val="17"/>
              </w:rPr>
              <w:t>p</w:t>
            </w:r>
            <w:r>
              <w:rPr>
                <w:rFonts w:ascii="Times New Roman" w:hAnsi="Times New Roman"/>
                <w:color w:val="000000"/>
                <w:sz w:val="17"/>
                <w:vertAlign w:val="subscript"/>
              </w:rPr>
              <w:t>FDR</w:t>
            </w:r>
          </w:p>
        </w:tc>
        <w:tc>
          <w:tcPr>
            <w:tcW w:w="93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5A623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 xml:space="preserve">Global </w:t>
            </w:r>
            <w:r>
              <w:rPr>
                <w:rFonts w:ascii="Times New Roman" w:hAnsi="Times New Roman"/>
                <w:color w:val="000000"/>
                <w:sz w:val="17"/>
              </w:rPr>
              <w:t>p</w:t>
            </w:r>
            <w:r>
              <w:rPr>
                <w:rFonts w:ascii="Times New Roman" w:hAnsi="Times New Roman"/>
                <w:color w:val="000000"/>
                <w:sz w:val="17"/>
                <w:vertAlign w:val="subscript"/>
              </w:rPr>
              <w:t>FDR</w:t>
            </w:r>
          </w:p>
        </w:tc>
      </w:tr>
      <w:tr w14:paraId="364367EF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B0F26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poststimulus theta (dB)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AEEE3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48893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96447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24/31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6A1B9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−0.235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3FB55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−0.898 to 0.429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A45D7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0.4809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6EE71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0.9016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88B59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0.8415</w:t>
            </w:r>
          </w:p>
        </w:tc>
      </w:tr>
      <w:tr w14:paraId="29BBD243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0655A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poststimulus theta (dB)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91D91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D7D41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58D5B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15/13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F4600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0.090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F14E6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−1.583 to 1.764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7B38B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0.9123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265BA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0.9123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64EC3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  <w:tr w14:paraId="151486C8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D6505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poststimulus theta (dB)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60972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2B723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46559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17/15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C038F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0.632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E2A82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−0.462 to 1.725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E4958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0.2469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CD4A6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0.9016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66939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0.6672</w:t>
            </w:r>
          </w:p>
        </w:tc>
      </w:tr>
      <w:tr w14:paraId="1A62B616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4B49E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alpha suppression (dB)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9DD63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9099C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5D480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24/31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EB9AA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0.363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A4E5D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−0.849 to 1.575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B1578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0.5502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456D1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0.9123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A21B7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0.8888</w:t>
            </w:r>
          </w:p>
        </w:tc>
      </w:tr>
      <w:tr w14:paraId="20A37E13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99069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alpha suppression (dB)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11A47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781CC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540B0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15/13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9363C5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−0.131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78809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−1.542 to 1.279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8AFCD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0.8491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088C8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0.9123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4D78E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  <w:tr w14:paraId="183E470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81926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alpha suppression (dB)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31878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AADAE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280DB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17/15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8763D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0.163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8AA44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−1.404 to 1.730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F24E7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0.8326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7F0AE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0.9123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081E3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  <w:tr w14:paraId="48B88F4A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B2025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prestimulus alpha log power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3405A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588ED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0A672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24/31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B9D73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0.112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02832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−0.135 to 0.358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9EFF1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0.3666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B1D81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0.9016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606FB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0.7698</w:t>
            </w:r>
          </w:p>
        </w:tc>
      </w:tr>
      <w:tr w14:paraId="03C68598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86AE4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prestimulus alpha log power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BD703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7CF54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7A7C0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15/13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AC287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0.059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52261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−0.045 to 0.163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EF27B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0.2542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4D8A6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0.9016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7BD11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0.6672</w:t>
            </w:r>
          </w:p>
        </w:tc>
      </w:tr>
      <w:tr w14:paraId="65FE3B76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F86AE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prestimulus alpha log power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95436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F1A1E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45799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17/15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89D37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−0.031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6D496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−0.201 to 0.139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A0A15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0.7144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99743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0.9123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05E0D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  <w:tr w14:paraId="7E9D52C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44D9F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delta ITPC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0CFEEB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08FAB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1E620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24/31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A7056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−0.037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1B96B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−0.114 to 0.041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0394A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0.3452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9B99F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0.9016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0DB2C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0.7631</w:t>
            </w:r>
          </w:p>
        </w:tc>
      </w:tr>
      <w:tr w14:paraId="0B3BE094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4E37C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delta ITPC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773C4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D5C26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4B227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15/13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960F6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0.013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7F372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−0.175 to 0.201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D3D98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0.8871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C086E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0.9123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C6D01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  <w:tr w14:paraId="06AC7442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43DE5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delta ITPC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C4EE0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B0E6F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618EA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17/15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3297E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0.050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9E98BA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−0.078 to 0.179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35A50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0.4307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69C1A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0.9016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0593F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0.7947</w:t>
            </w:r>
          </w:p>
        </w:tc>
      </w:tr>
      <w:tr w14:paraId="5BE8B57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E1D29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theta ITPC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A7810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1F11D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943E8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24/31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0F2C1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−0.039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6E6AB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−0.088 to 0.011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23DB8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0.1202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25B8E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0.9016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A73F0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0.5048</w:t>
            </w:r>
          </w:p>
        </w:tc>
      </w:tr>
      <w:tr w14:paraId="3E2FF421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82639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theta ITPC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382D8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9A7D29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747AE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15/13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2F57E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0.013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F4A82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−0.114 to 0.139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05783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0.8378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E901E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0.9123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38D32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  <w:tr w14:paraId="476961C8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34D11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theta ITPC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C8D5B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0D490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DE0D3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17/15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026BB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0.052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1AC5D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−0.039 to 0.144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269B8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0.2515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FC1F8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0.9016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7F6AA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0.6672</w:t>
            </w:r>
          </w:p>
        </w:tc>
      </w:tr>
      <w:tr w14:paraId="2BB32DA7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DEA7E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pre-response beta (dB)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8D16F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9F066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FCB40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24/33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E5376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0.303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93D16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0.038 to 0.569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70768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0.0259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7D080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0.0778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E86B0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0.363</w:t>
            </w:r>
          </w:p>
        </w:tc>
      </w:tr>
      <w:tr w14:paraId="685063F7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1E424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pre-response beta (dB)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94AC6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AB23F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F46E4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19/17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A977A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0.316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06078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−0.676 to 1.308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DCB53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0.5211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3E21E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0.6253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BCD5A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0.8754</w:t>
            </w:r>
          </w:p>
        </w:tc>
      </w:tr>
      <w:tr w14:paraId="1EDE7386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AF1D3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pre-response beta (dB)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EA9BC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7E910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86C92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20/19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84711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−0.385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05613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−1.168 to 0.398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93F79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0.3249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DC460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0.4874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60BFE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0.7581</w:t>
            </w:r>
          </w:p>
        </w:tc>
      </w:tr>
      <w:tr w14:paraId="7983CC61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71B89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post-response beta (dB)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B0BEE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× group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B44AF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2036B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24/33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15CC5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0.389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B3776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−0.168 to 0.946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B3A65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0.1675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E9D56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0.3349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028A4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0.541</w:t>
            </w:r>
          </w:p>
        </w:tc>
      </w:tr>
      <w:tr w14:paraId="5E6AEC7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910E1F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post-response beta (dB)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E07E4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speed interaction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A8923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slow versus fast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F3EE4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19/17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CF34F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−0.160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3FF2D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−1.302 to 0.981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807DE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0.7766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5FFE4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0.7766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9A2A1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0.9803</w:t>
            </w:r>
          </w:p>
        </w:tc>
      </w:tr>
      <w:tr w14:paraId="120528A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D0A62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post-response beta (dB)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480C2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time interaction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106FC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late versus early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FFD80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20/19</w:t>
            </w:r>
          </w:p>
        </w:tc>
        <w:tc>
          <w:tcPr>
            <w:tcW w:w="100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F6138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−0.931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4BA61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−1.741 to −0.122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83B68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0.0254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068FFE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0.0778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CD7B5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0.363</w:t>
            </w:r>
          </w:p>
        </w:tc>
      </w:tr>
    </w:tbl>
    <w:p w14:paraId="57993B0E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Supplementary Table S8. Single-trial models and trial-count reconciliation</w:t>
      </w:r>
    </w:p>
    <w:tbl>
      <w:tblPr>
        <w:tblStyle w:val="32"/>
        <w:tblW w:w="9360" w:type="dxa"/>
        <w:tblInd w:w="120" w:type="dxa"/>
        <w:tblBorders>
          <w:top w:val="single" w:color="000000" w:sz="10" w:space="0"/>
          <w:left w:val="none" w:color="auto" w:sz="0" w:space="0"/>
          <w:bottom w:val="single" w:color="000000" w:sz="1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792"/>
        <w:gridCol w:w="720"/>
        <w:gridCol w:w="2592"/>
        <w:gridCol w:w="3456"/>
      </w:tblGrid>
      <w:tr w14:paraId="02BDE432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80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4BB1C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Model/data stage</w:t>
            </w:r>
          </w:p>
        </w:tc>
        <w:tc>
          <w:tcPr>
            <w:tcW w:w="79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CAD89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Participants</w:t>
            </w:r>
          </w:p>
        </w:tc>
        <w:tc>
          <w:tcPr>
            <w:tcW w:w="72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71AB8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Trials</w:t>
            </w:r>
          </w:p>
        </w:tc>
        <w:tc>
          <w:tcPr>
            <w:tcW w:w="259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C552C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P3 result</w:t>
            </w:r>
          </w:p>
        </w:tc>
        <w:tc>
          <w:tcPr>
            <w:tcW w:w="345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29E5B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Reconciliation note</w:t>
            </w:r>
          </w:p>
        </w:tc>
      </w:tr>
      <w:tr w14:paraId="226F374C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AF317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Source analysis table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E4963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60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2745A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3,266</w:t>
            </w:r>
          </w:p>
        </w:tc>
        <w:tc>
          <w:tcPr>
            <w:tcW w:w="25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1B667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Not a fitted model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65E3D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Contains 35 rows missing foreperiod and/or previous-trial RT derivatives</w:t>
            </w:r>
          </w:p>
        </w:tc>
      </w:tr>
      <w:tr w14:paraId="5BC8C808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820DD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Primary P3 random-intercept model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2B71F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60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9EF2F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3,231</w:t>
            </w:r>
          </w:p>
        </w:tc>
        <w:tc>
          <w:tcPr>
            <w:tcW w:w="25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AC841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 xml:space="preserve">β = −0.02384; SE = 0.00593; p = 5.89 × </w:t>
            </w:r>
            <w:r>
              <w:rPr>
                <w:rFonts w:ascii="Times New Roman" w:hAnsi="Times New Roman"/>
                <w:color w:val="000000"/>
                <w:sz w:val="17"/>
              </w:rPr>
              <w:t>10</w:t>
            </w:r>
            <w:r>
              <w:rPr>
                <w:rFonts w:ascii="Times New Roman" w:hAnsi="Times New Roman"/>
                <w:color w:val="000000"/>
                <w:sz w:val="17"/>
                <w:vertAlign w:val="superscript"/>
              </w:rPr>
              <w:t>−5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3950F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Residual df = 3,224 plus seven fixed effects confirms n = 3,231</w:t>
            </w:r>
          </w:p>
        </w:tc>
      </w:tr>
      <w:tr w14:paraId="32FDEB16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FA0CC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Adjusted correlated P3 random-slope model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F8627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60</w:t>
            </w:r>
          </w:p>
        </w:tc>
        <w:tc>
          <w:tcPr>
            <w:tcW w:w="72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73469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3,231</w:t>
            </w:r>
          </w:p>
        </w:tc>
        <w:tc>
          <w:tcPr>
            <w:tcW w:w="25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F7AFAB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β = −0.02332; 95% CI −0.03929 to −0.00736; p = 0.00420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35535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P3 × group p = 0.144</w:t>
            </w:r>
          </w:p>
        </w:tc>
      </w:tr>
    </w:tbl>
    <w:p w14:paraId="0EEB441E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Supplementary Table S9. Primary and adjusted FDR-family definitions</w:t>
      </w:r>
    </w:p>
    <w:tbl>
      <w:tblPr>
        <w:tblStyle w:val="32"/>
        <w:tblW w:w="9360" w:type="dxa"/>
        <w:tblInd w:w="120" w:type="dxa"/>
        <w:tblBorders>
          <w:top w:val="single" w:color="000000" w:sz="10" w:space="0"/>
          <w:left w:val="none" w:color="auto" w:sz="0" w:space="0"/>
          <w:bottom w:val="single" w:color="000000" w:sz="1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864"/>
        <w:gridCol w:w="3384"/>
        <w:gridCol w:w="3456"/>
      </w:tblGrid>
      <w:tr w14:paraId="1CB98DA2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65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092DE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Family</w:t>
            </w:r>
          </w:p>
        </w:tc>
        <w:tc>
          <w:tcPr>
            <w:tcW w:w="864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8E122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m</w:t>
            </w:r>
          </w:p>
        </w:tc>
        <w:tc>
          <w:tcPr>
            <w:tcW w:w="3384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E42BA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Membership</w:t>
            </w:r>
          </w:p>
        </w:tc>
        <w:tc>
          <w:tcPr>
            <w:tcW w:w="345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08282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Adjusted-analysis handling</w:t>
            </w:r>
          </w:p>
        </w:tc>
      </w:tr>
      <w:tr w14:paraId="39EE5334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A4150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Behavior primary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A7F21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w="33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75651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Median RT; RT CV; lapse proportion; participant reaction-time progress slope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7AB7B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Same endpoints after age/sex adjustment</w:t>
            </w:r>
          </w:p>
        </w:tc>
      </w:tr>
      <w:tr w14:paraId="1DC4C1C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4EA36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Behavior secondary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04DFC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w="33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B8889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Mean RT; median response speed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16F7A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Same endpoints after age/sex adjustment</w:t>
            </w:r>
          </w:p>
        </w:tc>
      </w:tr>
      <w:tr w14:paraId="3E275088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DFA0A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Early ERP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62C108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w="33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047C7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P1 and N1 × three contrasts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E1F6B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Same family</w:t>
            </w:r>
          </w:p>
        </w:tc>
      </w:tr>
      <w:tr w14:paraId="45645245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180F8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Late ERP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599B9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w="33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47CE1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N2 and P3/LPC × three contrasts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CFE547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Same family</w:t>
            </w:r>
          </w:p>
        </w:tc>
      </w:tr>
      <w:tr w14:paraId="599BDF2A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9E588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Response ERP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D6D0A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</w:t>
            </w:r>
          </w:p>
        </w:tc>
        <w:tc>
          <w:tcPr>
            <w:tcW w:w="33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E1D60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Readiness, motor, post-response × three contrasts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25401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Same family</w:t>
            </w:r>
          </w:p>
        </w:tc>
      </w:tr>
      <w:tr w14:paraId="5D0CA4FF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6398B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Time-frequency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A1ADF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</w:t>
            </w:r>
          </w:p>
        </w:tc>
        <w:tc>
          <w:tcPr>
            <w:tcW w:w="33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61FD7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Five measures × three contrasts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4C23B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Same family</w:t>
            </w:r>
          </w:p>
        </w:tc>
      </w:tr>
      <w:tr w14:paraId="385CA15B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912B48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Response beta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17540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w="33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BAA94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Pre- and post-response beta × three contrasts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2F334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Same family</w:t>
            </w:r>
          </w:p>
        </w:tc>
      </w:tr>
      <w:tr w14:paraId="627F95AE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D4D6C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Global adjusted EEG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3AE49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42</w:t>
            </w:r>
          </w:p>
        </w:tc>
        <w:tc>
          <w:tcPr>
            <w:tcW w:w="33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0A322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All adjusted EEG contrasts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9B8D3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 xml:space="preserve">Sensitivity correction distinct from family </w:t>
            </w:r>
            <w:r>
              <w:rPr>
                <w:rFonts w:ascii="Times New Roman" w:hAnsi="Times New Roman"/>
                <w:color w:val="000000"/>
                <w:sz w:val="17"/>
              </w:rPr>
              <w:t>p</w:t>
            </w:r>
            <w:r>
              <w:rPr>
                <w:rFonts w:ascii="Times New Roman" w:hAnsi="Times New Roman"/>
                <w:color w:val="000000"/>
                <w:sz w:val="17"/>
                <w:vertAlign w:val="subscript"/>
              </w:rPr>
              <w:t>FDR</w:t>
            </w:r>
          </w:p>
        </w:tc>
      </w:tr>
      <w:tr w14:paraId="248025C2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EED58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Adjusted P3 reporting</w:t>
            </w:r>
          </w:p>
        </w:tc>
        <w:tc>
          <w:tcPr>
            <w:tcW w:w="86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39FE0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 focal terms</w:t>
            </w:r>
          </w:p>
        </w:tc>
        <w:tc>
          <w:tcPr>
            <w:tcW w:w="338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4AAD5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P3 association and P3 × group interaction</w:t>
            </w:r>
          </w:p>
        </w:tc>
        <w:tc>
          <w:tcPr>
            <w:tcW w:w="345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B262B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Raw p reported; no new BH family defined</w:t>
            </w:r>
          </w:p>
        </w:tc>
      </w:tr>
    </w:tbl>
    <w:p w14:paraId="001AE8F6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Supplementary Table S10. Beta robustness analyses</w:t>
      </w:r>
    </w:p>
    <w:tbl>
      <w:tblPr>
        <w:tblStyle w:val="32"/>
        <w:tblW w:w="9360" w:type="dxa"/>
        <w:tblInd w:w="120" w:type="dxa"/>
        <w:tblBorders>
          <w:top w:val="single" w:color="000000" w:sz="10" w:space="0"/>
          <w:left w:val="none" w:color="auto" w:sz="0" w:space="0"/>
          <w:bottom w:val="single" w:color="000000" w:sz="1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936"/>
        <w:gridCol w:w="1440"/>
        <w:gridCol w:w="792"/>
        <w:gridCol w:w="1080"/>
        <w:gridCol w:w="3312"/>
      </w:tblGrid>
      <w:tr w14:paraId="6E563F52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80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0A059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Analysis</w:t>
            </w:r>
          </w:p>
        </w:tc>
        <w:tc>
          <w:tcPr>
            <w:tcW w:w="93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40320B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Effect (dB)</w:t>
            </w:r>
          </w:p>
        </w:tc>
        <w:tc>
          <w:tcPr>
            <w:tcW w:w="144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02BEB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95% CI</w:t>
            </w:r>
          </w:p>
        </w:tc>
        <w:tc>
          <w:tcPr>
            <w:tcW w:w="79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D4CDF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p</w:t>
            </w:r>
          </w:p>
        </w:tc>
        <w:tc>
          <w:tcPr>
            <w:tcW w:w="1080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AAA30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n HC/GAD-HSS</w:t>
            </w:r>
          </w:p>
        </w:tc>
        <w:tc>
          <w:tcPr>
            <w:tcW w:w="331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F1D52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Conclusion</w:t>
            </w:r>
          </w:p>
        </w:tc>
      </w:tr>
      <w:tr w14:paraId="4CE39818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0C84B2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Primary Welch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55A71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−0.833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AC102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−1.426 to −0.240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95757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0.0072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3982E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20/19</w:t>
            </w:r>
          </w:p>
        </w:tc>
        <w:tc>
          <w:tcPr>
            <w:tcW w:w="33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4942B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Replicates locked primary result</w:t>
            </w:r>
          </w:p>
        </w:tc>
      </w:tr>
      <w:tr w14:paraId="649ECAB1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17C5A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Wilcoxon rank-sum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104F5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−0.833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066491">
            <w:pPr>
              <w:spacing w:after="20" w:line="240" w:lineRule="auto"/>
              <w:rPr>
                <w:color w:val="auto"/>
              </w:rPr>
            </w:pP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9AC54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0.0237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0F255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20/19</w:t>
            </w:r>
          </w:p>
        </w:tc>
        <w:tc>
          <w:tcPr>
            <w:tcW w:w="33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5A940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Distribution-free sensitivity</w:t>
            </w:r>
          </w:p>
        </w:tc>
      </w:tr>
      <w:tr w14:paraId="403B8759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3B98D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10,000-label permutation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602A7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−0.833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C91223">
            <w:pPr>
              <w:spacing w:after="20" w:line="240" w:lineRule="auto"/>
              <w:rPr>
                <w:color w:val="auto"/>
              </w:rPr>
            </w:pP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FF6EA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0.0059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363B7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20/19</w:t>
            </w:r>
          </w:p>
        </w:tc>
        <w:tc>
          <w:tcPr>
            <w:tcW w:w="33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4E04C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Participant-label permutation sensitivity</w:t>
            </w:r>
          </w:p>
        </w:tc>
      </w:tr>
      <w:tr w14:paraId="4C1286C9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762F5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10,000-resample bootstrap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D2F83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−0.833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0CADCE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−1.395 to −0.286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268A5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0.0024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706E9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20/19</w:t>
            </w:r>
          </w:p>
        </w:tc>
        <w:tc>
          <w:tcPr>
            <w:tcW w:w="33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829AD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Percentile confidence interval and two-sided sign-based bootstrap p value</w:t>
            </w:r>
          </w:p>
        </w:tc>
      </w:tr>
      <w:tr w14:paraId="482C81FF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E269B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Huber robust regression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7B6D0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−0.724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7B130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−1.319 to −0.130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AB25F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0.017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14A16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20/19</w:t>
            </w:r>
          </w:p>
        </w:tc>
        <w:tc>
          <w:tcPr>
            <w:tcW w:w="33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B372B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Robust to vertical outliers</w:t>
            </w:r>
          </w:p>
        </w:tc>
      </w:tr>
      <w:tr w14:paraId="464B8541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B6273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Average-reference sensitivity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7026A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−0.442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F1C07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−0.968 to 0.084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685238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0.0972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61309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20/24</w:t>
            </w:r>
          </w:p>
        </w:tc>
        <w:tc>
          <w:tcPr>
            <w:tcW w:w="33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A165A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Reference sensitivity</w:t>
            </w:r>
          </w:p>
        </w:tc>
      </w:tr>
      <w:tr w14:paraId="262D5430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77C69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Exclude either period with 15-17 clean trials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E6FCD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−1.100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09A0B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−1.834 to −0.367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894797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0.0058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3AFFD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11/8</w:t>
            </w:r>
          </w:p>
        </w:tc>
        <w:tc>
          <w:tcPr>
            <w:tcW w:w="33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365B4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Near-threshold trial-retention sensitivity</w:t>
            </w:r>
          </w:p>
        </w:tc>
      </w:tr>
      <w:tr w14:paraId="7FCEF07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0B8A6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Leave-one-participant-out range</w:t>
            </w:r>
          </w:p>
        </w:tc>
        <w:tc>
          <w:tcPr>
            <w:tcW w:w="9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F75F2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−0.833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FCC58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−0.918 to −0.716</w:t>
            </w:r>
          </w:p>
        </w:tc>
        <w:tc>
          <w:tcPr>
            <w:tcW w:w="79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F89E4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0.0136</w:t>
            </w:r>
          </w:p>
        </w:tc>
        <w:tc>
          <w:tcPr>
            <w:tcW w:w="10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0E355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20/19</w:t>
            </w:r>
          </w:p>
        </w:tc>
        <w:tc>
          <w:tcPr>
            <w:tcW w:w="33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FE6D2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All 39 omitted-record estimates retained the primary direction; p range 0.003022-0.01365</w:t>
            </w:r>
          </w:p>
        </w:tc>
      </w:tr>
    </w:tbl>
    <w:p w14:paraId="61C01CDD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Supplementary Table S11. Endpoint-specific participant flow</w:t>
      </w:r>
    </w:p>
    <w:tbl>
      <w:tblPr>
        <w:tblStyle w:val="32"/>
        <w:tblW w:w="9360" w:type="dxa"/>
        <w:tblInd w:w="120" w:type="dxa"/>
        <w:tblBorders>
          <w:top w:val="single" w:color="000000" w:sz="10" w:space="0"/>
          <w:left w:val="none" w:color="auto" w:sz="0" w:space="0"/>
          <w:bottom w:val="single" w:color="000000" w:sz="1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2"/>
        <w:gridCol w:w="1296"/>
        <w:gridCol w:w="1296"/>
        <w:gridCol w:w="1296"/>
      </w:tblGrid>
      <w:tr w14:paraId="64366E5B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47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3A6C9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Stage/endpoint</w:t>
            </w:r>
          </w:p>
        </w:tc>
        <w:tc>
          <w:tcPr>
            <w:tcW w:w="129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1CC97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Healthy</w:t>
            </w:r>
          </w:p>
        </w:tc>
        <w:tc>
          <w:tcPr>
            <w:tcW w:w="129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F1105E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GAD-HSS</w:t>
            </w:r>
          </w:p>
        </w:tc>
        <w:tc>
          <w:tcPr>
            <w:tcW w:w="1296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266D4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Total</w:t>
            </w:r>
          </w:p>
        </w:tc>
      </w:tr>
      <w:tr w14:paraId="7DA6C88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8472E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Completed baseline records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93533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2A162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37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287A5A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69</w:t>
            </w:r>
          </w:p>
        </w:tc>
      </w:tr>
      <w:tr w14:paraId="3BDC174A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46972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Behavior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0ED9A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874B5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37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806FF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69</w:t>
            </w:r>
          </w:p>
        </w:tc>
      </w:tr>
      <w:tr w14:paraId="41500065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D2B0E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Primary-reference ERP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163B2C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25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32E6E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33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08800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58</w:t>
            </w:r>
          </w:p>
        </w:tc>
      </w:tr>
      <w:tr w14:paraId="3C5D407F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6A7A33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Stimulus-locked time-frequency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94061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AAAEAC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31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B5983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55</w:t>
            </w:r>
          </w:p>
        </w:tc>
      </w:tr>
      <w:tr w14:paraId="0962C2B1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78024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/>
                <w:color w:val="000000"/>
                <w:sz w:val="17"/>
              </w:rPr>
              <w:t>All valid post-response beta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B574D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24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A4A67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33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36F29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57</w:t>
            </w:r>
          </w:p>
        </w:tc>
      </w:tr>
      <w:tr w14:paraId="3AAACE87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53911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Paired beta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6D819D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20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70BCC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19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494BA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39</w:t>
            </w:r>
          </w:p>
        </w:tc>
      </w:tr>
      <w:tr w14:paraId="65E73563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7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582C4F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Single-trial P3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A758B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26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3D59C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34</w:t>
            </w:r>
          </w:p>
        </w:tc>
        <w:tc>
          <w:tcPr>
            <w:tcW w:w="129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74B21A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60</w:t>
            </w:r>
          </w:p>
        </w:tc>
      </w:tr>
    </w:tbl>
    <w:p w14:paraId="0339C7DA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/>
          <w:color w:val="000000"/>
          <w:sz w:val="26"/>
        </w:rPr>
        <w:t>Supplementary Table S12. Relationship to the published parent-study protocol</w:t>
      </w:r>
    </w:p>
    <w:tbl>
      <w:tblPr>
        <w:tblStyle w:val="32"/>
        <w:tblW w:w="9360" w:type="dxa"/>
        <w:tblInd w:w="120" w:type="dxa"/>
        <w:tblBorders>
          <w:top w:val="single" w:color="000000" w:sz="10" w:space="0"/>
          <w:left w:val="none" w:color="auto" w:sz="0" w:space="0"/>
          <w:bottom w:val="single" w:color="000000" w:sz="1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8"/>
        <w:gridCol w:w="6912"/>
      </w:tblGrid>
      <w:tr w14:paraId="09A06D1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448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42F912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Feature</w:t>
            </w:r>
          </w:p>
        </w:tc>
        <w:tc>
          <w:tcPr>
            <w:tcW w:w="6912" w:type="dxa"/>
            <w:tcBorders>
              <w:bottom w:val="single" w:color="000000" w:sz="8" w:space="0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F396F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Clarification</w:t>
            </w:r>
          </w:p>
        </w:tc>
      </w:tr>
      <w:tr w14:paraId="41A6AD56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174BF1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Publication type</w:t>
            </w:r>
          </w:p>
        </w:tc>
        <w:tc>
          <w:tcPr>
            <w:tcW w:w="69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A4AB4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Published protocol for the parent study; no participant-level outcomes</w:t>
            </w:r>
          </w:p>
        </w:tc>
      </w:tr>
      <w:tr w14:paraId="71F61EE6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982F9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Present report</w:t>
            </w:r>
          </w:p>
        </w:tc>
        <w:tc>
          <w:tcPr>
            <w:tcW w:w="69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A99B7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Secondary cross-sectional analysis of baseline data</w:t>
            </w:r>
          </w:p>
        </w:tc>
      </w:tr>
      <w:tr w14:paraId="36F71D4D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35C725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Registration</w:t>
            </w:r>
          </w:p>
        </w:tc>
        <w:tc>
          <w:tcPr>
            <w:tcW w:w="69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546D60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ChiCTR2400082221; registered 25 March 2024</w:t>
            </w:r>
          </w:p>
        </w:tc>
      </w:tr>
      <w:tr w14:paraId="2DA0B428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346BB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Included PVT-EEG acquisition</w:t>
            </w:r>
          </w:p>
        </w:tc>
        <w:tc>
          <w:tcPr>
            <w:tcW w:w="69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18CE6D8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28 September to 28 November 2024; all after registration</w:t>
            </w:r>
          </w:p>
        </w:tc>
      </w:tr>
      <w:tr w14:paraId="6ECF745C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274536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Previously published present outcomes</w:t>
            </w:r>
          </w:p>
        </w:tc>
        <w:tc>
          <w:tcPr>
            <w:tcW w:w="69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952689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None of the current behavior, ERP, time-frequency, response-beta, or single-trial results</w:t>
            </w:r>
          </w:p>
        </w:tc>
      </w:tr>
      <w:tr w14:paraId="573BAAB0">
        <w:tblPrEx>
          <w:tblBorders>
            <w:top w:val="single" w:color="000000" w:sz="10" w:space="0"/>
            <w:left w:val="none" w:color="auto" w:sz="0" w:space="0"/>
            <w:bottom w:val="single" w:color="000000" w:sz="1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48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5BB25AB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Inference boundary</w:t>
            </w:r>
          </w:p>
        </w:tc>
        <w:tc>
          <w:tcPr>
            <w:tcW w:w="6912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2F4024">
            <w:pPr>
              <w:spacing w:after="20" w:line="240" w:lineRule="auto"/>
              <w:rPr>
                <w:color w:val="auto"/>
              </w:rPr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Combined GAD plus self-reported habitual short-sleep group; no GAD-only attribution</w:t>
            </w:r>
          </w:p>
        </w:tc>
      </w:tr>
    </w:tbl>
    <w:p w14:paraId="5CB28FD5">
      <w:pPr>
        <w:pStyle w:val="3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Supplementary Figures</w:t>
      </w:r>
    </w:p>
    <w:p w14:paraId="7AEABEF8">
      <w:pPr>
        <w:pStyle w:val="4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Supplementary Figure S1. Endpoint-specific participant flow.</w:t>
      </w:r>
    </w:p>
    <w:p w14:paraId="14DD758B">
      <w:pPr>
        <w:spacing w:line="480" w:lineRule="auto"/>
        <w:jc w:val="center"/>
        <w:rPr>
          <w:color w:val="auto"/>
        </w:rPr>
      </w:pPr>
      <w:r>
        <w:rPr>
          <w:rFonts w:ascii="Times New Roman" w:hAnsi="Times New Roman"/>
          <w:color w:val="000000"/>
          <w:sz w:val="21"/>
        </w:rPr>
        <w:drawing>
          <wp:inline distT="0" distB="0" distL="114300" distR="114300">
            <wp:extent cx="5669280" cy="4971415"/>
            <wp:effectExtent l="0" t="0" r="762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971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DE591">
      <w:pPr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 w:val="0"/>
          <w:i/>
          <w:color w:val="000000"/>
          <w:sz w:val="21"/>
        </w:rPr>
        <w:t>Counts are endpoint-specific. Pre-enrollment screening totals were unavailable and were not reconstructed.</w:t>
      </w:r>
    </w:p>
    <w:p w14:paraId="611477F3">
      <w:pPr>
        <w:pStyle w:val="4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Supplementary Figure S2. Reference sensitivity for key electrophysiological outcomes.</w:t>
      </w:r>
    </w:p>
    <w:p w14:paraId="40B0B82B">
      <w:pPr>
        <w:spacing w:line="480" w:lineRule="auto"/>
        <w:jc w:val="center"/>
        <w:rPr>
          <w:color w:val="auto"/>
        </w:rPr>
      </w:pPr>
      <w:r>
        <w:rPr>
          <w:rFonts w:ascii="Times New Roman" w:hAnsi="Times New Roman"/>
          <w:color w:val="000000"/>
          <w:sz w:val="21"/>
        </w:rPr>
        <w:drawing>
          <wp:inline distT="0" distB="0" distL="114300" distR="114300">
            <wp:extent cx="5669280" cy="3136265"/>
            <wp:effectExtent l="0" t="0" r="762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3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DABC8">
      <w:pPr>
        <w:spacing w:before="0" w:after="80" w:line="480" w:lineRule="auto"/>
        <w:rPr>
          <w:color w:val="auto"/>
        </w:rPr>
      </w:pPr>
      <w:r>
        <w:rPr>
          <w:rFonts w:ascii="Times New Roman" w:hAnsi="Times New Roman"/>
          <w:b w:val="0"/>
          <w:color w:val="000000"/>
          <w:sz w:val="21"/>
        </w:rPr>
        <w:t>Reference-dependent shifts were visible across the displayed P1, P3/LPC, theta, and alpha estimates; uncertainty remained substantial.</w:t>
      </w:r>
    </w:p>
    <w:p w14:paraId="5D83DA78">
      <w:pPr>
        <w:pStyle w:val="4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Supplementary Figure S3. Time-on-task influence diagnostics.</w:t>
      </w:r>
    </w:p>
    <w:p w14:paraId="1A6BAA9A">
      <w:pPr>
        <w:spacing w:line="480" w:lineRule="auto"/>
        <w:jc w:val="center"/>
        <w:rPr>
          <w:color w:val="auto"/>
        </w:rPr>
      </w:pPr>
      <w:r>
        <w:rPr>
          <w:rFonts w:ascii="Times New Roman" w:hAnsi="Times New Roman"/>
          <w:color w:val="000000"/>
          <w:sz w:val="21"/>
        </w:rPr>
        <w:drawing>
          <wp:inline distT="0" distB="0" distL="114300" distR="114300">
            <wp:extent cx="5669280" cy="4816475"/>
            <wp:effectExtent l="0" t="0" r="762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81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ABE28">
      <w:pPr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 w:val="0"/>
          <w:i/>
          <w:color w:val="000000"/>
          <w:sz w:val="21"/>
        </w:rPr>
        <w:t>Participant-level slope estimates were influenced by extreme values, while the trial-level interaction remained nonsignificant.</w:t>
      </w:r>
    </w:p>
    <w:p w14:paraId="009825B7">
      <w:pPr>
        <w:pStyle w:val="4"/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Supplementary Figure S4. Beta leave-one-participant-out analysis.</w:t>
      </w:r>
    </w:p>
    <w:p w14:paraId="23A0F95C">
      <w:pPr>
        <w:spacing w:line="480" w:lineRule="auto"/>
        <w:jc w:val="center"/>
        <w:rPr>
          <w:color w:val="auto"/>
        </w:rPr>
      </w:pPr>
      <w:r>
        <w:rPr>
          <w:rFonts w:ascii="Times New Roman" w:hAnsi="Times New Roman"/>
          <w:color w:val="000000"/>
          <w:sz w:val="21"/>
        </w:rPr>
        <w:drawing>
          <wp:inline distT="0" distB="0" distL="114300" distR="114300">
            <wp:extent cx="5669280" cy="3474085"/>
            <wp:effectExtent l="0" t="0" r="762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47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69B63">
      <w:pPr>
        <w:spacing w:before="0" w:after="80" w:line="480" w:lineRule="auto"/>
        <w:rPr>
          <w:color w:val="auto"/>
        </w:rPr>
      </w:pPr>
      <w:r>
        <w:rPr>
          <w:rFonts w:ascii="Times New Roman" w:hAnsi="Times New Roman" w:eastAsia="Times New Roman"/>
          <w:b w:val="0"/>
          <w:i/>
          <w:color w:val="000000"/>
          <w:sz w:val="21"/>
        </w:rPr>
        <w:t>All leave-one-participant-out estimates retained the primary negative direction; this does not resolve reference or multiplicity sensitivity.</w:t>
      </w:r>
    </w:p>
    <w:sectPr>
      <w:footerReference r:id="rId5" w:type="default"/>
      <w:pgSz w:w="12240" w:h="15840"/>
      <w:pgMar w:top="1152" w:right="1152" w:bottom="1080" w:left="1296" w:header="706" w:footer="706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9B86E1">
    <w:pPr>
      <w:pStyle w:val="24"/>
      <w:spacing w:line="240" w:lineRule="auto"/>
      <w:jc w:val="center"/>
    </w:pPr>
    <w:fldSimple w:instr="PAGE">
      <w:r>
        <w:t>1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640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480" w:lineRule="auto"/>
    </w:pPr>
    <w:rPr>
      <w:rFonts w:ascii="Times New Roman" w:hAnsi="Times New Roman" w:eastAsia="Times New Roman" w:cstheme="minorBidi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60" w:after="40" w:line="276" w:lineRule="auto"/>
      <w:outlineLvl w:val="0"/>
    </w:pPr>
    <w:rPr>
      <w:rFonts w:asciiTheme="majorHAnsi" w:hAnsiTheme="majorHAnsi" w:eastAsiaTheme="majorEastAsia" w:cstheme="majorBidi" w:ascii="Times New Roman" w:hAnsi="Times New Roman"/>
      <w:b/>
      <w:bCs/>
      <w:color w:val="000000"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60" w:after="40" w:line="276" w:lineRule="auto"/>
      <w:outlineLvl w:val="1"/>
    </w:pPr>
    <w:rPr>
      <w:rFonts w:asciiTheme="majorHAnsi" w:hAnsiTheme="majorHAnsi" w:eastAsiaTheme="majorEastAsia" w:cstheme="majorBidi" w:ascii="Times New Roman" w:hAnsi="Times New Roman"/>
      <w:b/>
      <w:bCs/>
      <w:color w:val="000000"/>
      <w:sz w:val="23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160" w:after="40" w:line="276" w:lineRule="auto"/>
      <w:outlineLvl w:val="2"/>
    </w:pPr>
    <w:rPr>
      <w:rFonts w:asciiTheme="majorHAnsi" w:hAnsiTheme="majorHAnsi" w:eastAsiaTheme="majorEastAsia" w:cstheme="majorBidi" w:ascii="Times New Roman" w:hAnsi="Times New Roman"/>
      <w:b/>
      <w:bCs/>
      <w:color w:val="000000"/>
      <w:sz w:val="22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  <w:rPr>
      <w:rFonts w:ascii="Times New Roman" w:hAnsi="Times New Roman"/>
      <w:sz w:val="22"/>
    </w:r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0" w:line="480" w:lineRule="auto"/>
    </w:pPr>
    <w:rPr>
      <w:rFonts w:ascii="Times New Roman" w:hAnsi="Times New Roman"/>
      <w:color w:val="000000"/>
      <w:sz w:val="21"/>
    </w:r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spacing w:before="160" w:after="40" w:line="276" w:lineRule="auto"/>
      <w:contextualSpacing/>
    </w:pPr>
    <w:rPr>
      <w:rFonts w:asciiTheme="majorHAnsi" w:hAnsiTheme="majorHAnsi" w:eastAsiaTheme="majorEastAsia" w:cstheme="majorBidi" w:ascii="Times New Roman" w:hAnsi="Times New Roman"/>
      <w:b/>
      <w:color w:val="000000"/>
      <w:spacing w:val="5"/>
      <w:kern w:val="28"/>
      <w:sz w:val="28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spacing w:line="480" w:lineRule="auto" w:after="0"/>
      <w:ind w:left="720"/>
      <w:contextualSpacing/>
    </w:pPr>
    <w:rPr>
      <w:rFonts w:ascii="Times New Roman" w:hAnsi="Times New Roman"/>
      <w:color w:val="000000"/>
      <w:sz w:val="21"/>
    </w:r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史册</dc:creator>
  <dc:description>Prepared for BMC Psychiatry</dc:description>
  <cp:keywords>generalized anxiety disorder; habitual short sleep; sustained attention; psychomotor vigilance test; electroencephalography; event-related potentials; P3; reaction time</cp:keywords>
  <cp:lastModifiedBy>史册</cp:lastModifiedBy>
  <dcterms:modified xsi:type="dcterms:W3CDTF">2026-08-27T15:00:12Z</dcterms:modified>
  <dc:subject>Supplementary methods, tables, and figures</dc:subject>
  <dc:title>Additional file 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E273FA44061B46738E1DFEF79370BDB8_12</vt:lpwstr>
  </property>
</Properties>
</file>