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482109" w14:textId="77777777" w:rsidR="005322AF" w:rsidRPr="005322AF" w:rsidRDefault="005322AF" w:rsidP="005322AF">
      <w:pPr>
        <w:rPr>
          <w:rFonts w:ascii="Arial" w:eastAsia="Times New Roman" w:hAnsi="Arial" w:cs="Arial"/>
          <w:color w:val="000000"/>
          <w:sz w:val="22"/>
          <w:szCs w:val="22"/>
        </w:rPr>
      </w:pPr>
      <w:r w:rsidRPr="005322AF">
        <w:rPr>
          <w:rFonts w:ascii="Arial" w:eastAsia="Times New Roman" w:hAnsi="Arial" w:cs="Arial"/>
          <w:b/>
          <w:bCs/>
          <w:color w:val="000000"/>
          <w:sz w:val="22"/>
          <w:szCs w:val="22"/>
        </w:rPr>
        <w:t>Supplementary Figure 1. LDL particle number among APOE4 genotypes, according to self-reported usage of cholesterol-lowering medications.</w:t>
      </w:r>
      <w:r w:rsidRPr="005322AF">
        <w:rPr>
          <w:rFonts w:ascii="Arial" w:eastAsia="Times New Roman" w:hAnsi="Arial" w:cs="Arial"/>
          <w:color w:val="000000"/>
          <w:sz w:val="22"/>
          <w:szCs w:val="22"/>
        </w:rPr>
        <w:t xml:space="preserve"> </w:t>
      </w:r>
      <w:r w:rsidRPr="005322AF">
        <w:rPr>
          <w:rFonts w:ascii="Arial" w:hAnsi="Arial" w:cs="Arial"/>
          <w:sz w:val="22"/>
          <w:szCs w:val="22"/>
        </w:rPr>
        <w:t>White boxplots=individuals who are homozygous for the major allele, gray boxplots=heterozygotes, black boxplots=minor allele homozygotes. Box plot midline=median value, lower/upper hinges=25</w:t>
      </w:r>
      <w:r w:rsidRPr="005322AF">
        <w:rPr>
          <w:rFonts w:ascii="Arial" w:hAnsi="Arial" w:cs="Arial"/>
          <w:sz w:val="22"/>
          <w:szCs w:val="22"/>
          <w:vertAlign w:val="superscript"/>
        </w:rPr>
        <w:t>th</w:t>
      </w:r>
      <w:r w:rsidRPr="005322AF">
        <w:rPr>
          <w:rFonts w:ascii="Arial" w:hAnsi="Arial" w:cs="Arial"/>
          <w:sz w:val="22"/>
          <w:szCs w:val="22"/>
        </w:rPr>
        <w:t xml:space="preserve"> and 75</w:t>
      </w:r>
      <w:r w:rsidRPr="005322AF">
        <w:rPr>
          <w:rFonts w:ascii="Arial" w:hAnsi="Arial" w:cs="Arial"/>
          <w:sz w:val="22"/>
          <w:szCs w:val="22"/>
          <w:vertAlign w:val="superscript"/>
        </w:rPr>
        <w:t>th</w:t>
      </w:r>
      <w:r w:rsidRPr="005322AF">
        <w:rPr>
          <w:rFonts w:ascii="Arial" w:hAnsi="Arial" w:cs="Arial"/>
          <w:sz w:val="22"/>
          <w:szCs w:val="22"/>
        </w:rPr>
        <w:t xml:space="preserve"> percentiles, respectively; lower whisker ends/upper whisker ends no further than 1.5 x interquartile range from the hinge. Data beyond whiskers are outlying points. </w:t>
      </w:r>
      <w:r w:rsidRPr="005322AF">
        <w:rPr>
          <w:rFonts w:ascii="Arial" w:eastAsia="Times New Roman" w:hAnsi="Arial" w:cs="Arial"/>
          <w:color w:val="000000"/>
          <w:sz w:val="22"/>
          <w:szCs w:val="22"/>
        </w:rPr>
        <w:t>left panel shows individuals by APOE4 genotype who reported no use of a cholesterol-lowering medication; right panel shows individuals who had reported ever or currently using a cholesterol-lowering medication (individuals who did not complete this assessment survey question were not included).</w:t>
      </w:r>
    </w:p>
    <w:p w14:paraId="152820D3" w14:textId="77777777" w:rsidR="005322AF" w:rsidRPr="005322AF" w:rsidRDefault="005322AF" w:rsidP="005322AF">
      <w:pPr>
        <w:rPr>
          <w:rFonts w:ascii="Arial" w:hAnsi="Arial" w:cs="Arial"/>
          <w:sz w:val="22"/>
          <w:szCs w:val="22"/>
        </w:rPr>
      </w:pPr>
    </w:p>
    <w:p w14:paraId="2EAE9D2A" w14:textId="77777777" w:rsidR="005322AF" w:rsidRPr="005322AF" w:rsidRDefault="005322AF" w:rsidP="005322AF">
      <w:pPr>
        <w:rPr>
          <w:rFonts w:ascii="Arial" w:hAnsi="Arial" w:cs="Arial"/>
          <w:noProof/>
          <w:sz w:val="22"/>
          <w:szCs w:val="22"/>
        </w:rPr>
      </w:pPr>
      <w:r w:rsidRPr="005322AF">
        <w:rPr>
          <w:rFonts w:ascii="Arial" w:hAnsi="Arial" w:cs="Arial"/>
          <w:b/>
          <w:bCs/>
          <w:sz w:val="22"/>
          <w:szCs w:val="22"/>
        </w:rPr>
        <w:t>Supplementary Figure 2. Unadjusted box plots of analytes significantly associated with ABCA7 and INPP5D genotypes, by age group.</w:t>
      </w:r>
      <w:r w:rsidRPr="005322AF">
        <w:rPr>
          <w:rFonts w:ascii="Arial" w:hAnsi="Arial" w:cs="Arial"/>
          <w:sz w:val="22"/>
          <w:szCs w:val="22"/>
        </w:rPr>
        <w:t xml:space="preserve"> White boxplots=individuals who are homozygous for the major allele, gray boxplots=heterozygotes, black boxplots=minor allele homozygotes. Box plot midline=median value, lower/upper hinges=25</w:t>
      </w:r>
      <w:r w:rsidRPr="005322AF">
        <w:rPr>
          <w:rFonts w:ascii="Arial" w:hAnsi="Arial" w:cs="Arial"/>
          <w:sz w:val="22"/>
          <w:szCs w:val="22"/>
          <w:vertAlign w:val="superscript"/>
        </w:rPr>
        <w:t>th</w:t>
      </w:r>
      <w:r w:rsidRPr="005322AF">
        <w:rPr>
          <w:rFonts w:ascii="Arial" w:hAnsi="Arial" w:cs="Arial"/>
          <w:sz w:val="22"/>
          <w:szCs w:val="22"/>
        </w:rPr>
        <w:t xml:space="preserve"> and 75</w:t>
      </w:r>
      <w:r w:rsidRPr="005322AF">
        <w:rPr>
          <w:rFonts w:ascii="Arial" w:hAnsi="Arial" w:cs="Arial"/>
          <w:sz w:val="22"/>
          <w:szCs w:val="22"/>
          <w:vertAlign w:val="superscript"/>
        </w:rPr>
        <w:t>th</w:t>
      </w:r>
      <w:r w:rsidRPr="005322AF">
        <w:rPr>
          <w:rFonts w:ascii="Arial" w:hAnsi="Arial" w:cs="Arial"/>
          <w:sz w:val="22"/>
          <w:szCs w:val="22"/>
        </w:rPr>
        <w:t xml:space="preserve"> percentiles, respectively; lower whisker ends/upper whisker ends no further than 1.5 x interquartile range from the hinge. Data beyond whiskers are outlying points. Abbreviations:</w:t>
      </w:r>
      <w:r w:rsidRPr="005322AF">
        <w:rPr>
          <w:rFonts w:ascii="Arial" w:hAnsi="Arial" w:cs="Arial"/>
          <w:b/>
          <w:bCs/>
          <w:sz w:val="22"/>
          <w:szCs w:val="22"/>
        </w:rPr>
        <w:t xml:space="preserve"> </w:t>
      </w:r>
      <w:r w:rsidRPr="005322AF">
        <w:rPr>
          <w:rFonts w:ascii="Arial" w:hAnsi="Arial" w:cs="Arial"/>
          <w:sz w:val="22"/>
          <w:szCs w:val="22"/>
        </w:rPr>
        <w:t>Sphingolipid, N-</w:t>
      </w:r>
      <w:proofErr w:type="spellStart"/>
      <w:r w:rsidRPr="005322AF">
        <w:rPr>
          <w:rFonts w:ascii="Arial" w:hAnsi="Arial" w:cs="Arial"/>
          <w:sz w:val="22"/>
          <w:szCs w:val="22"/>
        </w:rPr>
        <w:t>nervonoyl</w:t>
      </w:r>
      <w:proofErr w:type="spellEnd"/>
      <w:r w:rsidRPr="005322AF">
        <w:rPr>
          <w:rFonts w:ascii="Arial" w:hAnsi="Arial" w:cs="Arial"/>
          <w:sz w:val="22"/>
          <w:szCs w:val="22"/>
        </w:rPr>
        <w:t xml:space="preserve">-sphingosine (LC (d18:1/24:1); Sphingolipid, N-palmitoyl-sphingosine (LC d18:1/16:0); Neutrophil defensin 1 (DEFA1); </w:t>
      </w:r>
      <w:r w:rsidRPr="005322AF">
        <w:rPr>
          <w:rFonts w:ascii="Arial" w:eastAsia="Times New Roman" w:hAnsi="Arial" w:cs="Arial"/>
          <w:color w:val="000000"/>
          <w:sz w:val="22"/>
          <w:szCs w:val="22"/>
        </w:rPr>
        <w:t>Alpha-L-</w:t>
      </w:r>
      <w:proofErr w:type="spellStart"/>
      <w:r w:rsidRPr="005322AF">
        <w:rPr>
          <w:rFonts w:ascii="Arial" w:eastAsia="Times New Roman" w:hAnsi="Arial" w:cs="Arial"/>
          <w:color w:val="000000"/>
          <w:sz w:val="22"/>
          <w:szCs w:val="22"/>
        </w:rPr>
        <w:t>iduronidase</w:t>
      </w:r>
      <w:proofErr w:type="spellEnd"/>
      <w:r w:rsidRPr="005322AF">
        <w:rPr>
          <w:rFonts w:ascii="Arial" w:eastAsia="Times New Roman" w:hAnsi="Arial" w:cs="Arial"/>
          <w:color w:val="000000"/>
          <w:sz w:val="22"/>
          <w:szCs w:val="22"/>
        </w:rPr>
        <w:t xml:space="preserve"> (IDUA).</w:t>
      </w:r>
    </w:p>
    <w:p w14:paraId="7BD022C8" w14:textId="77777777" w:rsidR="005322AF" w:rsidRPr="005322AF" w:rsidRDefault="005322AF" w:rsidP="005322AF">
      <w:pPr>
        <w:rPr>
          <w:rFonts w:ascii="Arial" w:hAnsi="Arial" w:cs="Arial"/>
          <w:sz w:val="22"/>
          <w:szCs w:val="22"/>
        </w:rPr>
      </w:pPr>
    </w:p>
    <w:p w14:paraId="7AD33A47" w14:textId="77777777" w:rsidR="005322AF" w:rsidRPr="005322AF" w:rsidRDefault="005322AF" w:rsidP="005322AF">
      <w:pPr>
        <w:rPr>
          <w:rFonts w:ascii="Arial" w:hAnsi="Arial" w:cs="Arial"/>
          <w:sz w:val="22"/>
          <w:szCs w:val="22"/>
        </w:rPr>
      </w:pPr>
      <w:r w:rsidRPr="005322AF">
        <w:rPr>
          <w:rFonts w:ascii="Arial" w:eastAsia="Times New Roman" w:hAnsi="Arial" w:cs="Arial"/>
          <w:b/>
          <w:bCs/>
          <w:color w:val="000000"/>
          <w:sz w:val="22"/>
          <w:szCs w:val="22"/>
        </w:rPr>
        <w:t>Supplementary Figure 3.</w:t>
      </w:r>
      <w:r w:rsidRPr="005322AF">
        <w:rPr>
          <w:rFonts w:ascii="Arial" w:eastAsia="Times New Roman" w:hAnsi="Arial" w:cs="Arial"/>
          <w:color w:val="000000"/>
          <w:sz w:val="22"/>
          <w:szCs w:val="22"/>
        </w:rPr>
        <w:t xml:space="preserve"> </w:t>
      </w:r>
      <w:r w:rsidRPr="005322AF">
        <w:rPr>
          <w:rFonts w:ascii="Arial" w:hAnsi="Arial" w:cs="Arial"/>
          <w:b/>
          <w:bCs/>
          <w:sz w:val="22"/>
          <w:szCs w:val="22"/>
        </w:rPr>
        <w:t>Unadjusted box plots of proteins with a significant interaction term between sex and PICALM genotype at FDR&lt;0.1, by age group.</w:t>
      </w:r>
      <w:r w:rsidRPr="005322AF">
        <w:rPr>
          <w:rFonts w:ascii="Arial" w:hAnsi="Arial" w:cs="Arial"/>
          <w:sz w:val="22"/>
          <w:szCs w:val="22"/>
        </w:rPr>
        <w:t xml:space="preserve"> White boxplots=individuals who are homozygous for the major allele, gray boxplots=heterozygotes, black boxplots=minor allele homozygotes. Box plot midline=median value, lower/upper hinges=25</w:t>
      </w:r>
      <w:r w:rsidRPr="005322AF">
        <w:rPr>
          <w:rFonts w:ascii="Arial" w:hAnsi="Arial" w:cs="Arial"/>
          <w:sz w:val="22"/>
          <w:szCs w:val="22"/>
          <w:vertAlign w:val="superscript"/>
        </w:rPr>
        <w:t>th</w:t>
      </w:r>
      <w:r w:rsidRPr="005322AF">
        <w:rPr>
          <w:rFonts w:ascii="Arial" w:hAnsi="Arial" w:cs="Arial"/>
          <w:sz w:val="22"/>
          <w:szCs w:val="22"/>
        </w:rPr>
        <w:t xml:space="preserve"> and 75</w:t>
      </w:r>
      <w:r w:rsidRPr="005322AF">
        <w:rPr>
          <w:rFonts w:ascii="Arial" w:hAnsi="Arial" w:cs="Arial"/>
          <w:sz w:val="22"/>
          <w:szCs w:val="22"/>
          <w:vertAlign w:val="superscript"/>
        </w:rPr>
        <w:t>th</w:t>
      </w:r>
      <w:r w:rsidRPr="005322AF">
        <w:rPr>
          <w:rFonts w:ascii="Arial" w:hAnsi="Arial" w:cs="Arial"/>
          <w:sz w:val="22"/>
          <w:szCs w:val="22"/>
        </w:rPr>
        <w:t xml:space="preserve"> percentiles, respectively; lower whisker ends/upper whisker ends no further than 1.5 x interquartile range from the hinge. Data beyond whiskers are outlying points. For each protein, left panel shows protein levels by genotype in men; right panel shows protein levels by genotype in women.</w:t>
      </w:r>
    </w:p>
    <w:p w14:paraId="146FBE17" w14:textId="77777777" w:rsidR="005322AF" w:rsidRPr="005322AF" w:rsidRDefault="005322AF" w:rsidP="005322AF">
      <w:pPr>
        <w:rPr>
          <w:rFonts w:ascii="Arial" w:hAnsi="Arial" w:cs="Arial"/>
          <w:sz w:val="22"/>
          <w:szCs w:val="22"/>
        </w:rPr>
      </w:pPr>
    </w:p>
    <w:p w14:paraId="1DDC3B6B" w14:textId="77777777" w:rsidR="005322AF" w:rsidRPr="005322AF" w:rsidRDefault="005322AF" w:rsidP="005322AF">
      <w:pPr>
        <w:rPr>
          <w:rFonts w:ascii="Arial" w:hAnsi="Arial" w:cs="Arial"/>
          <w:sz w:val="22"/>
          <w:szCs w:val="22"/>
        </w:rPr>
      </w:pPr>
      <w:r w:rsidRPr="005322AF">
        <w:rPr>
          <w:rFonts w:ascii="Arial" w:hAnsi="Arial" w:cs="Arial"/>
          <w:b/>
          <w:bCs/>
          <w:sz w:val="22"/>
          <w:szCs w:val="22"/>
        </w:rPr>
        <w:t>Supplementary Figure 4</w:t>
      </w:r>
      <w:r w:rsidRPr="005322AF">
        <w:rPr>
          <w:rFonts w:ascii="Arial" w:hAnsi="Arial" w:cs="Arial"/>
          <w:sz w:val="22"/>
          <w:szCs w:val="22"/>
        </w:rPr>
        <w:t xml:space="preserve">. </w:t>
      </w:r>
      <w:r w:rsidRPr="005322AF">
        <w:rPr>
          <w:rFonts w:ascii="Arial" w:hAnsi="Arial" w:cs="Arial"/>
          <w:b/>
          <w:bCs/>
          <w:sz w:val="22"/>
          <w:szCs w:val="22"/>
        </w:rPr>
        <w:t xml:space="preserve">Statistically significant SNP-analyte associations in self-identified </w:t>
      </w:r>
      <w:proofErr w:type="gramStart"/>
      <w:r w:rsidRPr="005322AF">
        <w:rPr>
          <w:rFonts w:ascii="Arial" w:hAnsi="Arial" w:cs="Arial"/>
          <w:b/>
          <w:bCs/>
          <w:sz w:val="22"/>
          <w:szCs w:val="22"/>
        </w:rPr>
        <w:t>Non-Hispanic</w:t>
      </w:r>
      <w:proofErr w:type="gramEnd"/>
      <w:r w:rsidRPr="005322AF">
        <w:rPr>
          <w:rFonts w:ascii="Arial" w:hAnsi="Arial" w:cs="Arial"/>
          <w:b/>
          <w:bCs/>
          <w:sz w:val="22"/>
          <w:szCs w:val="22"/>
        </w:rPr>
        <w:t xml:space="preserve"> white individuals only, after correcting for multiple testing (threshold FDR-adjusted p-value=0.05), by SNP</w:t>
      </w:r>
      <w:r w:rsidRPr="005322AF">
        <w:rPr>
          <w:rFonts w:ascii="Arial" w:hAnsi="Arial" w:cs="Arial"/>
          <w:sz w:val="22"/>
          <w:szCs w:val="22"/>
        </w:rPr>
        <w:t>. Top panel: log-transformed beta-coefficient from the linear regression model adjusted for sex, age, and genetic principal components 1-4; markers above the zero line (orange) indicate analytes that increased in value with the minor allele, while markers below the line indicate markers that decreased in value. Second panel: FDR-adjusted –log</w:t>
      </w:r>
      <w:r w:rsidRPr="005322AF">
        <w:rPr>
          <w:rFonts w:ascii="Arial" w:hAnsi="Arial" w:cs="Arial"/>
          <w:sz w:val="22"/>
          <w:szCs w:val="22"/>
          <w:vertAlign w:val="subscript"/>
        </w:rPr>
        <w:t>10</w:t>
      </w:r>
      <w:r w:rsidRPr="005322AF">
        <w:rPr>
          <w:rFonts w:ascii="Arial" w:hAnsi="Arial" w:cs="Arial"/>
          <w:sz w:val="22"/>
          <w:szCs w:val="22"/>
        </w:rPr>
        <w:t xml:space="preserve"> p-value; orange line at FDR-p=0.05. Proteins=red, metabolites=blue, clinical chemistries=purple. Metabolite codes: DG=diacylglycerol; LC=</w:t>
      </w:r>
      <w:proofErr w:type="spellStart"/>
      <w:r w:rsidRPr="005322AF">
        <w:rPr>
          <w:rFonts w:ascii="Arial" w:hAnsi="Arial" w:cs="Arial"/>
          <w:sz w:val="22"/>
          <w:szCs w:val="22"/>
        </w:rPr>
        <w:t>lactosylceramide</w:t>
      </w:r>
      <w:proofErr w:type="spellEnd"/>
      <w:r w:rsidRPr="005322AF">
        <w:rPr>
          <w:rFonts w:ascii="Arial" w:hAnsi="Arial" w:cs="Arial"/>
          <w:sz w:val="22"/>
          <w:szCs w:val="22"/>
        </w:rPr>
        <w:t>; o=oleoyl; a=arachidonoyl; g=glycerol; l=linoleoyl; p=palmitoyl. Third panel: minor allele frequency (MAF). Bottom panel: Total sample size for each analyte-SNP regression.</w:t>
      </w:r>
    </w:p>
    <w:p w14:paraId="24E04127" w14:textId="77777777" w:rsidR="005322AF" w:rsidRPr="005322AF" w:rsidRDefault="005322AF" w:rsidP="005322AF">
      <w:pPr>
        <w:rPr>
          <w:rFonts w:ascii="Arial" w:hAnsi="Arial" w:cs="Arial"/>
          <w:sz w:val="22"/>
          <w:szCs w:val="22"/>
        </w:rPr>
      </w:pPr>
    </w:p>
    <w:p w14:paraId="4A30415F" w14:textId="77777777" w:rsidR="005322AF" w:rsidRPr="005322AF" w:rsidRDefault="005322AF" w:rsidP="005322AF">
      <w:pPr>
        <w:rPr>
          <w:rFonts w:ascii="Arial" w:hAnsi="Arial" w:cs="Arial"/>
          <w:sz w:val="22"/>
          <w:szCs w:val="22"/>
        </w:rPr>
      </w:pPr>
      <w:r w:rsidRPr="005322AF">
        <w:rPr>
          <w:rFonts w:ascii="Arial" w:hAnsi="Arial" w:cs="Arial"/>
          <w:b/>
          <w:bCs/>
          <w:sz w:val="22"/>
          <w:szCs w:val="22"/>
        </w:rPr>
        <w:t>Supplementary Figure 5</w:t>
      </w:r>
      <w:r w:rsidRPr="005322AF">
        <w:rPr>
          <w:rFonts w:ascii="Arial" w:hAnsi="Arial" w:cs="Arial"/>
          <w:sz w:val="22"/>
          <w:szCs w:val="22"/>
        </w:rPr>
        <w:t xml:space="preserve">. </w:t>
      </w:r>
      <w:r w:rsidRPr="005322AF">
        <w:rPr>
          <w:rFonts w:ascii="Arial" w:hAnsi="Arial" w:cs="Arial"/>
          <w:b/>
          <w:bCs/>
          <w:sz w:val="22"/>
          <w:szCs w:val="22"/>
        </w:rPr>
        <w:t>Statistically significant SNP-analyte associations in individuals who did not self-identify as non-Hispanic white only, after correcting for multiple testing (threshold FDR-adjusted p-value=0.05), by SNP</w:t>
      </w:r>
      <w:r w:rsidRPr="005322AF">
        <w:rPr>
          <w:rFonts w:ascii="Arial" w:hAnsi="Arial" w:cs="Arial"/>
          <w:sz w:val="22"/>
          <w:szCs w:val="22"/>
        </w:rPr>
        <w:t>. Top panel: log-transformed beta-coefficient from the linear regression model adjusted for sex, age, and genetic principal components 1-4; markers above the zero line (orange) indicate analytes that increased in value with the minor allele, while markers below the line indicate markers that decreased in value. Second panel: FDR-adjusted –log</w:t>
      </w:r>
      <w:r w:rsidRPr="005322AF">
        <w:rPr>
          <w:rFonts w:ascii="Arial" w:hAnsi="Arial" w:cs="Arial"/>
          <w:sz w:val="22"/>
          <w:szCs w:val="22"/>
          <w:vertAlign w:val="subscript"/>
        </w:rPr>
        <w:t>10</w:t>
      </w:r>
      <w:r w:rsidRPr="005322AF">
        <w:rPr>
          <w:rFonts w:ascii="Arial" w:hAnsi="Arial" w:cs="Arial"/>
          <w:sz w:val="22"/>
          <w:szCs w:val="22"/>
        </w:rPr>
        <w:t xml:space="preserve"> p-value; orange line at FDR-p=0.05. Proteins=red, metabolites=blue, clinical chemistries=purple. Metabolite codes: DG=diacylglycerol; LC=</w:t>
      </w:r>
      <w:proofErr w:type="spellStart"/>
      <w:r w:rsidRPr="005322AF">
        <w:rPr>
          <w:rFonts w:ascii="Arial" w:hAnsi="Arial" w:cs="Arial"/>
          <w:sz w:val="22"/>
          <w:szCs w:val="22"/>
        </w:rPr>
        <w:t>lactosylceramide</w:t>
      </w:r>
      <w:proofErr w:type="spellEnd"/>
      <w:r w:rsidRPr="005322AF">
        <w:rPr>
          <w:rFonts w:ascii="Arial" w:hAnsi="Arial" w:cs="Arial"/>
          <w:sz w:val="22"/>
          <w:szCs w:val="22"/>
        </w:rPr>
        <w:t>; o=oleoyl; a=arachidonoyl; g=glycerol; l=linoleoyl; p=palmitoyl. Third panel: minor allele frequency (MAF). Bottom panel: Total sample size for each analyte-SNP regression.</w:t>
      </w:r>
    </w:p>
    <w:p w14:paraId="3848A8F0" w14:textId="77777777" w:rsidR="005322AF" w:rsidRPr="005322AF" w:rsidRDefault="005322AF" w:rsidP="005322AF">
      <w:pPr>
        <w:rPr>
          <w:rFonts w:ascii="Arial" w:hAnsi="Arial" w:cs="Arial"/>
          <w:sz w:val="22"/>
          <w:szCs w:val="22"/>
        </w:rPr>
      </w:pPr>
    </w:p>
    <w:p w14:paraId="5685C758" w14:textId="77777777" w:rsidR="005322AF" w:rsidRPr="005322AF" w:rsidRDefault="005322AF" w:rsidP="005322AF">
      <w:pPr>
        <w:rPr>
          <w:rFonts w:ascii="Arial" w:hAnsi="Arial" w:cs="Arial"/>
          <w:sz w:val="22"/>
          <w:szCs w:val="22"/>
        </w:rPr>
      </w:pPr>
    </w:p>
    <w:p w14:paraId="653D51BC" w14:textId="77777777" w:rsidR="005322AF" w:rsidRPr="005322AF" w:rsidRDefault="005322AF" w:rsidP="005322AF">
      <w:pPr>
        <w:rPr>
          <w:rFonts w:ascii="Arial" w:hAnsi="Arial" w:cs="Arial"/>
          <w:sz w:val="22"/>
          <w:szCs w:val="22"/>
        </w:rPr>
      </w:pPr>
      <w:r w:rsidRPr="005322AF">
        <w:rPr>
          <w:rFonts w:ascii="Arial" w:hAnsi="Arial" w:cs="Arial"/>
          <w:b/>
          <w:bCs/>
          <w:sz w:val="22"/>
          <w:szCs w:val="22"/>
        </w:rPr>
        <w:lastRenderedPageBreak/>
        <w:t>Supplementary Figure 6. Network indicating proteins with overlapping GO terms from PICALM-sex interaction analysis.</w:t>
      </w:r>
      <w:r w:rsidRPr="005322AF">
        <w:rPr>
          <w:rFonts w:ascii="Arial" w:hAnsi="Arial" w:cs="Arial"/>
          <w:sz w:val="22"/>
          <w:szCs w:val="22"/>
        </w:rPr>
        <w:t xml:space="preserve"> Figure completed in CLUEGO, a </w:t>
      </w:r>
      <w:proofErr w:type="spellStart"/>
      <w:r w:rsidRPr="005322AF">
        <w:rPr>
          <w:rFonts w:ascii="Arial" w:hAnsi="Arial" w:cs="Arial"/>
          <w:sz w:val="22"/>
          <w:szCs w:val="22"/>
        </w:rPr>
        <w:t>Cytoscape</w:t>
      </w:r>
      <w:proofErr w:type="spellEnd"/>
      <w:r w:rsidRPr="005322AF">
        <w:rPr>
          <w:rFonts w:ascii="Arial" w:hAnsi="Arial" w:cs="Arial"/>
          <w:sz w:val="22"/>
          <w:szCs w:val="22"/>
        </w:rPr>
        <w:t xml:space="preserve"> plug-in.</w:t>
      </w:r>
    </w:p>
    <w:p w14:paraId="4E15E9A2" w14:textId="77777777" w:rsidR="005322AF" w:rsidRPr="005322AF" w:rsidRDefault="005322AF">
      <w:pPr>
        <w:rPr>
          <w:rFonts w:ascii="Arial" w:hAnsi="Arial" w:cs="Arial"/>
          <w:sz w:val="22"/>
          <w:szCs w:val="22"/>
        </w:rPr>
      </w:pPr>
    </w:p>
    <w:sectPr w:rsidR="005322AF" w:rsidRPr="005322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2AF"/>
    <w:rsid w:val="00532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7FA7BC"/>
  <w15:chartTrackingRefBased/>
  <w15:docId w15:val="{8558E26B-80C6-8541-AA93-AC4EA80E6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22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609</Words>
  <Characters>3476</Characters>
  <Application>Microsoft Office Word</Application>
  <DocSecurity>0</DocSecurity>
  <Lines>28</Lines>
  <Paragraphs>8</Paragraphs>
  <ScaleCrop>false</ScaleCrop>
  <Company/>
  <LinksUpToDate>false</LinksUpToDate>
  <CharactersWithSpaces>4077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2021-11-23T23:53:00Z</dcterms:created>
  <dcterms:modified xsi:type="dcterms:W3CDTF">2021-11-23T23:54:00Z</dcterms:modified>
</cp:coreProperties>
</file>