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EA768" w14:textId="77777777" w:rsidR="00150B0C" w:rsidRPr="00E245D1" w:rsidRDefault="00676C90" w:rsidP="00150B0C">
      <w:pPr>
        <w:spacing w:after="200" w:line="48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en-US"/>
        </w:rPr>
      </w:pPr>
      <w:r w:rsidRPr="006575E5">
        <w:rPr>
          <w:rFonts w:ascii="Times New Roman" w:hAnsi="Times New Roman"/>
          <w:b/>
          <w:bCs/>
          <w:sz w:val="20"/>
          <w:szCs w:val="20"/>
        </w:rPr>
        <w:t>Table </w:t>
      </w:r>
      <w:r w:rsidR="00D62AAE" w:rsidRPr="006575E5">
        <w:rPr>
          <w:rFonts w:ascii="Times New Roman" w:hAnsi="Times New Roman"/>
          <w:b/>
          <w:bCs/>
          <w:sz w:val="20"/>
          <w:szCs w:val="20"/>
        </w:rPr>
        <w:t>S</w:t>
      </w:r>
      <w:r w:rsidR="006575E5" w:rsidRPr="006575E5">
        <w:rPr>
          <w:rFonts w:ascii="Times New Roman" w:hAnsi="Times New Roman"/>
          <w:b/>
          <w:bCs/>
          <w:sz w:val="20"/>
          <w:szCs w:val="20"/>
        </w:rPr>
        <w:t>2 :</w:t>
      </w:r>
      <w:r w:rsidRPr="006575E5">
        <w:rPr>
          <w:rFonts w:ascii="Times New Roman" w:hAnsi="Times New Roman"/>
          <w:sz w:val="20"/>
          <w:szCs w:val="20"/>
        </w:rPr>
        <w:t xml:space="preserve"> </w:t>
      </w:r>
      <w:r w:rsidR="00150B0C" w:rsidRPr="00E245D1">
        <w:rPr>
          <w:rFonts w:ascii="Times New Roman" w:hAnsi="Times New Roman"/>
          <w:b/>
          <w:bCs/>
          <w:sz w:val="20"/>
          <w:szCs w:val="20"/>
        </w:rPr>
        <w:t>Table S2 :</w:t>
      </w:r>
      <w:r w:rsidR="00150B0C" w:rsidRPr="00E245D1">
        <w:rPr>
          <w:rFonts w:ascii="Times New Roman" w:hAnsi="Times New Roman"/>
          <w:sz w:val="20"/>
          <w:szCs w:val="20"/>
        </w:rPr>
        <w:t xml:space="preserve"> </w:t>
      </w:r>
      <w:r w:rsidR="00150B0C" w:rsidRPr="007E4631">
        <w:rPr>
          <w:rFonts w:ascii="Times New Roman" w:hAnsi="Times New Roman"/>
          <w:b/>
          <w:bCs/>
          <w:sz w:val="20"/>
          <w:szCs w:val="20"/>
        </w:rPr>
        <w:t>Detection prevalence of strain Marseille-QA1073ᵀ across metagenomic biomes (IMNGS).</w:t>
      </w:r>
    </w:p>
    <w:tbl>
      <w:tblPr>
        <w:tblW w:w="5157" w:type="pct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9"/>
        <w:gridCol w:w="2408"/>
      </w:tblGrid>
      <w:tr w:rsidR="009E6B1B" w:rsidRPr="00E245D1" w14:paraId="12C521F1" w14:textId="77777777" w:rsidTr="00BC0E3A">
        <w:trPr>
          <w:tblHeader/>
          <w:tblCellSpacing w:w="15" w:type="dxa"/>
        </w:trPr>
        <w:tc>
          <w:tcPr>
            <w:tcW w:w="368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64E3D4E" w14:textId="77777777" w:rsidR="009E6B1B" w:rsidRPr="00E245D1" w:rsidRDefault="009E6B1B" w:rsidP="00BC0E3A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Type of metagenome</w:t>
            </w:r>
          </w:p>
        </w:tc>
        <w:tc>
          <w:tcPr>
            <w:tcW w:w="12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2BF63" w14:textId="77777777" w:rsidR="009E6B1B" w:rsidRPr="00086FB4" w:rsidRDefault="009E6B1B" w:rsidP="00BC0E3A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Detection prevalence </w:t>
            </w:r>
            <w:r w:rsidRPr="00086FB4">
              <w:rPr>
                <w:rFonts w:ascii="Times New Roman" w:hAnsi="Times New Roman"/>
                <w:b/>
                <w:bCs/>
                <w:sz w:val="20"/>
                <w:szCs w:val="20"/>
              </w:rPr>
              <w:t>(%)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E6BB2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</w:tr>
      <w:tr w:rsidR="009E6B1B" w:rsidRPr="00E245D1" w14:paraId="6CB8D294" w14:textId="77777777" w:rsidTr="00BC0E3A">
        <w:trPr>
          <w:tblCellSpacing w:w="15" w:type="dxa"/>
        </w:trPr>
        <w:tc>
          <w:tcPr>
            <w:tcW w:w="3689" w:type="pct"/>
            <w:vAlign w:val="center"/>
            <w:hideMark/>
          </w:tcPr>
          <w:p w14:paraId="2FB3E063" w14:textId="77777777" w:rsidR="009E6B1B" w:rsidRPr="00E245D1" w:rsidRDefault="009E6B1B" w:rsidP="00BC0E3A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Rhizosphere</w:t>
            </w:r>
          </w:p>
        </w:tc>
        <w:tc>
          <w:tcPr>
            <w:tcW w:w="1263" w:type="pct"/>
            <w:vAlign w:val="center"/>
          </w:tcPr>
          <w:p w14:paraId="22B3F488" w14:textId="77777777" w:rsidR="009E6B1B" w:rsidRPr="00E245D1" w:rsidRDefault="009E6B1B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38.0</w:t>
            </w:r>
          </w:p>
        </w:tc>
      </w:tr>
      <w:tr w:rsidR="009E6B1B" w:rsidRPr="00E245D1" w14:paraId="2BC1BD6F" w14:textId="77777777" w:rsidTr="00BC0E3A">
        <w:trPr>
          <w:tblCellSpacing w:w="15" w:type="dxa"/>
        </w:trPr>
        <w:tc>
          <w:tcPr>
            <w:tcW w:w="3689" w:type="pct"/>
            <w:vAlign w:val="center"/>
            <w:hideMark/>
          </w:tcPr>
          <w:p w14:paraId="09737B6B" w14:textId="77777777" w:rsidR="009E6B1B" w:rsidRPr="00E245D1" w:rsidRDefault="009E6B1B" w:rsidP="00BC0E3A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Soil</w:t>
            </w:r>
          </w:p>
        </w:tc>
        <w:tc>
          <w:tcPr>
            <w:tcW w:w="1263" w:type="pct"/>
            <w:vAlign w:val="center"/>
          </w:tcPr>
          <w:p w14:paraId="2E5270E5" w14:textId="77777777" w:rsidR="009E6B1B" w:rsidRPr="00E245D1" w:rsidRDefault="009E6B1B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17.5</w:t>
            </w:r>
          </w:p>
        </w:tc>
      </w:tr>
      <w:tr w:rsidR="009E6B1B" w:rsidRPr="00E245D1" w14:paraId="74ED02A9" w14:textId="77777777" w:rsidTr="00BC0E3A">
        <w:trPr>
          <w:tblCellSpacing w:w="15" w:type="dxa"/>
        </w:trPr>
        <w:tc>
          <w:tcPr>
            <w:tcW w:w="3689" w:type="pct"/>
            <w:vAlign w:val="center"/>
            <w:hideMark/>
          </w:tcPr>
          <w:p w14:paraId="428D26A9" w14:textId="77777777" w:rsidR="009E6B1B" w:rsidRPr="00E245D1" w:rsidRDefault="009E6B1B" w:rsidP="00BC0E3A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Marine sediment</w:t>
            </w:r>
          </w:p>
        </w:tc>
        <w:tc>
          <w:tcPr>
            <w:tcW w:w="1263" w:type="pct"/>
            <w:vAlign w:val="center"/>
          </w:tcPr>
          <w:p w14:paraId="3C110B58" w14:textId="77777777" w:rsidR="009E6B1B" w:rsidRPr="00E245D1" w:rsidRDefault="009E6B1B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9.3</w:t>
            </w:r>
          </w:p>
        </w:tc>
      </w:tr>
      <w:tr w:rsidR="009E6B1B" w:rsidRPr="00E245D1" w14:paraId="35DB6F04" w14:textId="77777777" w:rsidTr="00BC0E3A">
        <w:trPr>
          <w:tblCellSpacing w:w="15" w:type="dxa"/>
        </w:trPr>
        <w:tc>
          <w:tcPr>
            <w:tcW w:w="3689" w:type="pct"/>
            <w:vAlign w:val="center"/>
            <w:hideMark/>
          </w:tcPr>
          <w:p w14:paraId="438C097A" w14:textId="77777777" w:rsidR="009E6B1B" w:rsidRPr="00E245D1" w:rsidRDefault="009E6B1B" w:rsidP="00BC0E3A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Freshwater</w:t>
            </w:r>
          </w:p>
        </w:tc>
        <w:tc>
          <w:tcPr>
            <w:tcW w:w="1263" w:type="pct"/>
            <w:vAlign w:val="center"/>
          </w:tcPr>
          <w:p w14:paraId="6E545F5D" w14:textId="77777777" w:rsidR="009E6B1B" w:rsidRPr="00E245D1" w:rsidRDefault="009E6B1B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8.1</w:t>
            </w:r>
          </w:p>
        </w:tc>
      </w:tr>
      <w:tr w:rsidR="009E6B1B" w:rsidRPr="00E245D1" w14:paraId="25935B94" w14:textId="77777777" w:rsidTr="00BC0E3A">
        <w:trPr>
          <w:tblCellSpacing w:w="15" w:type="dxa"/>
        </w:trPr>
        <w:tc>
          <w:tcPr>
            <w:tcW w:w="3689" w:type="pct"/>
            <w:vAlign w:val="center"/>
          </w:tcPr>
          <w:p w14:paraId="3E3ECC96" w14:textId="77777777" w:rsidR="009E6B1B" w:rsidRPr="00E245D1" w:rsidRDefault="009E6B1B" w:rsidP="00BC0E3A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Wastewater</w:t>
            </w:r>
          </w:p>
        </w:tc>
        <w:tc>
          <w:tcPr>
            <w:tcW w:w="1263" w:type="pct"/>
            <w:vAlign w:val="center"/>
          </w:tcPr>
          <w:p w14:paraId="0A3B720F" w14:textId="77777777" w:rsidR="009E6B1B" w:rsidRPr="00E245D1" w:rsidRDefault="009E6B1B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7.8</w:t>
            </w:r>
          </w:p>
        </w:tc>
      </w:tr>
      <w:tr w:rsidR="009E6B1B" w:rsidRPr="00E245D1" w14:paraId="2AA09095" w14:textId="77777777" w:rsidTr="00BC0E3A">
        <w:trPr>
          <w:tblCellSpacing w:w="15" w:type="dxa"/>
        </w:trPr>
        <w:tc>
          <w:tcPr>
            <w:tcW w:w="3689" w:type="pct"/>
            <w:vAlign w:val="center"/>
          </w:tcPr>
          <w:p w14:paraId="212D0419" w14:textId="77777777" w:rsidR="009E6B1B" w:rsidRPr="00E245D1" w:rsidRDefault="009E6B1B" w:rsidP="00BC0E3A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Pig gut</w:t>
            </w:r>
          </w:p>
        </w:tc>
        <w:tc>
          <w:tcPr>
            <w:tcW w:w="1263" w:type="pct"/>
            <w:vAlign w:val="center"/>
          </w:tcPr>
          <w:p w14:paraId="570309EC" w14:textId="77777777" w:rsidR="009E6B1B" w:rsidRPr="00E245D1" w:rsidRDefault="009E6B1B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7.3</w:t>
            </w:r>
          </w:p>
        </w:tc>
      </w:tr>
      <w:tr w:rsidR="009E6B1B" w:rsidRPr="00E245D1" w14:paraId="0E63289D" w14:textId="77777777" w:rsidTr="00BC0E3A">
        <w:trPr>
          <w:tblCellSpacing w:w="15" w:type="dxa"/>
        </w:trPr>
        <w:tc>
          <w:tcPr>
            <w:tcW w:w="3689" w:type="pct"/>
            <w:vAlign w:val="center"/>
          </w:tcPr>
          <w:p w14:paraId="6CD7628B" w14:textId="77777777" w:rsidR="009E6B1B" w:rsidRPr="00E245D1" w:rsidRDefault="009E6B1B" w:rsidP="00BC0E3A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Activated sludge</w:t>
            </w:r>
          </w:p>
        </w:tc>
        <w:tc>
          <w:tcPr>
            <w:tcW w:w="1263" w:type="pct"/>
            <w:vAlign w:val="center"/>
          </w:tcPr>
          <w:p w14:paraId="1DEC541A" w14:textId="77777777" w:rsidR="009E6B1B" w:rsidRPr="00E245D1" w:rsidRDefault="009E6B1B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5.6</w:t>
            </w:r>
          </w:p>
        </w:tc>
      </w:tr>
      <w:tr w:rsidR="009E6B1B" w:rsidRPr="00E245D1" w14:paraId="75BA0BD7" w14:textId="77777777" w:rsidTr="00BC0E3A">
        <w:trPr>
          <w:tblCellSpacing w:w="15" w:type="dxa"/>
        </w:trPr>
        <w:tc>
          <w:tcPr>
            <w:tcW w:w="3689" w:type="pct"/>
            <w:vAlign w:val="center"/>
          </w:tcPr>
          <w:p w14:paraId="0D19C73C" w14:textId="77777777" w:rsidR="009E6B1B" w:rsidRPr="00E245D1" w:rsidRDefault="009E6B1B" w:rsidP="00BC0E3A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Plant</w:t>
            </w:r>
          </w:p>
        </w:tc>
        <w:tc>
          <w:tcPr>
            <w:tcW w:w="1263" w:type="pct"/>
            <w:vAlign w:val="center"/>
          </w:tcPr>
          <w:p w14:paraId="30FD051E" w14:textId="77777777" w:rsidR="009E6B1B" w:rsidRPr="00E245D1" w:rsidRDefault="009E6B1B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</w:tr>
      <w:tr w:rsidR="009E6B1B" w:rsidRPr="00E245D1" w14:paraId="32449356" w14:textId="77777777" w:rsidTr="00BC0E3A">
        <w:trPr>
          <w:tblCellSpacing w:w="15" w:type="dxa"/>
        </w:trPr>
        <w:tc>
          <w:tcPr>
            <w:tcW w:w="3689" w:type="pct"/>
            <w:vAlign w:val="center"/>
          </w:tcPr>
          <w:p w14:paraId="7D651CEE" w14:textId="77777777" w:rsidR="009E6B1B" w:rsidRPr="00E245D1" w:rsidRDefault="009E6B1B" w:rsidP="00BC0E3A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Coral</w:t>
            </w:r>
          </w:p>
        </w:tc>
        <w:tc>
          <w:tcPr>
            <w:tcW w:w="1263" w:type="pct"/>
            <w:vAlign w:val="center"/>
          </w:tcPr>
          <w:p w14:paraId="2B13D0F8" w14:textId="77777777" w:rsidR="009E6B1B" w:rsidRPr="00E245D1" w:rsidRDefault="009E6B1B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1.8</w:t>
            </w:r>
          </w:p>
        </w:tc>
      </w:tr>
      <w:tr w:rsidR="009E6B1B" w:rsidRPr="00E245D1" w14:paraId="6CB155A5" w14:textId="77777777" w:rsidTr="00BC0E3A">
        <w:trPr>
          <w:tblCellSpacing w:w="15" w:type="dxa"/>
        </w:trPr>
        <w:tc>
          <w:tcPr>
            <w:tcW w:w="3689" w:type="pct"/>
            <w:vAlign w:val="center"/>
          </w:tcPr>
          <w:p w14:paraId="0BD50A89" w14:textId="77777777" w:rsidR="009E6B1B" w:rsidRPr="00E245D1" w:rsidRDefault="009E6B1B" w:rsidP="00BC0E3A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Bovine gut</w:t>
            </w:r>
          </w:p>
        </w:tc>
        <w:tc>
          <w:tcPr>
            <w:tcW w:w="1263" w:type="pct"/>
            <w:vAlign w:val="center"/>
          </w:tcPr>
          <w:p w14:paraId="0701D768" w14:textId="77777777" w:rsidR="009E6B1B" w:rsidRPr="00E245D1" w:rsidRDefault="009E6B1B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</w:tr>
      <w:tr w:rsidR="009E6B1B" w:rsidRPr="00E245D1" w14:paraId="433F8938" w14:textId="77777777" w:rsidTr="00BC0E3A">
        <w:trPr>
          <w:tblCellSpacing w:w="15" w:type="dxa"/>
        </w:trPr>
        <w:tc>
          <w:tcPr>
            <w:tcW w:w="3689" w:type="pct"/>
            <w:tcBorders>
              <w:bottom w:val="single" w:sz="4" w:space="0" w:color="auto"/>
            </w:tcBorders>
            <w:vAlign w:val="center"/>
          </w:tcPr>
          <w:p w14:paraId="6A2F82DD" w14:textId="77777777" w:rsidR="009E6B1B" w:rsidRPr="00E338AF" w:rsidRDefault="009E6B1B" w:rsidP="00BC0E3A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Other biomes</w:t>
            </w:r>
            <w:r w:rsidRPr="005A1CF9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b</w:t>
            </w: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63" w:type="pct"/>
            <w:tcBorders>
              <w:bottom w:val="single" w:sz="4" w:space="0" w:color="auto"/>
            </w:tcBorders>
            <w:vAlign w:val="center"/>
          </w:tcPr>
          <w:p w14:paraId="3BBC5617" w14:textId="77777777" w:rsidR="009E6B1B" w:rsidRPr="00E245D1" w:rsidRDefault="009E6B1B" w:rsidP="00BC0E3A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&lt; 1</w:t>
            </w:r>
          </w:p>
        </w:tc>
      </w:tr>
    </w:tbl>
    <w:p w14:paraId="4CF411C9" w14:textId="75C84ECA" w:rsidR="00FD5936" w:rsidRDefault="00F67E8E" w:rsidP="00FD5936">
      <w:pPr>
        <w:spacing w:after="200" w:line="360" w:lineRule="auto"/>
        <w:rPr>
          <w:rFonts w:ascii="Times New Roman" w:hAnsi="Times New Roman"/>
          <w:sz w:val="20"/>
          <w:szCs w:val="20"/>
        </w:rPr>
      </w:pPr>
      <w:r w:rsidRPr="00E245D1">
        <w:rPr>
          <w:rFonts w:ascii="Times New Roman" w:hAnsi="Times New Roman"/>
          <w:sz w:val="20"/>
          <w:szCs w:val="20"/>
        </w:rPr>
        <w:t xml:space="preserve">This run was performed on the dereplicated genome (genome size 4.45 Mbp ; ANI best match </w:t>
      </w:r>
      <w:r w:rsidRPr="00E245D1">
        <w:rPr>
          <w:rFonts w:ascii="Times New Roman" w:hAnsi="Times New Roman"/>
          <w:i/>
          <w:iCs/>
          <w:sz w:val="20"/>
          <w:szCs w:val="20"/>
        </w:rPr>
        <w:t>C. argentinense</w:t>
      </w:r>
      <w:r w:rsidRPr="00E245D1">
        <w:rPr>
          <w:rFonts w:ascii="Times New Roman" w:hAnsi="Times New Roman"/>
          <w:sz w:val="20"/>
          <w:szCs w:val="20"/>
        </w:rPr>
        <w:t xml:space="preserve"> 94.32</w:t>
      </w:r>
      <w:r>
        <w:rPr>
          <w:rFonts w:ascii="Times New Roman" w:hAnsi="Times New Roman"/>
          <w:sz w:val="20"/>
          <w:szCs w:val="20"/>
        </w:rPr>
        <w:t xml:space="preserve"> </w:t>
      </w:r>
      <w:r w:rsidRPr="00E245D1">
        <w:rPr>
          <w:rFonts w:ascii="Times New Roman" w:hAnsi="Times New Roman"/>
          <w:sz w:val="20"/>
          <w:szCs w:val="20"/>
        </w:rPr>
        <w:t>%).</w:t>
      </w:r>
      <w:r>
        <w:rPr>
          <w:rFonts w:ascii="Times New Roman" w:hAnsi="Times New Roman"/>
          <w:sz w:val="20"/>
          <w:szCs w:val="20"/>
        </w:rPr>
        <w:t xml:space="preserve"> </w:t>
      </w:r>
      <w:r w:rsidRPr="00FE6BB2">
        <w:rPr>
          <w:rFonts w:ascii="Times New Roman" w:hAnsi="Times New Roman"/>
          <w:sz w:val="20"/>
          <w:szCs w:val="20"/>
          <w:vertAlign w:val="superscript"/>
        </w:rPr>
        <w:t>a</w:t>
      </w:r>
      <w:r>
        <w:rPr>
          <w:rFonts w:ascii="Times New Roman" w:hAnsi="Times New Roman"/>
          <w:sz w:val="20"/>
          <w:szCs w:val="20"/>
        </w:rPr>
        <w:t xml:space="preserve"> Detection prevalence of strain Marseille-QA1073</w:t>
      </w:r>
      <w:r w:rsidRPr="00FE6BB2">
        <w:rPr>
          <w:rFonts w:ascii="Times New Roman" w:hAnsi="Times New Roman"/>
          <w:sz w:val="20"/>
          <w:szCs w:val="20"/>
          <w:vertAlign w:val="superscript"/>
        </w:rPr>
        <w:t>T</w:t>
      </w:r>
      <w:r>
        <w:rPr>
          <w:rFonts w:ascii="Times New Roman" w:hAnsi="Times New Roman"/>
          <w:sz w:val="20"/>
          <w:szCs w:val="20"/>
        </w:rPr>
        <w:t xml:space="preserve"> in each biome (percentage of n=1,000 amplicon samples screened per metagenome; IMNGS/Protologger). </w:t>
      </w:r>
      <w:r w:rsidRPr="005A1CF9">
        <w:rPr>
          <w:rFonts w:ascii="Times New Roman" w:hAnsi="Times New Roman"/>
          <w:b/>
          <w:bCs/>
          <w:sz w:val="20"/>
          <w:szCs w:val="20"/>
          <w:vertAlign w:val="superscript"/>
        </w:rPr>
        <w:t>b</w:t>
      </w:r>
      <w:r>
        <w:rPr>
          <w:rFonts w:ascii="Times New Roman" w:hAnsi="Times New Roman"/>
          <w:sz w:val="20"/>
          <w:szCs w:val="20"/>
        </w:rPr>
        <w:t xml:space="preserve"> Biomes with a detection prevalence below 1 % :</w:t>
      </w:r>
      <w:r w:rsidRPr="005A1CF9">
        <w:t xml:space="preserve"> </w:t>
      </w:r>
      <w:r w:rsidRPr="005A1CF9">
        <w:rPr>
          <w:rFonts w:ascii="Times New Roman" w:hAnsi="Times New Roman"/>
          <w:sz w:val="20"/>
          <w:szCs w:val="20"/>
        </w:rPr>
        <w:t>mouse gut (0.5 %), human gut (0.5 %), marine (0.5 %), chicken gut (0.3 %), insect gut (0.3 %), human skin (0.2 %), human lung (0.1 %), human oral (0.0 %) and human vaginal (0.0 %).</w:t>
      </w:r>
      <w:r>
        <w:rPr>
          <w:rFonts w:ascii="Times New Roman" w:hAnsi="Times New Roman"/>
          <w:sz w:val="20"/>
          <w:szCs w:val="20"/>
        </w:rPr>
        <w:t xml:space="preserve"> </w:t>
      </w:r>
      <w:r w:rsidRPr="005A1CF9">
        <w:rPr>
          <w:rFonts w:ascii="Times New Roman" w:hAnsi="Times New Roman"/>
          <w:sz w:val="20"/>
          <w:szCs w:val="20"/>
        </w:rPr>
        <w:t>All human-associated biomes fell below 1</w:t>
      </w:r>
      <w:r>
        <w:rPr>
          <w:rFonts w:ascii="Times New Roman" w:hAnsi="Times New Roman"/>
          <w:sz w:val="20"/>
          <w:szCs w:val="20"/>
        </w:rPr>
        <w:t>%. Prediction are based on partial rRNA gene sequence and are indicative</w:t>
      </w:r>
      <w:r>
        <w:rPr>
          <w:rFonts w:ascii="Times New Roman" w:hAnsi="Times New Roman"/>
          <w:sz w:val="20"/>
          <w:szCs w:val="20"/>
        </w:rPr>
        <w:t xml:space="preserve"> only.</w:t>
      </w:r>
    </w:p>
    <w:p w14:paraId="73B20B0F" w14:textId="77777777" w:rsidR="00B779AB" w:rsidRPr="006575E5" w:rsidRDefault="00B779AB" w:rsidP="00F67E8E">
      <w:pPr>
        <w:rPr>
          <w:rFonts w:ascii="Times New Roman" w:hAnsi="Times New Roman"/>
          <w:sz w:val="20"/>
          <w:szCs w:val="20"/>
        </w:rPr>
      </w:pPr>
    </w:p>
    <w:sectPr w:rsidR="00B779AB" w:rsidRPr="006575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F3B"/>
    <w:rsid w:val="00150B0C"/>
    <w:rsid w:val="00520BA3"/>
    <w:rsid w:val="005F2F3B"/>
    <w:rsid w:val="006575E5"/>
    <w:rsid w:val="00676C90"/>
    <w:rsid w:val="00683B20"/>
    <w:rsid w:val="007D4313"/>
    <w:rsid w:val="009E6B1B"/>
    <w:rsid w:val="00AA2B8D"/>
    <w:rsid w:val="00B779AB"/>
    <w:rsid w:val="00C57A18"/>
    <w:rsid w:val="00D21E8C"/>
    <w:rsid w:val="00D62AAE"/>
    <w:rsid w:val="00F66DEB"/>
    <w:rsid w:val="00F67E8E"/>
    <w:rsid w:val="00FD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99C83"/>
  <w15:chartTrackingRefBased/>
  <w15:docId w15:val="{D7CB4AFC-57DD-41C0-8A5C-1B54155E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C90"/>
    <w:pPr>
      <w:spacing w:line="278" w:lineRule="auto"/>
    </w:pPr>
    <w:rPr>
      <w:rFonts w:ascii="Aptos" w:eastAsia="Times New Roman" w:hAnsi="Aptos" w:cs="Times New Roman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F2F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F2F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F2F3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F2F3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F2F3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F2F3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F2F3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F2F3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F2F3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F2F3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F2F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F2F3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F2F3B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F2F3B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F2F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F2F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F2F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F2F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F2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F2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F2F3B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F2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F2F3B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F2F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F2F3B"/>
    <w:pPr>
      <w:spacing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F2F3B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F2F3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F2F3B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5F2F3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798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SARR Salematou</dc:creator>
  <cp:keywords/>
  <dc:description/>
  <cp:lastModifiedBy>SARR Salematou</cp:lastModifiedBy>
  <cp:revision>10</cp:revision>
  <dcterms:created xsi:type="dcterms:W3CDTF">2026-08-23T11:54:00Z</dcterms:created>
  <dcterms:modified xsi:type="dcterms:W3CDTF">2026-09-18T10:12:00Z</dcterms:modified>
</cp:coreProperties>
</file>