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54072162">
      <w:pPr>
        <w:pStyle w:val="style62"/>
        <w:jc w:val="center"/>
        <w:rPr/>
      </w:pPr>
      <w:r>
        <w:t>Supplementary Methodological Appendix</w:t>
      </w:r>
    </w:p>
    <w:p w14:paraId="5F049708">
      <w:pPr>
        <w:pStyle w:val="style0"/>
        <w:jc w:val="center"/>
        <w:rPr/>
      </w:pPr>
      <w:r>
        <w:rPr>
          <w:i/>
        </w:rPr>
        <w:t>For: When shared leadership does not share authority: delegation, voice and accountability in a cross-border higher education partnership</w:t>
      </w:r>
    </w:p>
    <w:p w14:paraId="C54EC044">
      <w:pPr>
        <w:pStyle w:val="style1"/>
        <w:rPr/>
      </w:pPr>
      <w:r>
        <w:t>Supplementary Note 1. Purpose and status of the appendix</w:t>
      </w:r>
    </w:p>
    <w:p w14:paraId="3F68503A">
      <w:pPr>
        <w:pStyle w:val="style0"/>
        <w:rPr/>
      </w:pPr>
      <w:r>
        <w:t>No survey, questionnaire, interview dataset or statistical dataset was used in the study. This appendix documents the methodological basis of the self-reflective critical incident analysis.</w:t>
      </w:r>
    </w:p>
    <w:p w14:paraId="93CEE428">
      <w:pPr>
        <w:pStyle w:val="style0"/>
        <w:rPr/>
      </w:pPr>
      <w:r>
        <w:t>This appendix provides additional methodological transparency for the self-reflective critical incident analysis reported in the article. It does not reproduce confidential project records, private communications or identifiable information. Its purpose is to make the selection, reconstruction and analysis of incidents auditable without compromising the confidentiality of a small connected professional setting.</w:t>
      </w:r>
    </w:p>
    <w:p w14:paraId="7FE6BF24">
      <w:pPr>
        <w:pStyle w:val="style1"/>
        <w:rPr/>
      </w:pPr>
      <w:r>
        <w:t>Supplementary Note 2. Reflective material and evidential boundaries</w:t>
      </w:r>
    </w:p>
    <w:p w14:paraId="6E25DD84">
      <w:pPr>
        <w:pStyle w:val="style0"/>
        <w:rPr/>
      </w:pPr>
      <w:r>
        <w:t>The primary analytical material consisted of contemporaneous reflective notes recorded during and shortly after key stages of a several-month partnership project. These notes documented emerging uncertainties, decisions, task allocation, review discussions and concerns relevant to the author's coordinating role. Professional recollection was used to contextualise the notes rather than as the sole evidential basis for reconstruction.</w:t>
      </w:r>
    </w:p>
    <w:p w14:paraId="70518C69">
      <w:pPr>
        <w:pStyle w:val="style0"/>
        <w:rPr/>
      </w:pPr>
      <w:r>
        <w:t>Project-related records were consulted only to verify chronology and clarify the sequence of actions, decision points and review moments. No emails, messages, meeting extracts or other private communications are reproduced in the article or this appendix.</w:t>
      </w:r>
    </w:p>
    <w:p w14:paraId="EF211F2C">
      <w:pPr>
        <w:pStyle w:val="style1"/>
        <w:rPr/>
      </w:pPr>
      <w:r>
        <w:t>Supplementary Note 3. Incident-selection criteria</w:t>
      </w:r>
    </w:p>
    <w:p w14:paraId="8C46FCE6">
      <w:pPr>
        <w:pStyle w:val="style0"/>
        <w:rPr/>
      </w:pPr>
      <w:r>
        <w:t>A wider set of project episodes was first identified through a reflexive memo. An episode was treated as a critical incident when it met all three criteria below:</w:t>
      </w:r>
    </w:p>
    <w:p w14:paraId="8B5D0B1E">
      <w:pPr>
        <w:pStyle w:val="style48"/>
        <w:rPr/>
      </w:pPr>
      <w:r>
        <w:t>It disrupted expected work, coordination or review.</w:t>
      </w:r>
    </w:p>
    <w:p w14:paraId="F6E4C5FD">
      <w:pPr>
        <w:pStyle w:val="style48"/>
        <w:rPr/>
      </w:pPr>
      <w:r>
        <w:t>It exposed uncertainty concerning delegation, decision rights, standards or accountability.</w:t>
      </w:r>
    </w:p>
    <w:p w14:paraId="F33152AD">
      <w:pPr>
        <w:pStyle w:val="style48"/>
        <w:rPr/>
      </w:pPr>
      <w:r>
        <w:t>It made visible an organisational or culturally situated assumption concerning communication, hierarchy, responsibility, legitimacy or quality.</w:t>
      </w:r>
    </w:p>
    <w:p w14:paraId="5BD960A4">
      <w:pPr>
        <w:pStyle w:val="style0"/>
        <w:rPr/>
      </w:pPr>
      <w:r>
        <w:t>The three reported incidents were selected because they represented recurring tensions at different stages of the project rather than because they were the most dramatic episodes.</w:t>
      </w:r>
    </w:p>
    <w:p w14:paraId="5C0E171D">
      <w:pPr>
        <w:pStyle w:val="style1"/>
        <w:rPr/>
      </w:pPr>
      <w:r>
        <w:t>Supplementary Note 4. Four-stage analytical procedure</w:t>
      </w:r>
    </w:p>
    <w:p w14:paraId="E9174804">
      <w:pPr>
        <w:pStyle w:val="style0"/>
        <w:rPr/>
      </w:pPr>
      <w:r>
        <w:rPr>
          <w:b/>
        </w:rPr>
        <w:t xml:space="preserve">1. Incident reconstruction: </w:t>
      </w:r>
      <w:r>
        <w:t>Each incident was reconstructed from contemporaneous reflective notes, with project records used only to check chronology and sequence.</w:t>
      </w:r>
    </w:p>
    <w:p w14:paraId="3A2950D1">
      <w:pPr>
        <w:pStyle w:val="style0"/>
        <w:rPr/>
      </w:pPr>
      <w:r>
        <w:rPr>
          <w:b/>
        </w:rPr>
        <w:t xml:space="preserve">2. Critical reflection: </w:t>
      </w:r>
      <w:r>
        <w:t>Each incident was examined through questions adapted from Smyth's critical reflective approach: what happened; what assumptions about authority and responsibility were visible; whose interests were supported or constrained; what forms of voice or silence appeared; and what alternative routines might have altered the outcome.</w:t>
      </w:r>
    </w:p>
    <w:p w14:paraId="46531886">
      <w:pPr>
        <w:pStyle w:val="style0"/>
        <w:rPr/>
      </w:pPr>
      <w:r>
        <w:rPr>
          <w:b/>
        </w:rPr>
        <w:t xml:space="preserve">3. Theoretical interpretation: </w:t>
      </w:r>
      <w:r>
        <w:t>The reconstructed incidents were interpreted through practice-based distributed leadership, coordination of leadership expectations, and micropolitical/cultural perspectives on authority and voice.</w:t>
      </w:r>
    </w:p>
    <w:p w14:paraId="11521EAF">
      <w:pPr>
        <w:pStyle w:val="style0"/>
        <w:rPr/>
      </w:pPr>
      <w:r>
        <w:rPr>
          <w:b/>
        </w:rPr>
        <w:t xml:space="preserve">4. Cross-incident comparison: </w:t>
      </w:r>
      <w:r>
        <w:t>The incidents were compared to identify recurring mechanisms and differences across delegation, review, sign-off and challenge.</w:t>
      </w:r>
    </w:p>
    <w:p w14:paraId="389BEC94">
      <w:pPr>
        <w:pStyle w:val="style1"/>
        <w:rPr/>
      </w:pPr>
      <w:r>
        <w:t>Supplementary Note 5. Reflexive safeguards</w:t>
      </w:r>
    </w:p>
    <w:p w14:paraId="A6DD2220">
      <w:pPr>
        <w:pStyle w:val="style48"/>
        <w:rPr/>
      </w:pPr>
      <w:r>
        <w:t>Contemporaneous documentation was distinguished from later interpretation.</w:t>
      </w:r>
    </w:p>
    <w:p w14:paraId="39516D5D">
      <w:pPr>
        <w:pStyle w:val="style48"/>
        <w:rPr/>
      </w:pPr>
      <w:r>
        <w:t>Chronology was checked against project records where necessary.</w:t>
      </w:r>
    </w:p>
    <w:p w14:paraId="BA5155CB">
      <w:pPr>
        <w:pStyle w:val="style48"/>
        <w:rPr/>
      </w:pPr>
      <w:r>
        <w:t>Alternative interpretations were retained when the available material did not support a single conclusion.</w:t>
      </w:r>
    </w:p>
    <w:p w14:paraId="6C581D42">
      <w:pPr>
        <w:pStyle w:val="style48"/>
        <w:rPr/>
      </w:pPr>
      <w:r>
        <w:t>Silence or indirect communication was not treated as direct evidence of cultural deference.</w:t>
      </w:r>
    </w:p>
    <w:p w14:paraId="6CE8FB07">
      <w:pPr>
        <w:pStyle w:val="style48"/>
        <w:rPr/>
      </w:pPr>
      <w:r>
        <w:t>Concepts such as hierarchy, loyalty and face were treated as situated interpretive possibilities rather than fixed attributes of national culture.</w:t>
      </w:r>
    </w:p>
    <w:p w14:paraId="B6B671A1">
      <w:pPr>
        <w:pStyle w:val="style48"/>
        <w:rPr/>
      </w:pPr>
      <w:r>
        <w:t>Incidents were reported in role-based, non-verbatim form and contextual markers were generalised to reduce indirect identifiability.</w:t>
      </w:r>
    </w:p>
    <w:p w14:paraId="7C7A769D">
      <w:pPr>
        <w:pStyle w:val="style1"/>
        <w:rPr/>
      </w:pPr>
      <w:r>
        <w:t>Supplementary Note 6. Audit-trail summary</w:t>
      </w:r>
    </w:p>
    <w:tbl>
      <w:tblPr>
        <w:tblStyle w:val="style154"/>
        <w:tblW w:w="0" w:type="auto"/>
        <w:tblLook w:val="04A0" w:firstRow="1" w:lastRow="0" w:firstColumn="1" w:lastColumn="0" w:noHBand="0" w:noVBand="1"/>
      </w:tblPr>
      <w:tblGrid>
        <w:gridCol w:w="1872"/>
        <w:gridCol w:w="1872"/>
        <w:gridCol w:w="1872"/>
        <w:gridCol w:w="1872"/>
        <w:gridCol w:w="1872"/>
      </w:tblGrid>
      <w:tr w14:paraId="AAEE751B">
        <w:trPr/>
        <w:tc>
          <w:tcPr>
            <w:tcW w:w="1872" w:type="dxa"/>
            <w:tcBorders/>
          </w:tcPr>
          <w:p w14:paraId="6416E3D3">
            <w:pPr>
              <w:pStyle w:val="style0"/>
              <w:spacing w:after="0" w:lineRule="auto" w:line="240"/>
              <w:rPr/>
            </w:pPr>
            <w:r>
              <w:rPr>
                <w:rFonts w:ascii="Times New Roman" w:hAnsi="Times New Roman"/>
                <w:sz w:val="17"/>
              </w:rPr>
              <w:t>Incident</w:t>
            </w:r>
          </w:p>
        </w:tc>
        <w:tc>
          <w:tcPr>
            <w:tcW w:w="1872" w:type="dxa"/>
            <w:tcBorders/>
          </w:tcPr>
          <w:p w14:paraId="B8145832">
            <w:pPr>
              <w:pStyle w:val="style0"/>
              <w:spacing w:after="0" w:lineRule="auto" w:line="240"/>
              <w:rPr/>
            </w:pPr>
            <w:r>
              <w:rPr>
                <w:rFonts w:ascii="Times New Roman" w:hAnsi="Times New Roman"/>
                <w:sz w:val="17"/>
              </w:rPr>
              <w:t>Primary reflective material</w:t>
            </w:r>
          </w:p>
        </w:tc>
        <w:tc>
          <w:tcPr>
            <w:tcW w:w="1872" w:type="dxa"/>
            <w:tcBorders/>
          </w:tcPr>
          <w:p w14:paraId="AEC95F8D">
            <w:pPr>
              <w:pStyle w:val="style0"/>
              <w:spacing w:after="0" w:lineRule="auto" w:line="240"/>
              <w:rPr/>
            </w:pPr>
            <w:r>
              <w:rPr>
                <w:rFonts w:ascii="Times New Roman" w:hAnsi="Times New Roman"/>
                <w:sz w:val="17"/>
              </w:rPr>
              <w:t>Chronology check</w:t>
            </w:r>
          </w:p>
        </w:tc>
        <w:tc>
          <w:tcPr>
            <w:tcW w:w="1872" w:type="dxa"/>
            <w:tcBorders/>
          </w:tcPr>
          <w:p w14:paraId="4BAF7899">
            <w:pPr>
              <w:pStyle w:val="style0"/>
              <w:spacing w:after="0" w:lineRule="auto" w:line="240"/>
              <w:rPr/>
            </w:pPr>
            <w:r>
              <w:rPr>
                <w:rFonts w:ascii="Times New Roman" w:hAnsi="Times New Roman"/>
                <w:sz w:val="17"/>
              </w:rPr>
              <w:t>Principal analytical focus</w:t>
            </w:r>
          </w:p>
        </w:tc>
        <w:tc>
          <w:tcPr>
            <w:tcW w:w="1872" w:type="dxa"/>
            <w:tcBorders/>
          </w:tcPr>
          <w:p w14:paraId="9F721D71">
            <w:pPr>
              <w:pStyle w:val="style0"/>
              <w:spacing w:after="0" w:lineRule="auto" w:line="240"/>
              <w:rPr/>
            </w:pPr>
            <w:r>
              <w:rPr>
                <w:rFonts w:ascii="Times New Roman" w:hAnsi="Times New Roman"/>
                <w:sz w:val="17"/>
              </w:rPr>
              <w:t>Cross-incident contribution</w:t>
            </w:r>
          </w:p>
        </w:tc>
      </w:tr>
      <w:tr w14:paraId="61482078">
        <w:tblPrEx/>
        <w:trPr/>
        <w:tc>
          <w:tcPr>
            <w:tcW w:w="1872" w:type="dxa"/>
            <w:tcBorders/>
          </w:tcPr>
          <w:p w14:paraId="B84B65A9">
            <w:pPr>
              <w:pStyle w:val="style0"/>
              <w:spacing w:after="0" w:lineRule="auto" w:line="240"/>
              <w:rPr/>
            </w:pPr>
            <w:r>
              <w:rPr>
                <w:rFonts w:ascii="Times New Roman" w:hAnsi="Times New Roman"/>
                <w:sz w:val="17"/>
              </w:rPr>
              <w:t>1. Unclear mandate</w:t>
            </w:r>
          </w:p>
        </w:tc>
        <w:tc>
          <w:tcPr>
            <w:tcW w:w="1872" w:type="dxa"/>
            <w:tcBorders/>
          </w:tcPr>
          <w:p w14:paraId="B8B0CC4D">
            <w:pPr>
              <w:pStyle w:val="style0"/>
              <w:spacing w:after="0" w:lineRule="auto" w:line="240"/>
              <w:rPr/>
            </w:pPr>
            <w:r>
              <w:rPr>
                <w:rFonts w:ascii="Times New Roman" w:hAnsi="Times New Roman"/>
                <w:sz w:val="17"/>
              </w:rPr>
              <w:t>Reflective notes on planning and delegation</w:t>
            </w:r>
          </w:p>
        </w:tc>
        <w:tc>
          <w:tcPr>
            <w:tcW w:w="1872" w:type="dxa"/>
            <w:tcBorders/>
          </w:tcPr>
          <w:p w14:paraId="2E9D6451">
            <w:pPr>
              <w:pStyle w:val="style0"/>
              <w:spacing w:after="0" w:lineRule="auto" w:line="240"/>
              <w:rPr/>
            </w:pPr>
            <w:r>
              <w:rPr>
                <w:rFonts w:ascii="Times New Roman" w:hAnsi="Times New Roman"/>
                <w:sz w:val="17"/>
              </w:rPr>
              <w:t>Project sequence and decision points</w:t>
            </w:r>
          </w:p>
        </w:tc>
        <w:tc>
          <w:tcPr>
            <w:tcW w:w="1872" w:type="dxa"/>
            <w:tcBorders/>
          </w:tcPr>
          <w:p w14:paraId="FDF2209A">
            <w:pPr>
              <w:pStyle w:val="style0"/>
              <w:spacing w:after="0" w:lineRule="auto" w:line="240"/>
              <w:rPr/>
            </w:pPr>
            <w:r>
              <w:rPr>
                <w:rFonts w:ascii="Times New Roman" w:hAnsi="Times New Roman"/>
                <w:sz w:val="17"/>
              </w:rPr>
              <w:t>Decision rights; authorised action; competing leadership signals</w:t>
            </w:r>
          </w:p>
        </w:tc>
        <w:tc>
          <w:tcPr>
            <w:tcW w:w="1872" w:type="dxa"/>
            <w:tcBorders/>
          </w:tcPr>
          <w:p w14:paraId="FDDE1DAE">
            <w:pPr>
              <w:pStyle w:val="style0"/>
              <w:spacing w:after="0" w:lineRule="auto" w:line="240"/>
              <w:rPr/>
            </w:pPr>
            <w:r>
              <w:rPr>
                <w:rFonts w:ascii="Times New Roman" w:hAnsi="Times New Roman"/>
                <w:sz w:val="17"/>
              </w:rPr>
              <w:t>Shared responsibility without visible authority</w:t>
            </w:r>
          </w:p>
        </w:tc>
      </w:tr>
      <w:tr w14:paraId="C60B0E0F">
        <w:tblPrEx/>
        <w:trPr/>
        <w:tc>
          <w:tcPr>
            <w:tcW w:w="1872" w:type="dxa"/>
            <w:tcBorders/>
          </w:tcPr>
          <w:p w14:paraId="9223141C">
            <w:pPr>
              <w:pStyle w:val="style0"/>
              <w:spacing w:after="0" w:lineRule="auto" w:line="240"/>
              <w:rPr/>
            </w:pPr>
            <w:r>
              <w:rPr>
                <w:rFonts w:ascii="Times New Roman" w:hAnsi="Times New Roman"/>
                <w:sz w:val="17"/>
              </w:rPr>
              <w:t>2. Unclear standards</w:t>
            </w:r>
          </w:p>
        </w:tc>
        <w:tc>
          <w:tcPr>
            <w:tcW w:w="1872" w:type="dxa"/>
            <w:tcBorders/>
          </w:tcPr>
          <w:p w14:paraId="56B2BD6E">
            <w:pPr>
              <w:pStyle w:val="style0"/>
              <w:spacing w:after="0" w:lineRule="auto" w:line="240"/>
              <w:rPr/>
            </w:pPr>
            <w:r>
              <w:rPr>
                <w:rFonts w:ascii="Times New Roman" w:hAnsi="Times New Roman"/>
                <w:sz w:val="17"/>
              </w:rPr>
              <w:t>Reflective notes on review and task judgement</w:t>
            </w:r>
          </w:p>
        </w:tc>
        <w:tc>
          <w:tcPr>
            <w:tcW w:w="1872" w:type="dxa"/>
            <w:tcBorders/>
          </w:tcPr>
          <w:p w14:paraId="D568DB55">
            <w:pPr>
              <w:pStyle w:val="style0"/>
              <w:spacing w:after="0" w:lineRule="auto" w:line="240"/>
              <w:rPr/>
            </w:pPr>
            <w:r>
              <w:rPr>
                <w:rFonts w:ascii="Times New Roman" w:hAnsi="Times New Roman"/>
                <w:sz w:val="17"/>
              </w:rPr>
              <w:t>Review sequence and prior guidance</w:t>
            </w:r>
          </w:p>
        </w:tc>
        <w:tc>
          <w:tcPr>
            <w:tcW w:w="1872" w:type="dxa"/>
            <w:tcBorders/>
          </w:tcPr>
          <w:p w14:paraId="CA26839D">
            <w:pPr>
              <w:pStyle w:val="style0"/>
              <w:spacing w:after="0" w:lineRule="auto" w:line="240"/>
              <w:rPr/>
            </w:pPr>
            <w:r>
              <w:rPr>
                <w:rFonts w:ascii="Times New Roman" w:hAnsi="Times New Roman"/>
                <w:sz w:val="17"/>
              </w:rPr>
              <w:t>Quality standards; role protection; accountability</w:t>
            </w:r>
          </w:p>
        </w:tc>
        <w:tc>
          <w:tcPr>
            <w:tcW w:w="1872" w:type="dxa"/>
            <w:tcBorders/>
          </w:tcPr>
          <w:p w14:paraId="922383AC">
            <w:pPr>
              <w:pStyle w:val="style0"/>
              <w:spacing w:after="0" w:lineRule="auto" w:line="240"/>
              <w:rPr/>
            </w:pPr>
            <w:r>
              <w:rPr>
                <w:rFonts w:ascii="Times New Roman" w:hAnsi="Times New Roman"/>
                <w:sz w:val="17"/>
              </w:rPr>
              <w:t>Responsibility separated from standard-setting authority</w:t>
            </w:r>
          </w:p>
        </w:tc>
      </w:tr>
      <w:tr w14:paraId="21E9D616">
        <w:tblPrEx/>
        <w:trPr/>
        <w:tc>
          <w:tcPr>
            <w:tcW w:w="1872" w:type="dxa"/>
            <w:tcBorders/>
          </w:tcPr>
          <w:p w14:paraId="73B84F3C">
            <w:pPr>
              <w:pStyle w:val="style0"/>
              <w:spacing w:after="0" w:lineRule="auto" w:line="240"/>
              <w:rPr/>
            </w:pPr>
            <w:r>
              <w:rPr>
                <w:rFonts w:ascii="Times New Roman" w:hAnsi="Times New Roman"/>
                <w:sz w:val="17"/>
              </w:rPr>
              <w:t>3. Cautious voice</w:t>
            </w:r>
          </w:p>
        </w:tc>
        <w:tc>
          <w:tcPr>
            <w:tcW w:w="1872" w:type="dxa"/>
            <w:tcBorders/>
          </w:tcPr>
          <w:p w14:paraId="7694F5B2">
            <w:pPr>
              <w:pStyle w:val="style0"/>
              <w:spacing w:after="0" w:lineRule="auto" w:line="240"/>
              <w:rPr/>
            </w:pPr>
            <w:r>
              <w:rPr>
                <w:rFonts w:ascii="Times New Roman" w:hAnsi="Times New Roman"/>
                <w:sz w:val="17"/>
              </w:rPr>
              <w:t>Reflective notes on post-completion review</w:t>
            </w:r>
          </w:p>
        </w:tc>
        <w:tc>
          <w:tcPr>
            <w:tcW w:w="1872" w:type="dxa"/>
            <w:tcBorders/>
          </w:tcPr>
          <w:p w14:paraId="E5597DD0">
            <w:pPr>
              <w:pStyle w:val="style0"/>
              <w:spacing w:after="0" w:lineRule="auto" w:line="240"/>
              <w:rPr/>
            </w:pPr>
            <w:r>
              <w:rPr>
                <w:rFonts w:ascii="Times New Roman" w:hAnsi="Times New Roman"/>
                <w:sz w:val="17"/>
              </w:rPr>
              <w:t>Timing of formal and informal follow-up</w:t>
            </w:r>
          </w:p>
        </w:tc>
        <w:tc>
          <w:tcPr>
            <w:tcW w:w="1872" w:type="dxa"/>
            <w:tcBorders/>
          </w:tcPr>
          <w:p w14:paraId="B4FECDB9">
            <w:pPr>
              <w:pStyle w:val="style0"/>
              <w:spacing w:after="0" w:lineRule="auto" w:line="240"/>
              <w:rPr/>
            </w:pPr>
            <w:r>
              <w:rPr>
                <w:rFonts w:ascii="Times New Roman" w:hAnsi="Times New Roman"/>
                <w:sz w:val="17"/>
              </w:rPr>
              <w:t>Voice; challenge; relational risk; ambiguity of silence</w:t>
            </w:r>
          </w:p>
        </w:tc>
        <w:tc>
          <w:tcPr>
            <w:tcW w:w="1872" w:type="dxa"/>
            <w:tcBorders/>
          </w:tcPr>
          <w:p w14:paraId="B1FFC20C">
            <w:pPr>
              <w:pStyle w:val="style0"/>
              <w:spacing w:after="0" w:lineRule="auto" w:line="240"/>
              <w:rPr/>
            </w:pPr>
            <w:r>
              <w:rPr>
                <w:rFonts w:ascii="Times New Roman" w:hAnsi="Times New Roman"/>
                <w:sz w:val="17"/>
              </w:rPr>
              <w:t>Need for protected and traceable routes for challenge</w:t>
            </w:r>
          </w:p>
        </w:tc>
      </w:tr>
    </w:tbl>
    <w:p w14:paraId="49DA1ABA">
      <w:pPr>
        <w:pStyle w:val="style1"/>
        <w:keepNext/>
        <w:rPr/>
      </w:pPr>
      <w:r>
        <w:t>Supplementary Note 7. Confidentiality and data-sharing rationale</w:t>
      </w:r>
    </w:p>
    <w:p w14:paraId="FA81E28D">
      <w:pPr>
        <w:pStyle w:val="style0"/>
        <w:rPr/>
      </w:pPr>
      <w:r>
        <w:rPr>
          <w:rFonts w:ascii="Times New Roman" w:hAnsi="Times New Roman"/>
          <w:sz w:val="22"/>
        </w:rPr>
        <w:t>The source materials arise from a small, connected professional setting. Even after removal of names, combinations of role, sequence, institutional context and event detail could permit indirect identification. The raw reflective notes and confidential project records are therefore not deposited publicly. This appendix provides de-identified methodological information needed to evaluate incident selection and analysis. If requested by the journal, selected de-identified supporting materials may be made available for confidential editorial or peer-review purposes, subject to confidentiality obligations and institutional requirements.</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0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auto"/>
    <w:pitch w:val="variable"/>
    <w:sig w:usb0="E0002AFF" w:usb1="C0007841" w:usb2="00000009" w:usb3="00000000" w:csb0="000001FF" w:csb1="00000000"/>
  </w:font>
  <w:font w:name="Cambria">
    <w:altName w:val="Cambria"/>
    <w:panose1 w:val="02040503050004030204"/>
    <w:charset w:val="00"/>
    <w:family w:val="auto"/>
    <w:pitch w:val="variable"/>
    <w:sig w:usb0="E00002FF" w:usb1="400004FF" w:usb2="00000000" w:usb3="00000000" w:csb0="0000019F" w:csb1="00000000"/>
  </w:font>
  <w:font w:name="ＭＳ 明朝">
    <w:altName w:val="ＭＳ 明朝"/>
    <w:panose1 w:val="00000000000000000000"/>
    <w:charset w:val="80"/>
    <w:family w:val="roman"/>
    <w:pitch w:val="fixed"/>
    <w:sig w:usb0="00000001" w:usb1="08070000" w:usb2="00000010" w:usb3="00000000" w:csb0="00020000" w:csb1="00000000"/>
  </w:font>
  <w:font w:name="Calibri">
    <w:altName w:val="Calibri"/>
    <w:panose1 w:val="020f0502020002030204"/>
    <w:charset w:val="00"/>
    <w:family w:val="auto"/>
    <w:pitch w:val="variable"/>
    <w:sig w:usb0="E10002FF" w:usb1="4000ACFF" w:usb2="00000009" w:usb3="00000000" w:csb0="0000019F" w:csb1="00000000"/>
  </w:font>
  <w:font w:name="ＭＳ ゴシック">
    <w:altName w:val="ＭＳ ゴシック"/>
    <w:panose1 w:val="00000000000000000000"/>
    <w:charset w:val="80"/>
    <w:family w:val="modern"/>
    <w:pitch w:val="fixed"/>
    <w:sig w:usb0="00000001" w:usb1="08070000" w:usb2="00000010" w:usb3="00000000" w:csb0="00020000" w:csb1="00000000"/>
  </w:font>
  <w:font w:name="Courier">
    <w:altName w:val="Courier"/>
    <w:panose1 w:val="02000500000000000000"/>
    <w:charset w:val="00"/>
    <w:family w:val="auto"/>
    <w:pitch w:val="variable"/>
    <w:sig w:usb0="00000003" w:usb1="00000000" w:usb2="00000000" w:usb3="00000000" w:csb0="00000001" w:csb1="00000000"/>
  </w:font>
  <w:font w:name="Arial">
    <w:altName w:val="Arial"/>
    <w:panose1 w:val="020b06040200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310EC42"/>
    <w:lvl w:ilvl="0">
      <w:start w:val="1"/>
      <w:numFmt w:val="decimal"/>
      <w:lvlText w:val="%1."/>
      <w:lvlJc w:val="left"/>
      <w:pPr>
        <w:tabs>
          <w:tab w:val="left" w:leader="none" w:pos="1800"/>
        </w:tabs>
        <w:ind w:left="1800" w:hanging="360"/>
      </w:pPr>
    </w:lvl>
  </w:abstractNum>
  <w:abstractNum w:abstractNumId="1">
    <w:nsid w:val="00000001"/>
    <w:multiLevelType w:val="singleLevel"/>
    <w:tmpl w:val="E4089024"/>
    <w:lvl w:ilvl="0">
      <w:start w:val="1"/>
      <w:numFmt w:val="decimal"/>
      <w:lvlText w:val="%1."/>
      <w:lvlJc w:val="left"/>
      <w:pPr>
        <w:tabs>
          <w:tab w:val="left" w:leader="none" w:pos="1440"/>
        </w:tabs>
        <w:ind w:left="1440" w:hanging="360"/>
      </w:pPr>
    </w:lvl>
  </w:abstractNum>
  <w:abstractNum w:abstractNumId="2">
    <w:nsid w:val="00000002"/>
    <w:multiLevelType w:val="singleLevel"/>
    <w:tmpl w:val="FB12693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38441652"/>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1AC3A4"/>
    <w:lvl w:ilvl="0">
      <w:start w:val="1"/>
      <w:numFmt w:val="bullet"/>
      <w:lvlText w:val=""/>
      <w:lvlJc w:val="left"/>
      <w:pPr>
        <w:tabs>
          <w:tab w:val="left" w:leader="none" w:pos="1440"/>
        </w:tabs>
        <w:ind w:left="1440" w:hanging="360"/>
      </w:pPr>
      <w:rPr>
        <w:rFonts w:ascii="Symbol" w:hAnsi="Symbol" w:hint="default"/>
      </w:rPr>
    </w:lvl>
  </w:abstractNum>
  <w:abstractNum w:abstractNumId="5">
    <w:nsid w:val="00000005"/>
    <w:multiLevelType w:val="singleLevel"/>
    <w:tmpl w:val="F3EAFDEC"/>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3D1EFFD4"/>
    <w:lvl w:ilvl="0">
      <w:start w:val="1"/>
      <w:numFmt w:val="bullet"/>
      <w:pStyle w:val="style54"/>
      <w:lvlText w:val=""/>
      <w:lvlJc w:val="left"/>
      <w:pPr>
        <w:tabs>
          <w:tab w:val="left" w:leader="none" w:pos="720"/>
        </w:tabs>
        <w:ind w:left="720" w:hanging="360"/>
      </w:pPr>
      <w:rPr>
        <w:rFonts w:ascii="Symbol" w:hAnsi="Symbol" w:hint="default"/>
      </w:rPr>
    </w:lvl>
  </w:abstractNum>
  <w:abstractNum w:abstractNumId="7">
    <w:nsid w:val="00000007"/>
    <w:multiLevelType w:val="singleLevel"/>
    <w:tmpl w:val="D0A62B40"/>
    <w:lvl w:ilvl="0">
      <w:start w:val="1"/>
      <w:numFmt w:val="decimal"/>
      <w:pStyle w:val="style49"/>
      <w:lvlText w:val="%1."/>
      <w:lvlJc w:val="left"/>
      <w:pPr>
        <w:tabs>
          <w:tab w:val="left" w:leader="none" w:pos="360"/>
        </w:tabs>
        <w:ind w:left="360" w:hanging="360"/>
      </w:pPr>
    </w:lvl>
  </w:abstractNum>
  <w:abstractNum w:abstractNumId="8">
    <w:nsid w:val="00000008"/>
    <w:multiLevelType w:val="singleLevel"/>
    <w:tmpl w:val="29761A62"/>
    <w:lvl w:ilvl="0">
      <w:start w:val="1"/>
      <w:numFmt w:val="bullet"/>
      <w:pStyle w:val="style48"/>
      <w:lvlText w:val=""/>
      <w:lvlJc w:val="left"/>
      <w:pPr>
        <w:tabs>
          <w:tab w:val="left" w:leader="none" w:pos="360"/>
        </w:tabs>
        <w:ind w:left="360" w:hanging="360"/>
      </w:pPr>
      <w:rPr>
        <w:rFonts w:ascii="Symbol" w:hAnsi="Symbol"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4"/>
  </w:num>
  <w:num w:numId="8">
    <w:abstractNumId w:val="1"/>
  </w:num>
  <w:num w:numId="9">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val="bestFit"/>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ＭＳ 明朝" w:hAnsi="Cambria"/>
        <w:sz w:val="22"/>
        <w:szCs w:val="22"/>
        <w:lang w:val="en-US" w:bidi="ar-SA" w:eastAsia="en-US"/>
      </w:rPr>
    </w:rPrDefault>
    <w:pPrDefault>
      <w:pPr>
        <w:spacing w:after="200" w:lineRule="auto" w:line="276"/>
      </w:pPr>
    </w:pPrDefault>
  </w:docDefaults>
  <w:style w:type="paragraph" w:default="1" w:styleId="style0">
    <w:name w:val="Normal"/>
    <w:next w:val="style0"/>
    <w:qFormat/>
    <w:pPr>
      <w:spacing w:after="60" w:lineRule="auto" w:line="240"/>
    </w:pPr>
    <w:rPr>
      <w:rFonts w:ascii="Times New Roman" w:hAnsi="Times New Roman"/>
      <w:color w:val="000000"/>
      <w:sz w:val="21"/>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583dc0a-5657-4f01-a7b0-84ceba22f01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a6be0ea-968c-4785-bad3-40ab01b23399"/>
    <w:basedOn w:val="style65"/>
    <w:next w:val="style4098"/>
    <w:link w:val="style32"/>
    <w:uiPriority w:val="99"/>
  </w:style>
  <w:style w:type="paragraph" w:styleId="style1">
    <w:name w:val="heading 1"/>
    <w:basedOn w:val="style0"/>
    <w:next w:val="style0"/>
    <w:link w:val="style4099"/>
    <w:qFormat/>
    <w:uiPriority w:val="9"/>
    <w:pPr>
      <w:keepNext/>
      <w:keepLines/>
      <w:spacing w:before="160" w:after="60"/>
      <w:outlineLvl w:val="0"/>
    </w:pPr>
    <w:rPr>
      <w:rFonts w:ascii="Calibri" w:cs="宋体" w:eastAsia="ＭＳ ゴシック" w:hAnsi="Calibri"/>
      <w:b/>
      <w:bCs/>
      <w:color w:val="000000"/>
      <w:sz w:val="23"/>
      <w:szCs w:val="28"/>
    </w:rPr>
  </w:style>
  <w:style w:type="paragraph" w:styleId="style2">
    <w:name w:val="heading 2"/>
    <w:basedOn w:val="style0"/>
    <w:next w:val="style0"/>
    <w:link w:val="style4100"/>
    <w:qFormat/>
    <w:uiPriority w:val="9"/>
    <w:pPr>
      <w:keepNext/>
      <w:keepLines/>
      <w:spacing w:before="200" w:after="0"/>
      <w:outlineLvl w:val="1"/>
    </w:pPr>
    <w:rPr>
      <w:rFonts w:ascii="Calibri" w:cs="宋体" w:eastAsia="ＭＳ ゴシック" w:hAnsi="Calibri"/>
      <w:b/>
      <w:bCs/>
      <w:color w:val="000000"/>
      <w:sz w:val="21"/>
      <w:szCs w:val="26"/>
    </w:rPr>
  </w:style>
  <w:style w:type="paragraph" w:styleId="style3">
    <w:name w:val="heading 3"/>
    <w:basedOn w:val="style0"/>
    <w:next w:val="style0"/>
    <w:link w:val="style4101"/>
    <w:qFormat/>
    <w:uiPriority w:val="9"/>
    <w:pPr>
      <w:keepNext/>
      <w:keepLines/>
      <w:spacing w:before="200" w:after="0"/>
      <w:outlineLvl w:val="2"/>
    </w:pPr>
    <w:rPr>
      <w:rFonts w:ascii="Calibri" w:cs="宋体" w:eastAsia="ＭＳ ゴシック" w:hAnsi="Calibri"/>
      <w:b/>
      <w:bCs/>
      <w:color w:val="4f81bd"/>
    </w:rPr>
  </w:style>
  <w:style w:type="paragraph" w:styleId="style4">
    <w:name w:val="heading 4"/>
    <w:basedOn w:val="style0"/>
    <w:next w:val="style0"/>
    <w:link w:val="style4109"/>
    <w:qFormat/>
    <w:uiPriority w:val="9"/>
    <w:pPr>
      <w:keepNext/>
      <w:keepLines/>
      <w:spacing w:before="200" w:after="0"/>
      <w:outlineLvl w:val="3"/>
    </w:pPr>
    <w:rPr>
      <w:rFonts w:ascii="Calibri" w:cs="宋体" w:eastAsia="ＭＳ ゴシック" w:hAnsi="Calibri"/>
      <w:b/>
      <w:bCs/>
      <w:i/>
      <w:iCs/>
      <w:color w:val="4f81bd"/>
    </w:rPr>
  </w:style>
  <w:style w:type="paragraph" w:styleId="style5">
    <w:name w:val="heading 5"/>
    <w:basedOn w:val="style0"/>
    <w:next w:val="style0"/>
    <w:link w:val="style4110"/>
    <w:qFormat/>
    <w:uiPriority w:val="9"/>
    <w:pPr>
      <w:keepNext/>
      <w:keepLines/>
      <w:spacing w:before="200" w:after="0"/>
      <w:outlineLvl w:val="4"/>
    </w:pPr>
    <w:rPr>
      <w:rFonts w:ascii="Calibri" w:cs="宋体" w:eastAsia="ＭＳ ゴシック" w:hAnsi="Calibri"/>
      <w:color w:val="243f60"/>
    </w:rPr>
  </w:style>
  <w:style w:type="paragraph" w:styleId="style6">
    <w:name w:val="heading 6"/>
    <w:basedOn w:val="style0"/>
    <w:next w:val="style0"/>
    <w:link w:val="style4111"/>
    <w:qFormat/>
    <w:uiPriority w:val="9"/>
    <w:pPr>
      <w:keepNext/>
      <w:keepLines/>
      <w:spacing w:before="200" w:after="0"/>
      <w:outlineLvl w:val="5"/>
    </w:pPr>
    <w:rPr>
      <w:rFonts w:ascii="Calibri" w:cs="宋体" w:eastAsia="ＭＳ ゴシック" w:hAnsi="Calibri"/>
      <w:i/>
      <w:iCs/>
      <w:color w:val="243f60"/>
    </w:rPr>
  </w:style>
  <w:style w:type="paragraph" w:styleId="style7">
    <w:name w:val="heading 7"/>
    <w:basedOn w:val="style0"/>
    <w:next w:val="style0"/>
    <w:link w:val="style4112"/>
    <w:qFormat/>
    <w:uiPriority w:val="9"/>
    <w:pPr>
      <w:keepNext/>
      <w:keepLines/>
      <w:spacing w:before="200" w:after="0"/>
      <w:outlineLvl w:val="6"/>
    </w:pPr>
    <w:rPr>
      <w:rFonts w:ascii="Calibri" w:cs="宋体" w:eastAsia="ＭＳ ゴシック" w:hAnsi="Calibri"/>
      <w:i/>
      <w:iCs/>
      <w:color w:val="404040"/>
    </w:rPr>
  </w:style>
  <w:style w:type="paragraph" w:styleId="style8">
    <w:name w:val="heading 8"/>
    <w:basedOn w:val="style0"/>
    <w:next w:val="style0"/>
    <w:link w:val="style4113"/>
    <w:qFormat/>
    <w:uiPriority w:val="9"/>
    <w:pPr>
      <w:keepNext/>
      <w:keepLines/>
      <w:spacing w:before="200" w:after="0"/>
      <w:outlineLvl w:val="7"/>
    </w:pPr>
    <w:rPr>
      <w:rFonts w:ascii="Calibri" w:cs="宋体" w:eastAsia="ＭＳ ゴシック" w:hAnsi="Calibri"/>
      <w:color w:val="4f81bd"/>
      <w:sz w:val="20"/>
      <w:szCs w:val="20"/>
    </w:rPr>
  </w:style>
  <w:style w:type="paragraph" w:styleId="style9">
    <w:name w:val="heading 9"/>
    <w:basedOn w:val="style0"/>
    <w:next w:val="style0"/>
    <w:link w:val="style4114"/>
    <w:qFormat/>
    <w:uiPriority w:val="9"/>
    <w:pPr>
      <w:keepNext/>
      <w:keepLines/>
      <w:spacing w:before="200" w:after="0"/>
      <w:outlineLvl w:val="8"/>
    </w:pPr>
    <w:rPr>
      <w:rFonts w:ascii="Calibri" w:cs="宋体" w:eastAsia="ＭＳ ゴシック"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character" w:customStyle="1" w:styleId="style4099">
    <w:name w:val="Heading 1 Char_c5eba93f-7913-4874-8d89-1b0c9cc568f2"/>
    <w:basedOn w:val="style65"/>
    <w:next w:val="style4099"/>
    <w:link w:val="style1"/>
    <w:uiPriority w:val="9"/>
    <w:rPr>
      <w:rFonts w:ascii="Calibri" w:cs="宋体" w:eastAsia="ＭＳ ゴシック" w:hAnsi="Calibri"/>
      <w:b/>
      <w:bCs/>
      <w:color w:val="365f91"/>
      <w:sz w:val="28"/>
      <w:szCs w:val="28"/>
    </w:rPr>
  </w:style>
  <w:style w:type="character" w:customStyle="1" w:styleId="style4100">
    <w:name w:val="Heading 2 Char_550a2591-cebd-45b4-84b1-468856754c1d"/>
    <w:basedOn w:val="style65"/>
    <w:next w:val="style4100"/>
    <w:link w:val="style2"/>
    <w:uiPriority w:val="9"/>
    <w:rPr>
      <w:rFonts w:ascii="Calibri" w:cs="宋体" w:eastAsia="ＭＳ ゴシック" w:hAnsi="Calibri"/>
      <w:b/>
      <w:bCs/>
      <w:color w:val="4f81bd"/>
      <w:sz w:val="26"/>
      <w:szCs w:val="26"/>
    </w:rPr>
  </w:style>
  <w:style w:type="character" w:customStyle="1" w:styleId="style4101">
    <w:name w:val="Heading 3 Char_3251fb90-afd6-4a0b-8a38-9561cf98f58e"/>
    <w:basedOn w:val="style65"/>
    <w:next w:val="style4101"/>
    <w:link w:val="style3"/>
    <w:uiPriority w:val="9"/>
    <w:rPr>
      <w:rFonts w:ascii="Calibri" w:cs="宋体" w:eastAsia="ＭＳ ゴシック" w:hAnsi="Calibri"/>
      <w:b/>
      <w:bCs/>
      <w:color w:val="4f81bd"/>
    </w:rPr>
  </w:style>
  <w:style w:type="paragraph" w:styleId="style62">
    <w:name w:val="Title"/>
    <w:basedOn w:val="style0"/>
    <w:next w:val="style0"/>
    <w:link w:val="style4102"/>
    <w:qFormat/>
    <w:uiPriority w:val="10"/>
    <w:pPr>
      <w:spacing w:after="160" w:lineRule="auto" w:line="240"/>
      <w:contextualSpacing/>
    </w:pPr>
    <w:rPr>
      <w:rFonts w:ascii="Calibri" w:cs="宋体" w:eastAsia="ＭＳ ゴシック" w:hAnsi="Calibri"/>
      <w:b/>
      <w:color w:val="000000"/>
      <w:spacing w:val="5"/>
      <w:kern w:val="28"/>
      <w:sz w:val="28"/>
      <w:szCs w:val="52"/>
    </w:rPr>
  </w:style>
  <w:style w:type="character" w:customStyle="1" w:styleId="style4102">
    <w:name w:val="Title Char_eb19cace-9044-4a77-a998-6278236cad67"/>
    <w:basedOn w:val="style65"/>
    <w:next w:val="style4102"/>
    <w:link w:val="style62"/>
    <w:uiPriority w:val="10"/>
    <w:rPr>
      <w:rFonts w:ascii="Calibri" w:cs="宋体" w:eastAsia="ＭＳ ゴシック" w:hAnsi="Calibri"/>
      <w:color w:val="17365d"/>
      <w:spacing w:val="5"/>
      <w:kern w:val="28"/>
      <w:sz w:val="52"/>
      <w:szCs w:val="52"/>
    </w:rPr>
  </w:style>
  <w:style w:type="paragraph" w:styleId="style74">
    <w:name w:val="Subtitle"/>
    <w:basedOn w:val="style0"/>
    <w:next w:val="style0"/>
    <w:link w:val="style4103"/>
    <w:qFormat/>
    <w:uiPriority w:val="11"/>
    <w:pPr>
      <w:numPr>
        <w:ilvl w:val="1"/>
        <w:numId w:val="0"/>
      </w:numPr>
    </w:pPr>
    <w:rPr>
      <w:rFonts w:ascii="Calibri" w:cs="宋体" w:eastAsia="ＭＳ ゴシック" w:hAnsi="Calibri"/>
      <w:i/>
      <w:iCs/>
      <w:color w:val="4f81bd"/>
      <w:spacing w:val="15"/>
      <w:sz w:val="24"/>
      <w:szCs w:val="24"/>
    </w:rPr>
  </w:style>
  <w:style w:type="character" w:customStyle="1" w:styleId="style4103">
    <w:name w:val="Subtitle Char"/>
    <w:basedOn w:val="style65"/>
    <w:next w:val="style4103"/>
    <w:link w:val="style74"/>
    <w:uiPriority w:val="11"/>
    <w:rPr>
      <w:rFonts w:ascii="Calibri" w:cs="宋体" w:eastAsia="ＭＳ ゴシック" w:hAnsi="Calibri"/>
      <w:i/>
      <w:iCs/>
      <w:color w:val="4f81bd"/>
      <w:spacing w:val="15"/>
      <w:sz w:val="24"/>
      <w:szCs w:val="24"/>
    </w:rPr>
  </w:style>
  <w:style w:type="paragraph" w:styleId="style179">
    <w:name w:val="List Paragraph"/>
    <w:basedOn w:val="style0"/>
    <w:next w:val="style179"/>
    <w:qFormat/>
    <w:uiPriority w:val="34"/>
    <w:pPr>
      <w:ind w:left="720"/>
      <w:contextualSpacing/>
    </w:pPr>
    <w:rPr/>
  </w:style>
  <w:style w:type="paragraph" w:styleId="style66">
    <w:name w:val="Body Text"/>
    <w:basedOn w:val="style0"/>
    <w:next w:val="style66"/>
    <w:link w:val="style4104"/>
    <w:uiPriority w:val="99"/>
    <w:pPr>
      <w:spacing w:after="120"/>
    </w:pPr>
    <w:rPr/>
  </w:style>
  <w:style w:type="character" w:customStyle="1" w:styleId="style4104">
    <w:name w:val="Body Text Char"/>
    <w:basedOn w:val="style65"/>
    <w:next w:val="style4104"/>
    <w:link w:val="style66"/>
    <w:uiPriority w:val="99"/>
  </w:style>
  <w:style w:type="paragraph" w:styleId="style80">
    <w:name w:val="Body Text 2"/>
    <w:basedOn w:val="style0"/>
    <w:next w:val="style80"/>
    <w:link w:val="style4105"/>
    <w:uiPriority w:val="99"/>
    <w:pPr>
      <w:spacing w:after="120" w:lineRule="auto" w:line="480"/>
    </w:pPr>
    <w:rPr/>
  </w:style>
  <w:style w:type="character" w:customStyle="1" w:styleId="style4105">
    <w:name w:val="Body Text 2 Char"/>
    <w:basedOn w:val="style65"/>
    <w:next w:val="style4105"/>
    <w:link w:val="style80"/>
    <w:uiPriority w:val="99"/>
  </w:style>
  <w:style w:type="paragraph" w:styleId="style81">
    <w:name w:val="Body Text 3"/>
    <w:basedOn w:val="style0"/>
    <w:next w:val="style81"/>
    <w:link w:val="style4106"/>
    <w:uiPriority w:val="99"/>
    <w:pPr>
      <w:spacing w:after="120"/>
    </w:pPr>
    <w:rPr>
      <w:sz w:val="16"/>
      <w:szCs w:val="16"/>
    </w:rPr>
  </w:style>
  <w:style w:type="character" w:customStyle="1" w:styleId="style4106">
    <w:name w:val="Body Text 3 Char"/>
    <w:basedOn w:val="style65"/>
    <w:next w:val="style4106"/>
    <w:link w:val="style81"/>
    <w:uiPriority w:val="99"/>
    <w:rPr>
      <w:sz w:val="16"/>
      <w:szCs w:val="16"/>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68">
    <w:name w:val="List Continue"/>
    <w:basedOn w:val="style0"/>
    <w:next w:val="style68"/>
    <w:uiPriority w:val="99"/>
    <w:pPr>
      <w:spacing w:after="120"/>
      <w:ind w:left="360"/>
      <w:contextualSpacing/>
    </w:pPr>
    <w:rPr/>
  </w:style>
  <w:style w:type="paragraph" w:styleId="style69">
    <w:name w:val="List Continue 2"/>
    <w:basedOn w:val="style0"/>
    <w:next w:val="style69"/>
    <w:uiPriority w:val="99"/>
    <w:pPr>
      <w:spacing w:after="120"/>
      <w:ind w:left="720"/>
      <w:contextualSpacing/>
    </w:pPr>
    <w:rPr/>
  </w:style>
  <w:style w:type="paragraph" w:styleId="style70">
    <w:name w:val="List Continue 3"/>
    <w:basedOn w:val="style0"/>
    <w:next w:val="style70"/>
    <w:uiPriority w:val="99"/>
    <w:pPr>
      <w:spacing w:after="120"/>
      <w:ind w:left="1080"/>
      <w:contextualSpacing/>
    </w:pPr>
    <w:rPr/>
  </w:style>
  <w:style w:type="paragraph" w:styleId="style45">
    <w:name w:val="macro"/>
    <w:next w:val="style45"/>
    <w:link w:val="style4107"/>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szCs w:val="20"/>
    </w:rPr>
  </w:style>
  <w:style w:type="character" w:customStyle="1" w:styleId="style4107">
    <w:name w:val="Macro Text Char"/>
    <w:basedOn w:val="style65"/>
    <w:next w:val="style4107"/>
    <w:link w:val="style45"/>
    <w:uiPriority w:val="99"/>
    <w:rPr>
      <w:rFonts w:ascii="Courier" w:hAnsi="Courier"/>
      <w:sz w:val="20"/>
      <w:szCs w:val="20"/>
    </w:rPr>
  </w:style>
  <w:style w:type="paragraph" w:styleId="style180">
    <w:name w:val="Quote"/>
    <w:basedOn w:val="style0"/>
    <w:next w:val="style0"/>
    <w:link w:val="style4108"/>
    <w:qFormat/>
    <w:uiPriority w:val="29"/>
    <w:pPr/>
    <w:rPr>
      <w:i/>
      <w:iCs/>
      <w:color w:val="000000"/>
    </w:rPr>
  </w:style>
  <w:style w:type="character" w:customStyle="1" w:styleId="style4108">
    <w:name w:val="Quote Char_0f795d54-c978-4db9-ace6-4e38a8107bbb"/>
    <w:basedOn w:val="style65"/>
    <w:next w:val="style4108"/>
    <w:link w:val="style180"/>
    <w:uiPriority w:val="29"/>
    <w:rPr>
      <w:i/>
      <w:iCs/>
      <w:color w:val="000000"/>
    </w:rPr>
  </w:style>
  <w:style w:type="character" w:customStyle="1" w:styleId="style4109">
    <w:name w:val="Heading 4 Char_b4fec74a-61c5-4b2c-9137-27ce3eec16b4"/>
    <w:basedOn w:val="style65"/>
    <w:next w:val="style4109"/>
    <w:link w:val="style4"/>
    <w:uiPriority w:val="9"/>
    <w:rPr>
      <w:rFonts w:ascii="Calibri" w:cs="宋体" w:eastAsia="ＭＳ ゴシック" w:hAnsi="Calibri"/>
      <w:b/>
      <w:bCs/>
      <w:i/>
      <w:iCs/>
      <w:color w:val="4f81bd"/>
    </w:rPr>
  </w:style>
  <w:style w:type="character" w:customStyle="1" w:styleId="style4110">
    <w:name w:val="Heading 5 Char_d53c102c-c132-4702-abbc-7b0fb2824c14"/>
    <w:basedOn w:val="style65"/>
    <w:next w:val="style4110"/>
    <w:link w:val="style5"/>
    <w:uiPriority w:val="9"/>
    <w:rPr>
      <w:rFonts w:ascii="Calibri" w:cs="宋体" w:eastAsia="ＭＳ ゴシック" w:hAnsi="Calibri"/>
      <w:color w:val="243f60"/>
    </w:rPr>
  </w:style>
  <w:style w:type="character" w:customStyle="1" w:styleId="style4111">
    <w:name w:val="Heading 6 Char_c993be0d-2512-46d3-86be-66161c78a1d0"/>
    <w:basedOn w:val="style65"/>
    <w:next w:val="style4111"/>
    <w:link w:val="style6"/>
    <w:uiPriority w:val="9"/>
    <w:rPr>
      <w:rFonts w:ascii="Calibri" w:cs="宋体" w:eastAsia="ＭＳ ゴシック" w:hAnsi="Calibri"/>
      <w:i/>
      <w:iCs/>
      <w:color w:val="243f60"/>
    </w:rPr>
  </w:style>
  <w:style w:type="character" w:customStyle="1" w:styleId="style4112">
    <w:name w:val="Heading 7 Char_3950b6f2-bc95-4244-a864-dbac4b7e6fd4"/>
    <w:basedOn w:val="style65"/>
    <w:next w:val="style4112"/>
    <w:link w:val="style7"/>
    <w:uiPriority w:val="9"/>
    <w:rPr>
      <w:rFonts w:ascii="Calibri" w:cs="宋体" w:eastAsia="ＭＳ ゴシック" w:hAnsi="Calibri"/>
      <w:i/>
      <w:iCs/>
      <w:color w:val="404040"/>
    </w:rPr>
  </w:style>
  <w:style w:type="character" w:customStyle="1" w:styleId="style4113">
    <w:name w:val="Heading 8 Char_8a0c7b7a-a738-4912-b925-943991b809ad"/>
    <w:basedOn w:val="style65"/>
    <w:next w:val="style4113"/>
    <w:link w:val="style8"/>
    <w:uiPriority w:val="9"/>
    <w:rPr>
      <w:rFonts w:ascii="Calibri" w:cs="宋体" w:eastAsia="ＭＳ ゴシック" w:hAnsi="Calibri"/>
      <w:color w:val="4f81bd"/>
      <w:sz w:val="20"/>
      <w:szCs w:val="20"/>
    </w:rPr>
  </w:style>
  <w:style w:type="character" w:customStyle="1" w:styleId="style4114">
    <w:name w:val="Heading 9 Char_aeb7c9d2-9645-438d-98b8-52291bc5bd54"/>
    <w:basedOn w:val="style65"/>
    <w:next w:val="style4114"/>
    <w:link w:val="style9"/>
    <w:uiPriority w:val="9"/>
    <w:rPr>
      <w:rFonts w:ascii="Calibri" w:cs="宋体" w:eastAsia="ＭＳ ゴシック" w:hAnsi="Calibri"/>
      <w:i/>
      <w:iCs/>
      <w:color w:val="404040"/>
      <w:sz w:val="20"/>
      <w:szCs w:val="20"/>
    </w:rPr>
  </w:style>
  <w:style w:type="paragraph" w:styleId="style34">
    <w:name w:val="caption"/>
    <w:basedOn w:val="style0"/>
    <w:next w:val="style0"/>
    <w:qFormat/>
    <w:uiPriority w:val="35"/>
    <w:pPr>
      <w:spacing w:lineRule="auto" w:line="240"/>
    </w:pPr>
    <w:rPr>
      <w:b/>
      <w:bCs/>
      <w:color w:val="4f81bd"/>
      <w:sz w:val="18"/>
      <w:szCs w:val="18"/>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181">
    <w:name w:val="Intense Quote"/>
    <w:basedOn w:val="style0"/>
    <w:next w:val="style0"/>
    <w:link w:val="style4115"/>
    <w:qFormat/>
    <w:uiPriority w:val="30"/>
    <w:pPr>
      <w:pBdr>
        <w:bottom w:val="single" w:sz="4" w:space="4" w:color="4f81bd"/>
      </w:pBdr>
      <w:spacing w:before="200" w:after="280"/>
      <w:ind w:left="936" w:right="936"/>
    </w:pPr>
    <w:rPr>
      <w:b/>
      <w:bCs/>
      <w:i/>
      <w:iCs/>
      <w:color w:val="4f81bd"/>
    </w:rPr>
  </w:style>
  <w:style w:type="character" w:customStyle="1" w:styleId="style4115">
    <w:name w:val="Intense Quote Char_abefdbd3-5537-43aa-8aa4-5a3433729e0a"/>
    <w:basedOn w:val="style65"/>
    <w:next w:val="style4115"/>
    <w:link w:val="style181"/>
    <w:uiPriority w:val="30"/>
    <w:rPr>
      <w:b/>
      <w:bCs/>
      <w:i/>
      <w:iCs/>
      <w:color w:val="4f81bd"/>
    </w:rPr>
  </w:style>
  <w:style w:type="character" w:styleId="style260">
    <w:name w:val="Subtle Emphasis"/>
    <w:basedOn w:val="style65"/>
    <w:next w:val="style260"/>
    <w:qFormat/>
    <w:uiPriority w:val="19"/>
    <w:rPr>
      <w:i/>
      <w:iCs/>
      <w:color w:val="808080"/>
    </w:rPr>
  </w:style>
  <w:style w:type="character" w:styleId="style261">
    <w:name w:val="Intense Emphasis"/>
    <w:basedOn w:val="style65"/>
    <w:next w:val="style261"/>
    <w:qFormat/>
    <w:uiPriority w:val="21"/>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styleId="style266">
    <w:name w:val="TOC Heading"/>
    <w:basedOn w:val="style1"/>
    <w:next w:val="style0"/>
    <w:qFormat/>
    <w:uiPriority w:val="39"/>
    <w:pPr>
      <w:outlineLvl w:val="9"/>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styleId="style158">
    <w:name w:val="Light Shading"/>
    <w:basedOn w:val="style105"/>
    <w:next w:val="style158"/>
    <w:uiPriority w:val="60"/>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spacing w:after="0" w:lineRule="auto" w:line="240"/>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spacing w:after="0" w:lineRule="auto" w:line="240"/>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band1Horz">
      <w:pPr/>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spacing w:after="0" w:lineRule="auto" w:line="240"/>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spacing w:after="0" w:lineRule="auto" w:line="240"/>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spacing w:after="0" w:lineRule="auto" w:line="240"/>
    </w:pPr>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band1Horz">
      <w:pPr/>
      <w:tblPr/>
      <w:tcPr>
        <w:tcBorders>
          <w:left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spacing w:after="0" w:lineRule="auto" w:line="240"/>
    </w:pPr>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styleId="style159">
    <w:name w:val="Light List"/>
    <w:basedOn w:val="style105"/>
    <w:next w:val="style159"/>
    <w:uiPriority w:val="61"/>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Rule="auto" w:line="240"/>
      </w:pPr>
      <w:rPr>
        <w:rFonts w:ascii="Calibri" w:cs="宋体" w:eastAsia="ＭＳ ゴシック" w:hAnsi="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Rule="auto" w:line="240"/>
      </w:pPr>
      <w:rPr>
        <w:rFonts w:ascii="Calibri" w:cs="宋体" w:eastAsia="ＭＳ ゴシック" w:hAnsi="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4f81b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Rule="auto" w:line="240"/>
      </w:pPr>
      <w:rPr>
        <w:rFonts w:ascii="Calibri" w:cs="宋体" w:eastAsia="ＭＳ ゴシック" w:hAnsi="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c0504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Rule="auto" w:line="240"/>
      </w:pPr>
      <w:rPr>
        <w:rFonts w:ascii="Calibri" w:cs="宋体" w:eastAsia="ＭＳ ゴシック" w:hAnsi="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9bbb59"/>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Rule="auto" w:line="240"/>
      </w:pPr>
      <w:rPr>
        <w:rFonts w:ascii="Calibri" w:cs="宋体" w:eastAsia="ＭＳ ゴシック" w:hAnsi="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8064a2"/>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Rule="auto" w:line="240"/>
      </w:pPr>
      <w:rPr>
        <w:rFonts w:ascii="Calibri" w:cs="宋体" w:eastAsia="ＭＳ ゴシック" w:hAnsi="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4bacc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Rule="auto" w:line="240"/>
      </w:pPr>
      <w:rPr>
        <w:rFonts w:ascii="Calibri" w:cs="宋体" w:eastAsia="ＭＳ ゴシック" w:hAnsi="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f7964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cPr>
        <w:tcBorders>
          <w:left w:val="nil"/>
          <w:right w:val="nil"/>
          <w:insideH w:val="nil"/>
          <w:insideV w:val="nil"/>
        </w:tcBorders>
        <w:shd w:val="clear" w:color="auto" w:fill="000000"/>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76">
    <w:name w:val="Medium Shading 2 Accent 1"/>
    <w:basedOn w:val="style105"/>
    <w:next w:val="style17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cPr>
        <w:tcBorders>
          <w:left w:val="nil"/>
          <w:right w:val="nil"/>
          <w:insideH w:val="nil"/>
          <w:insideV w:val="nil"/>
        </w:tcBorders>
        <w:shd w:val="clear" w:color="auto" w:fill="4f81b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cPr>
        <w:tcBorders>
          <w:left w:val="nil"/>
          <w:right w:val="nil"/>
          <w:insideH w:val="nil"/>
          <w:insideV w:val="nil"/>
        </w:tcBorders>
        <w:shd w:val="clear" w:color="auto" w:fill="c0504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cPr>
        <w:tcBorders>
          <w:left w:val="nil"/>
          <w:right w:val="nil"/>
          <w:insideH w:val="nil"/>
          <w:insideV w:val="nil"/>
        </w:tcBorders>
        <w:shd w:val="clear" w:color="auto" w:fill="9bbb59"/>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cPr>
        <w:tcBorders>
          <w:left w:val="nil"/>
          <w:right w:val="nil"/>
          <w:insideH w:val="nil"/>
          <w:insideV w:val="nil"/>
        </w:tcBorders>
        <w:shd w:val="clear" w:color="auto" w:fill="8064a2"/>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cPr>
        <w:tcBorders>
          <w:left w:val="nil"/>
          <w:right w:val="nil"/>
          <w:insideH w:val="nil"/>
          <w:insideV w:val="nil"/>
        </w:tcBorders>
        <w:shd w:val="clear" w:color="auto" w:fill="f7964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63">
    <w:name w:val="Medium List 1"/>
    <w:basedOn w:val="style105"/>
    <w:next w:val="style163"/>
    <w:uiPriority w:val="65"/>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000000"/>
        </w:tcBorders>
      </w:tcPr>
    </w:tblStylePr>
    <w:tblStylePr w:type="lastRow">
      <w:pPr/>
      <w:rPr>
        <w:b/>
        <w:bCs/>
        <w:color w:val="1f497d"/>
      </w:rPr>
      <w:tblPr/>
      <w:tcPr>
        <w:tcBorders>
          <w:top w:val="single" w:sz="8" w:space="0" w:color="000000"/>
          <w:bottom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bottom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spacing w:after="0" w:lineRule="auto" w:line="240"/>
    </w:pPr>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f81bd"/>
        </w:tcBorders>
      </w:tcPr>
    </w:tblStylePr>
    <w:tblStylePr w:type="lastRow">
      <w:pPr/>
      <w:rPr>
        <w:b/>
        <w:bCs/>
        <w:color w:val="1f497d"/>
      </w:rPr>
      <w:tblPr/>
      <w:tcPr>
        <w:tcBorders>
          <w:top w:val="single" w:sz="8" w:space="0" w:color="4f81bd"/>
          <w:bottom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bottom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spacing w:after="0" w:lineRule="auto" w:line="240"/>
    </w:pPr>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c0504d"/>
        </w:tcBorders>
      </w:tcPr>
    </w:tblStylePr>
    <w:tblStylePr w:type="lastRow">
      <w:pPr/>
      <w:rPr>
        <w:b/>
        <w:bCs/>
        <w:color w:val="1f497d"/>
      </w:rPr>
      <w:tblPr/>
      <w:tcPr>
        <w:tcBorders>
          <w:top w:val="single" w:sz="8" w:space="0" w:color="c0504d"/>
          <w:bottom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bottom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spacing w:after="0" w:lineRule="auto" w:line="240"/>
    </w:pPr>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9bbb59"/>
        </w:tcBorders>
      </w:tcPr>
    </w:tblStylePr>
    <w:tblStylePr w:type="lastRow">
      <w:pPr/>
      <w:rPr>
        <w:b/>
        <w:bCs/>
        <w:color w:val="1f497d"/>
      </w:rPr>
      <w:tblPr/>
      <w:tcPr>
        <w:tcBorders>
          <w:top w:val="single" w:sz="8" w:space="0" w:color="9bbb59"/>
          <w:bottom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bottom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spacing w:after="0" w:lineRule="auto" w:line="240"/>
    </w:pPr>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8064a2"/>
        </w:tcBorders>
      </w:tcPr>
    </w:tblStylePr>
    <w:tblStylePr w:type="lastRow">
      <w:pPr/>
      <w:rPr>
        <w:b/>
        <w:bCs/>
        <w:color w:val="1f497d"/>
      </w:rPr>
      <w:tblPr/>
      <w:tcPr>
        <w:tcBorders>
          <w:top w:val="single" w:sz="8" w:space="0" w:color="8064a2"/>
          <w:bottom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bottom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spacing w:after="0" w:lineRule="auto" w:line="240"/>
    </w:pPr>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bacc6"/>
        </w:tcBorders>
      </w:tcPr>
    </w:tblStylePr>
    <w:tblStylePr w:type="lastRow">
      <w:pPr/>
      <w:rPr>
        <w:b/>
        <w:bCs/>
        <w:color w:val="1f497d"/>
      </w:rPr>
      <w:tblPr/>
      <w:tcPr>
        <w:tcBorders>
          <w:top w:val="single" w:sz="8" w:space="0" w:color="4bacc6"/>
          <w:bottom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bottom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spacing w:after="0" w:lineRule="auto" w:line="240"/>
    </w:pPr>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000000"/>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single" w:sz="8" w:space="0" w:color="000000"/>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c0504d"/>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single" w:sz="8" w:space="0" w:color="c0504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9bbb59"/>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single" w:sz="8" w:space="0" w:color="9bbb59"/>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8064a2"/>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single" w:sz="8" w:space="0" w:color="8064a2"/>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f79646"/>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single" w:sz="8" w:space="0" w:color="f7964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CellMar>
        <w:top w:w="0" w:type="dxa"/>
        <w:left w:w="108" w:type="dxa"/>
        <w:bottom w:w="0" w:type="dxa"/>
        <w:right w:w="108" w:type="dxa"/>
      </w:tblCellMar>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000000"/>
          <w:insideV w:val="single" w:sz="6" w:space="0" w:color="000000"/>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CellMar>
        <w:top w:w="0" w:type="dxa"/>
        <w:left w:w="108" w:type="dxa"/>
        <w:bottom w:w="0" w:type="dxa"/>
        <w:right w:w="108" w:type="dxa"/>
      </w:tblCellMar>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f81bd"/>
          <w:insideV w:val="single" w:sz="6" w:space="0" w:color="4f81bd"/>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CellMar>
        <w:top w:w="0" w:type="dxa"/>
        <w:left w:w="108" w:type="dxa"/>
        <w:bottom w:w="0" w:type="dxa"/>
        <w:right w:w="108" w:type="dxa"/>
      </w:tblCellMar>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c0504d"/>
          <w:insideV w:val="single" w:sz="6" w:space="0" w:color="c0504d"/>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CellMar>
        <w:top w:w="0" w:type="dxa"/>
        <w:left w:w="108" w:type="dxa"/>
        <w:bottom w:w="0" w:type="dxa"/>
        <w:right w:w="108" w:type="dxa"/>
      </w:tblCellMar>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9bbb59"/>
          <w:insideV w:val="single" w:sz="6" w:space="0" w:color="9bbb59"/>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CellMar>
        <w:top w:w="0" w:type="dxa"/>
        <w:left w:w="108" w:type="dxa"/>
        <w:bottom w:w="0" w:type="dxa"/>
        <w:right w:w="108" w:type="dxa"/>
      </w:tblCellMar>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8064a2"/>
          <w:insideV w:val="single" w:sz="6" w:space="0" w:color="8064a2"/>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CellMar>
        <w:top w:w="0" w:type="dxa"/>
        <w:left w:w="108" w:type="dxa"/>
        <w:bottom w:w="0" w:type="dxa"/>
        <w:right w:w="108" w:type="dxa"/>
      </w:tblCellMar>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bacc6"/>
          <w:insideV w:val="single" w:sz="6" w:space="0" w:color="4bacc6"/>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CellMar>
        <w:top w:w="0" w:type="dxa"/>
        <w:left w:w="108" w:type="dxa"/>
        <w:bottom w:w="0" w:type="dxa"/>
        <w:right w:w="108" w:type="dxa"/>
      </w:tblCellMar>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f79646"/>
          <w:insideV w:val="single" w:sz="6" w:space="0" w:color="f79646"/>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spacing w:after="0" w:lineRule="auto" w:line="240"/>
    </w:pPr>
    <w:rPr>
      <w:color w:val="ffffff"/>
    </w:rPr>
    <w:tblPr>
      <w:tblStyleRowBandSize w:val="1"/>
      <w:tblStyleColBandSize w:val="1"/>
      <w:tblInd w:w="0" w:type="dxa"/>
      <w:shd w:val="clear" w:color="auto" w:fill="000000"/>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single" w:sz="18" w:space="0" w:color="ffffff"/>
          <w:bottom w:val="nil"/>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spacing w:after="0" w:lineRule="auto" w:line="240"/>
    </w:pPr>
    <w:rPr>
      <w:color w:val="ffffff"/>
    </w:rPr>
    <w:tblPr>
      <w:tblStyleRowBandSize w:val="1"/>
      <w:tblStyleColBandSize w:val="1"/>
      <w:tblInd w:w="0" w:type="dxa"/>
      <w:shd w:val="clear" w:color="auto" w:fill="4f81b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single" w:sz="18" w:space="0" w:color="ffffff"/>
          <w:bottom w:val="nil"/>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spacing w:after="0" w:lineRule="auto" w:line="240"/>
    </w:pPr>
    <w:rPr>
      <w:color w:val="ffffff"/>
    </w:rPr>
    <w:tblPr>
      <w:tblStyleRowBandSize w:val="1"/>
      <w:tblStyleColBandSize w:val="1"/>
      <w:tblInd w:w="0" w:type="dxa"/>
      <w:shd w:val="clear" w:color="auto" w:fill="c0504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single" w:sz="18" w:space="0" w:color="ffffff"/>
          <w:bottom w:val="nil"/>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spacing w:after="0" w:lineRule="auto" w:line="240"/>
    </w:pPr>
    <w:rPr>
      <w:color w:val="ffffff"/>
    </w:rPr>
    <w:tblPr>
      <w:tblStyleRowBandSize w:val="1"/>
      <w:tblStyleColBandSize w:val="1"/>
      <w:tblInd w:w="0" w:type="dxa"/>
      <w:shd w:val="clear" w:color="auto" w:fill="9bbb59"/>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single" w:sz="18" w:space="0" w:color="ffffff"/>
          <w:bottom w:val="nil"/>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spacing w:after="0" w:lineRule="auto" w:line="240"/>
    </w:pPr>
    <w:rPr>
      <w:color w:val="ffffff"/>
    </w:rPr>
    <w:tblPr>
      <w:tblStyleRowBandSize w:val="1"/>
      <w:tblStyleColBandSize w:val="1"/>
      <w:tblInd w:w="0" w:type="dxa"/>
      <w:shd w:val="clear" w:color="auto" w:fill="8064a2"/>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single" w:sz="18" w:space="0" w:color="ffffff"/>
          <w:bottom w:val="nil"/>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spacing w:after="0" w:lineRule="auto" w:line="240"/>
    </w:pPr>
    <w:rPr>
      <w:color w:val="ffffff"/>
    </w:rPr>
    <w:tblPr>
      <w:tblStyleRowBandSize w:val="1"/>
      <w:tblStyleColBandSize w:val="1"/>
      <w:tblInd w:w="0" w:type="dxa"/>
      <w:shd w:val="clear" w:color="auto" w:fill="4bacc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single" w:sz="18" w:space="0" w:color="ffffff"/>
          <w:bottom w:val="nil"/>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spacing w:after="0" w:lineRule="auto" w:line="240"/>
    </w:pPr>
    <w:rPr>
      <w:color w:val="ffffff"/>
    </w:rPr>
    <w:tblPr>
      <w:tblStyleRowBandSize w:val="1"/>
      <w:tblStyleColBandSize w:val="1"/>
      <w:tblInd w:w="0" w:type="dxa"/>
      <w:shd w:val="clear" w:color="auto" w:fill="f7964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single" w:sz="18" w:space="0" w:color="ffffff"/>
          <w:bottom w:val="nil"/>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spacing w:after="0" w:lineRule="auto" w:line="240"/>
    </w:pPr>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000000"/>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spacing w:after="0" w:lineRule="auto" w:line="240"/>
    </w:pPr>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2c4c74"/>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spacing w:after="0" w:lineRule="auto" w:line="240"/>
    </w:pPr>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772c2a"/>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spacing w:after="0" w:lineRule="auto" w:line="240"/>
    </w:pPr>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CellMar>
        <w:top w:w="0" w:type="dxa"/>
        <w:left w:w="108" w:type="dxa"/>
        <w:bottom w:w="0" w:type="dxa"/>
        <w:right w:w="108" w:type="dxa"/>
      </w:tblCellMar>
    </w:tblPr>
    <w:tblStylePr w:type="firstRow">
      <w:pPr/>
      <w:rPr>
        <w:b/>
        <w:bCs/>
      </w:rPr>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5e7530"/>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spacing w:after="0" w:lineRule="auto" w:line="240"/>
    </w:pPr>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CellMar>
        <w:top w:w="0" w:type="dxa"/>
        <w:left w:w="108" w:type="dxa"/>
        <w:bottom w:w="0" w:type="dxa"/>
        <w:right w:w="108" w:type="dxa"/>
      </w:tblCellMar>
    </w:tblPr>
    <w:tblStylePr w:type="firstRow">
      <w:pPr/>
      <w:rPr>
        <w:b/>
        <w:bCs/>
      </w:rPr>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4c3b62"/>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spacing w:after="0" w:lineRule="auto" w:line="240"/>
    </w:pPr>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CellMar>
        <w:top w:w="0" w:type="dxa"/>
        <w:left w:w="108" w:type="dxa"/>
        <w:bottom w:w="0" w:type="dxa"/>
        <w:right w:w="108" w:type="dxa"/>
      </w:tblCellMar>
    </w:tblPr>
    <w:tblStylePr w:type="firstRow">
      <w:pPr/>
      <w:rPr>
        <w:b/>
        <w:bCs/>
      </w:rPr>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276a7c"/>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spacing w:after="0" w:lineRule="auto" w:line="240"/>
    </w:pPr>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CellMar>
        <w:top w:w="0" w:type="dxa"/>
        <w:left w:w="108" w:type="dxa"/>
        <w:bottom w:w="0" w:type="dxa"/>
        <w:right w:w="108" w:type="dxa"/>
      </w:tblCellMar>
    </w:tblPr>
    <w:tblStylePr w:type="firstRow">
      <w:pPr/>
      <w:rPr>
        <w:b/>
        <w:bCs/>
      </w:rPr>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b65608"/>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spacing w:after="0" w:lineRule="auto" w:line="240"/>
    </w:pPr>
    <w:rPr>
      <w:color w:val="000000"/>
    </w:rPr>
    <w:tblPr>
      <w:tblStyleRowBandSize w:val="1"/>
      <w:tblStyleColBandSize w:val="1"/>
      <w:tblInd w:w="0" w:type="dxa"/>
      <w:shd w:val="clear" w:color="auto" w:fill="e6e6e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spacing w:after="0" w:lineRule="auto" w:line="240"/>
    </w:pPr>
    <w:rPr>
      <w:color w:val="000000"/>
    </w:rPr>
    <w:tblPr>
      <w:tblStyleRowBandSize w:val="1"/>
      <w:tblStyleColBandSize w:val="1"/>
      <w:tblInd w:w="0" w:type="dxa"/>
      <w:shd w:val="clear" w:color="auto" w:fill="edf2f8"/>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spacing w:after="0" w:lineRule="auto" w:line="240"/>
    </w:pPr>
    <w:rPr>
      <w:color w:val="000000"/>
    </w:rPr>
    <w:tblPr>
      <w:tblStyleRowBandSize w:val="1"/>
      <w:tblStyleColBandSize w:val="1"/>
      <w:tblInd w:w="0" w:type="dxa"/>
      <w:shd w:val="clear" w:color="auto" w:fill="f8eded"/>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spacing w:after="0" w:lineRule="auto" w:line="240"/>
    </w:pPr>
    <w:rPr>
      <w:color w:val="000000"/>
    </w:rPr>
    <w:tblPr>
      <w:tblStyleRowBandSize w:val="1"/>
      <w:tblStyleColBandSize w:val="1"/>
      <w:tblInd w:w="0" w:type="dxa"/>
      <w:shd w:val="clear" w:color="auto" w:fill="f5f8ee"/>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spacing w:after="0" w:lineRule="auto" w:line="240"/>
    </w:pPr>
    <w:rPr>
      <w:color w:val="000000"/>
    </w:rPr>
    <w:tblPr>
      <w:tblStyleRowBandSize w:val="1"/>
      <w:tblStyleColBandSize w:val="1"/>
      <w:tblInd w:w="0" w:type="dxa"/>
      <w:shd w:val="clear" w:color="auto" w:fill="f2eff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spacing w:after="0" w:lineRule="auto" w:line="240"/>
    </w:pPr>
    <w:rPr>
      <w:color w:val="000000"/>
    </w:rPr>
    <w:tblPr>
      <w:tblStyleRowBandSize w:val="1"/>
      <w:tblStyleColBandSize w:val="1"/>
      <w:tblInd w:w="0" w:type="dxa"/>
      <w:shd w:val="clear" w:color="auto" w:fill="edf6f9"/>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spacing w:after="0" w:lineRule="auto" w:line="240"/>
    </w:pPr>
    <w:rPr>
      <w:color w:val="000000"/>
    </w:rPr>
    <w:tblPr>
      <w:tblStyleRowBandSize w:val="1"/>
      <w:tblStyleColBandSize w:val="1"/>
      <w:tblInd w:w="0" w:type="dxa"/>
      <w:shd w:val="clear" w:color="auto" w:fill="fef4ec"/>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cccccc"/>
      <w:tblCellMar>
        <w:top w:w="0" w:type="dxa"/>
        <w:left w:w="108" w:type="dxa"/>
        <w:bottom w:w="0" w:type="dxa"/>
        <w:right w:w="108" w:type="dxa"/>
      </w:tblCellMar>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be5f1"/>
      <w:tblCellMar>
        <w:top w:w="0" w:type="dxa"/>
        <w:left w:w="108" w:type="dxa"/>
        <w:bottom w:w="0" w:type="dxa"/>
        <w:right w:w="108" w:type="dxa"/>
      </w:tblCellMar>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2dbdb"/>
      <w:tblCellMar>
        <w:top w:w="0" w:type="dxa"/>
        <w:left w:w="108" w:type="dxa"/>
        <w:bottom w:w="0" w:type="dxa"/>
        <w:right w:w="108" w:type="dxa"/>
      </w:tblCellMar>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af1dd"/>
      <w:tblCellMar>
        <w:top w:w="0" w:type="dxa"/>
        <w:left w:w="108" w:type="dxa"/>
        <w:bottom w:w="0" w:type="dxa"/>
        <w:right w:w="108" w:type="dxa"/>
      </w:tblCellMar>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5dfec"/>
      <w:tblCellMar>
        <w:top w:w="0" w:type="dxa"/>
        <w:left w:w="108" w:type="dxa"/>
        <w:bottom w:w="0" w:type="dxa"/>
        <w:right w:w="108" w:type="dxa"/>
      </w:tblCellMar>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aeef3"/>
      <w:tblCellMar>
        <w:top w:w="0" w:type="dxa"/>
        <w:left w:w="108" w:type="dxa"/>
        <w:bottom w:w="0" w:type="dxa"/>
        <w:right w:w="108" w:type="dxa"/>
      </w:tblCellMar>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de9d9"/>
      <w:tblCellMar>
        <w:top w:w="0" w:type="dxa"/>
        <w:left w:w="108" w:type="dxa"/>
        <w:bottom w:w="0" w:type="dxa"/>
        <w:right w:w="108" w:type="dxa"/>
      </w:tblCellMar>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680</Words>
  <Pages>1</Pages>
  <Characters>4708</Characters>
  <Application>WPS Office</Application>
  <DocSecurity>0</DocSecurity>
  <Paragraphs>53</Paragraphs>
  <ScaleCrop>false</ScaleCrop>
  <LinksUpToDate>false</LinksUpToDate>
  <CharactersWithSpaces>5339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2013-12-23T23:15:00Z</dcterms:created>
  <dc:creator>WPS Office</dc:creator>
  <lastModifiedBy>SM-F966B</lastModifiedBy>
  <dcterms:modified xsi:type="dcterms:W3CDTF">2026-09-30T07:12:12Z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0a41f501e3d548e9b36ef63f55329318_23</vt:lpwstr>
  </property>
</Properties>
</file>