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43CE" w14:textId="77777777" w:rsidR="00AA2608" w:rsidRPr="00D40CD9" w:rsidRDefault="00AA2608" w:rsidP="00AA2608">
      <w:pPr>
        <w:spacing w:before="150" w:after="100"/>
        <w:jc w:val="both"/>
        <w:rPr>
          <w:color w:val="000000" w:themeColor="text1"/>
        </w:rPr>
      </w:pPr>
      <w:r w:rsidRPr="00D40CD9">
        <w:rPr>
          <w:b/>
          <w:bCs/>
          <w:color w:val="000000" w:themeColor="text1"/>
        </w:rPr>
        <w:t>Table 1. Baseline Characteristics and Procedural Parameters (N = 69)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3500"/>
      </w:tblGrid>
      <w:tr w:rsidR="00AA2608" w:rsidRPr="00D40CD9" w14:paraId="4C16D017" w14:textId="77777777" w:rsidTr="00853105">
        <w:trPr>
          <w:jc w:val="center"/>
        </w:trPr>
        <w:tc>
          <w:tcPr>
            <w:tcW w:w="5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C03C2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3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92615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Mean ± SD / n (%)</w:t>
            </w:r>
          </w:p>
        </w:tc>
      </w:tr>
      <w:tr w:rsidR="00AA2608" w:rsidRPr="00D40CD9" w14:paraId="107BF60B" w14:textId="77777777" w:rsidTr="00853105">
        <w:trPr>
          <w:jc w:val="center"/>
        </w:trPr>
        <w:tc>
          <w:tcPr>
            <w:tcW w:w="5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9E1BE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Patient Characteristics</w:t>
            </w:r>
          </w:p>
        </w:tc>
        <w:tc>
          <w:tcPr>
            <w:tcW w:w="3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5F245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</w:p>
        </w:tc>
      </w:tr>
      <w:tr w:rsidR="00AA2608" w:rsidRPr="00D40CD9" w14:paraId="542CDE72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AC794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Age (years)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772D4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70.8 ± 8.1</w:t>
            </w:r>
          </w:p>
        </w:tc>
      </w:tr>
      <w:tr w:rsidR="00AA2608" w:rsidRPr="00D40CD9" w14:paraId="6FC12D1C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E946D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Prostate volume (mL)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111B5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77.2 ± 30.7</w:t>
            </w:r>
          </w:p>
        </w:tc>
      </w:tr>
      <w:tr w:rsidR="00AA2608" w:rsidRPr="00D40CD9" w14:paraId="7953DE14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C7BA3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Post-void residual urine volume (mL)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00EC7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43.7 ± 42.0</w:t>
            </w:r>
          </w:p>
        </w:tc>
      </w:tr>
      <w:tr w:rsidR="00AA2608" w:rsidRPr="00D40CD9" w14:paraId="0CB451C5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B93C9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Total PSA (ng/mL)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15CDD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12.3 ± 15.6</w:t>
            </w:r>
          </w:p>
        </w:tc>
      </w:tr>
      <w:tr w:rsidR="00AA2608" w:rsidRPr="00D40CD9" w14:paraId="62436E8C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1B0FA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IPSS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F72C9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22.2 ± 7.0</w:t>
            </w:r>
          </w:p>
        </w:tc>
      </w:tr>
      <w:tr w:rsidR="00AA2608" w:rsidRPr="00D40CD9" w14:paraId="348EE988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4CF6B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QoL score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61E8C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4.0 ± 0.7</w:t>
            </w:r>
          </w:p>
        </w:tc>
      </w:tr>
      <w:tr w:rsidR="00AA2608" w:rsidRPr="00D40CD9" w14:paraId="31AB87D4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1C5DE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IIEF score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0D014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8.6 ± 4.8</w:t>
            </w:r>
          </w:p>
        </w:tc>
      </w:tr>
      <w:tr w:rsidR="00AA2608" w:rsidRPr="00D40CD9" w14:paraId="54633E27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68D89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Acute urinary retention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0791D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19 (27.54%)</w:t>
            </w:r>
          </w:p>
        </w:tc>
      </w:tr>
      <w:tr w:rsidR="00AA2608" w:rsidRPr="00D40CD9" w14:paraId="3FE5A828" w14:textId="77777777" w:rsidTr="00853105">
        <w:trPr>
          <w:jc w:val="center"/>
        </w:trPr>
        <w:tc>
          <w:tcPr>
            <w:tcW w:w="5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4384E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b/>
                <w:bCs/>
                <w:color w:val="000000" w:themeColor="text1"/>
              </w:rPr>
              <w:t>Procedural Parameters</w:t>
            </w:r>
          </w:p>
        </w:tc>
        <w:tc>
          <w:tcPr>
            <w:tcW w:w="3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0F5E3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</w:p>
        </w:tc>
      </w:tr>
      <w:tr w:rsidR="00AA2608" w:rsidRPr="00D40CD9" w14:paraId="6813DB17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0E431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Intervention time (minutes)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F1560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74.5 ± 24.0</w:t>
            </w:r>
          </w:p>
        </w:tc>
      </w:tr>
      <w:tr w:rsidR="00AA2608" w:rsidRPr="00D40CD9" w14:paraId="422D9114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8EBAD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Fluoroscopy time (minutes)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64263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25.1 ± 15.3</w:t>
            </w:r>
          </w:p>
        </w:tc>
      </w:tr>
      <w:tr w:rsidR="00AA2608" w:rsidRPr="00D40CD9" w14:paraId="2A2519B6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3802F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Radiation dose (mGy)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975B3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1045.4 ± 454.7</w:t>
            </w:r>
          </w:p>
        </w:tc>
      </w:tr>
      <w:tr w:rsidR="00AA2608" w:rsidRPr="00D40CD9" w14:paraId="73864A64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8321B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DAP (Gy·cm²)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73198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193.9 ± 77.4</w:t>
            </w:r>
          </w:p>
        </w:tc>
      </w:tr>
      <w:tr w:rsidR="00AA2608" w:rsidRPr="00D40CD9" w14:paraId="6646B91E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0C4AF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Use of CBCT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625D9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2 (2.89%)</w:t>
            </w:r>
          </w:p>
        </w:tc>
      </w:tr>
      <w:tr w:rsidR="00AA2608" w:rsidRPr="00D40CD9" w14:paraId="4048595C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8A916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Coil embolization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B8E22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9 (13.04%)</w:t>
            </w:r>
          </w:p>
        </w:tc>
      </w:tr>
      <w:tr w:rsidR="00AA2608" w:rsidRPr="00D40CD9" w14:paraId="41115DD4" w14:textId="77777777" w:rsidTr="00853105">
        <w:trPr>
          <w:jc w:val="center"/>
        </w:trPr>
        <w:tc>
          <w:tcPr>
            <w:tcW w:w="5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9024D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Clinical success rate</w:t>
            </w:r>
          </w:p>
        </w:tc>
        <w:tc>
          <w:tcPr>
            <w:tcW w:w="3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A22AF" w14:textId="77777777" w:rsidR="00AA2608" w:rsidRPr="00D40CD9" w:rsidRDefault="00AA2608" w:rsidP="00853105">
            <w:pPr>
              <w:jc w:val="both"/>
              <w:rPr>
                <w:color w:val="000000" w:themeColor="text1"/>
              </w:rPr>
            </w:pPr>
            <w:r w:rsidRPr="00D40CD9">
              <w:rPr>
                <w:color w:val="000000" w:themeColor="text1"/>
              </w:rPr>
              <w:t>67 (97.1%)</w:t>
            </w:r>
          </w:p>
        </w:tc>
      </w:tr>
    </w:tbl>
    <w:p w14:paraId="218D6A34" w14:textId="77777777" w:rsidR="00C538F5" w:rsidRDefault="00C538F5"/>
    <w:sectPr w:rsidR="00C538F5" w:rsidSect="00DD221E">
      <w:pgSz w:w="12240" w:h="15840"/>
      <w:pgMar w:top="1985" w:right="1134" w:bottom="1701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8"/>
    <w:rsid w:val="00481260"/>
    <w:rsid w:val="004F6D72"/>
    <w:rsid w:val="006C69CC"/>
    <w:rsid w:val="008C0FEB"/>
    <w:rsid w:val="009B1C38"/>
    <w:rsid w:val="00AA2608"/>
    <w:rsid w:val="00C538F5"/>
    <w:rsid w:val="00DD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BDDE9B"/>
  <w15:chartTrackingRefBased/>
  <w15:docId w15:val="{3A95D1E7-CA99-4726-8F8F-D3018539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608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6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6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6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6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6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6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6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6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6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6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6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6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6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6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6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6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2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6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26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608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2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608"/>
    <w:pPr>
      <w:spacing w:after="160" w:line="278" w:lineRule="auto"/>
      <w:ind w:left="720"/>
      <w:contextualSpacing/>
    </w:pPr>
    <w:rPr>
      <w:rFonts w:eastAsiaTheme="minorHAnsi" w:cstheme="minorBidi"/>
      <w:kern w:val="2"/>
      <w:sz w:val="26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2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6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6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Mạnh Cường Trương</dc:creator>
  <cp:keywords/>
  <dc:description/>
  <cp:lastModifiedBy>Mạnh Cường Trương</cp:lastModifiedBy>
  <cp:revision>1</cp:revision>
  <dcterms:created xsi:type="dcterms:W3CDTF">2026-09-15T14:46:00Z</dcterms:created>
  <dcterms:modified xsi:type="dcterms:W3CDTF">2026-09-15T14:46:00Z</dcterms:modified>
</cp:coreProperties>
</file>