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1FE3DA" w14:textId="77777777" w:rsidR="00EE33D9" w:rsidRPr="005B2FBF" w:rsidRDefault="00EE33D9" w:rsidP="005B2FBF">
      <w:pPr>
        <w:spacing w:line="480" w:lineRule="auto"/>
        <w:jc w:val="both"/>
        <w:rPr>
          <w:rFonts w:ascii="Times New Roman" w:eastAsia="Times New Roman" w:hAnsi="Times New Roman" w:cs="Times New Roman"/>
          <w:i/>
          <w:iCs/>
          <w:color w:val="000000"/>
          <w:sz w:val="20"/>
          <w:szCs w:val="20"/>
          <w:lang w:val="en-US" w:eastAsia="nl-NL"/>
        </w:rPr>
      </w:pPr>
      <w:r w:rsidRPr="005B2FBF">
        <w:rPr>
          <w:rFonts w:ascii="Times New Roman" w:eastAsia="Times New Roman" w:hAnsi="Times New Roman" w:cs="Times New Roman"/>
          <w:i/>
          <w:iCs/>
          <w:color w:val="000000"/>
          <w:sz w:val="20"/>
          <w:szCs w:val="20"/>
          <w:lang w:val="en-US" w:eastAsia="nl-NL"/>
        </w:rPr>
        <w:t>Secondary aim: long-term outcome</w:t>
      </w:r>
    </w:p>
    <w:p w14:paraId="21692BDB" w14:textId="479FD0F3" w:rsidR="00EE33D9" w:rsidRPr="005B2FBF" w:rsidRDefault="00EE33D9" w:rsidP="005B2FBF">
      <w:pPr>
        <w:spacing w:line="480" w:lineRule="auto"/>
        <w:jc w:val="both"/>
        <w:rPr>
          <w:rFonts w:ascii="Times New Roman" w:eastAsia="Times New Roman" w:hAnsi="Times New Roman" w:cs="Times New Roman"/>
          <w:sz w:val="20"/>
          <w:szCs w:val="20"/>
          <w:lang w:val="en-US" w:eastAsia="nl-NL"/>
        </w:rPr>
      </w:pPr>
      <w:r w:rsidRPr="005B2FBF">
        <w:rPr>
          <w:rFonts w:ascii="Times New Roman" w:eastAsia="Times New Roman" w:hAnsi="Times New Roman" w:cs="Times New Roman"/>
          <w:color w:val="000000"/>
          <w:sz w:val="20"/>
          <w:szCs w:val="20"/>
          <w:lang w:val="en-US" w:eastAsia="nl-NL"/>
        </w:rPr>
        <w:t xml:space="preserve">We also had the intention to explore if neonatal magnesemia was associated with adverse long-term outcomes. </w:t>
      </w:r>
      <w:r w:rsidRPr="005B2FBF">
        <w:rPr>
          <w:rFonts w:ascii="Times New Roman" w:eastAsia="Times New Roman" w:hAnsi="Times New Roman" w:cs="Times New Roman"/>
          <w:sz w:val="20"/>
          <w:szCs w:val="20"/>
          <w:lang w:val="en-US" w:eastAsia="nl-NL"/>
        </w:rPr>
        <w:t xml:space="preserve">The composite long-term core outcome included mortality after discharge from the neonatal intensive care unit and before two years of age, or an abnormal neurologic examination (suspect psychomotor disability, suspect cerebral palsy, cerebral palsy) at 10 months (corrected) or two years of age. </w:t>
      </w:r>
    </w:p>
    <w:p w14:paraId="1D911B78" w14:textId="56D763FF" w:rsidR="00EE33D9" w:rsidRPr="005B2FBF" w:rsidRDefault="00EE33D9" w:rsidP="005B2FBF">
      <w:pPr>
        <w:spacing w:line="480" w:lineRule="auto"/>
        <w:jc w:val="both"/>
        <w:rPr>
          <w:rFonts w:ascii="Times New Roman" w:eastAsia="Times New Roman" w:hAnsi="Times New Roman" w:cs="Times New Roman"/>
          <w:i/>
          <w:iCs/>
          <w:sz w:val="20"/>
          <w:szCs w:val="20"/>
          <w:lang w:val="en-US" w:eastAsia="nl-NL"/>
        </w:rPr>
      </w:pPr>
      <w:r w:rsidRPr="005B2FBF">
        <w:rPr>
          <w:rFonts w:ascii="Times New Roman" w:eastAsia="Times New Roman" w:hAnsi="Times New Roman" w:cs="Times New Roman"/>
          <w:i/>
          <w:iCs/>
          <w:sz w:val="20"/>
          <w:szCs w:val="20"/>
          <w:lang w:val="en-US" w:eastAsia="nl-NL"/>
        </w:rPr>
        <w:t>Statistical analysis</w:t>
      </w:r>
    </w:p>
    <w:p w14:paraId="14DA445B" w14:textId="3774F96A" w:rsidR="00EE33D9" w:rsidRPr="005B2FBF" w:rsidRDefault="00EE33D9" w:rsidP="005B2FBF">
      <w:pPr>
        <w:spacing w:line="480" w:lineRule="auto"/>
        <w:jc w:val="both"/>
        <w:rPr>
          <w:rFonts w:ascii="Times New Roman" w:eastAsia="Times New Roman" w:hAnsi="Times New Roman" w:cs="Times New Roman"/>
          <w:sz w:val="20"/>
          <w:szCs w:val="20"/>
          <w:lang w:val="en-US" w:eastAsia="nl-NL"/>
        </w:rPr>
      </w:pPr>
      <w:r w:rsidRPr="005B2FBF">
        <w:rPr>
          <w:rFonts w:ascii="Times New Roman" w:eastAsia="Times New Roman" w:hAnsi="Times New Roman" w:cs="Times New Roman"/>
          <w:sz w:val="20"/>
          <w:szCs w:val="20"/>
          <w:lang w:val="en-US" w:eastAsia="nl-NL"/>
        </w:rPr>
        <w:t xml:space="preserve">We intended to use </w:t>
      </w:r>
      <w:proofErr w:type="spellStart"/>
      <w:r w:rsidRPr="005B2FBF">
        <w:rPr>
          <w:rFonts w:ascii="Times New Roman" w:eastAsia="Times New Roman" w:hAnsi="Times New Roman" w:cs="Times New Roman"/>
          <w:sz w:val="20"/>
          <w:szCs w:val="20"/>
          <w:lang w:val="en-US" w:eastAsia="nl-NL"/>
        </w:rPr>
        <w:t>generalised</w:t>
      </w:r>
      <w:proofErr w:type="spellEnd"/>
      <w:r w:rsidRPr="005B2FBF">
        <w:rPr>
          <w:rFonts w:ascii="Times New Roman" w:eastAsia="Times New Roman" w:hAnsi="Times New Roman" w:cs="Times New Roman"/>
          <w:sz w:val="20"/>
          <w:szCs w:val="20"/>
          <w:lang w:val="en-US" w:eastAsia="nl-NL"/>
        </w:rPr>
        <w:t xml:space="preserve"> estimated equation models with an independence correlation structure, Gaussian distribution and identity link function to assess the association between neonatal magnesemia and the composite long-term outcome. </w:t>
      </w:r>
    </w:p>
    <w:p w14:paraId="1DFF622E" w14:textId="77777777" w:rsidR="00EE33D9" w:rsidRPr="005B2FBF" w:rsidRDefault="00EE33D9" w:rsidP="005B2FBF">
      <w:pPr>
        <w:spacing w:line="480" w:lineRule="auto"/>
        <w:jc w:val="both"/>
        <w:rPr>
          <w:rFonts w:ascii="Times New Roman" w:eastAsia="Times New Roman" w:hAnsi="Times New Roman" w:cs="Times New Roman"/>
          <w:i/>
          <w:iCs/>
          <w:color w:val="000000"/>
          <w:sz w:val="20"/>
          <w:szCs w:val="20"/>
          <w:lang w:val="en-US" w:eastAsia="nl-NL"/>
        </w:rPr>
      </w:pPr>
      <w:r w:rsidRPr="005B2FBF">
        <w:rPr>
          <w:rFonts w:ascii="Times New Roman" w:eastAsia="Times New Roman" w:hAnsi="Times New Roman" w:cs="Times New Roman"/>
          <w:i/>
          <w:iCs/>
          <w:color w:val="000000"/>
          <w:sz w:val="20"/>
          <w:szCs w:val="20"/>
          <w:lang w:val="en-US" w:eastAsia="nl-NL"/>
        </w:rPr>
        <w:t>Results</w:t>
      </w:r>
    </w:p>
    <w:p w14:paraId="314B31EC" w14:textId="4D890E88" w:rsidR="00EE33D9" w:rsidRPr="005B2FBF" w:rsidRDefault="00EE33D9" w:rsidP="005B2FBF">
      <w:pPr>
        <w:spacing w:line="480" w:lineRule="auto"/>
        <w:jc w:val="both"/>
        <w:rPr>
          <w:rFonts w:ascii="Times New Roman" w:eastAsia="Times New Roman" w:hAnsi="Times New Roman" w:cs="Times New Roman"/>
          <w:color w:val="000000"/>
          <w:sz w:val="20"/>
          <w:szCs w:val="20"/>
          <w:lang w:val="en-US" w:eastAsia="nl-NL"/>
        </w:rPr>
      </w:pPr>
      <w:r w:rsidRPr="005B2FBF">
        <w:rPr>
          <w:rFonts w:ascii="Times New Roman" w:eastAsia="Times New Roman" w:hAnsi="Times New Roman" w:cs="Times New Roman"/>
          <w:color w:val="000000"/>
          <w:sz w:val="20"/>
          <w:szCs w:val="20"/>
          <w:lang w:val="en-US" w:eastAsia="nl-NL"/>
        </w:rPr>
        <w:t>Due to the large proportion of missing values for the long-term outcome at 10 months and two years of age due to loss to follow-up (respectively 129/345, 37.4% and 150/345, 43.5%), the risk of selection bias is too large and no conclusions can be made about the association between long-term neuromotor disability and (the indication for) intra-uterine exposure to MgSO</w:t>
      </w:r>
      <w:r w:rsidRPr="005B2FBF">
        <w:rPr>
          <w:rFonts w:ascii="Times New Roman" w:eastAsia="Times New Roman" w:hAnsi="Times New Roman" w:cs="Times New Roman"/>
          <w:color w:val="000000"/>
          <w:sz w:val="20"/>
          <w:szCs w:val="20"/>
          <w:vertAlign w:val="subscript"/>
          <w:lang w:val="en-US" w:eastAsia="nl-NL"/>
        </w:rPr>
        <w:t>4</w:t>
      </w:r>
      <w:r w:rsidRPr="005B2FBF">
        <w:rPr>
          <w:rFonts w:ascii="Times New Roman" w:eastAsia="Times New Roman" w:hAnsi="Times New Roman" w:cs="Times New Roman"/>
          <w:color w:val="000000"/>
          <w:sz w:val="20"/>
          <w:szCs w:val="20"/>
          <w:lang w:val="en-US" w:eastAsia="nl-NL"/>
        </w:rPr>
        <w:t xml:space="preserve">. </w:t>
      </w:r>
    </w:p>
    <w:p w14:paraId="255A45C3" w14:textId="1290995C" w:rsidR="00EE33D9" w:rsidRPr="005B2FBF" w:rsidRDefault="00EE33D9" w:rsidP="005B2FBF">
      <w:pPr>
        <w:spacing w:line="480" w:lineRule="auto"/>
        <w:jc w:val="both"/>
        <w:rPr>
          <w:rFonts w:ascii="Times New Roman" w:hAnsi="Times New Roman" w:cs="Times New Roman"/>
          <w:i/>
          <w:iCs/>
          <w:sz w:val="20"/>
          <w:szCs w:val="20"/>
          <w:lang w:val="en-GB"/>
        </w:rPr>
      </w:pPr>
      <w:r w:rsidRPr="005B2FBF">
        <w:rPr>
          <w:rFonts w:ascii="Times New Roman" w:hAnsi="Times New Roman" w:cs="Times New Roman"/>
          <w:i/>
          <w:iCs/>
          <w:sz w:val="20"/>
          <w:szCs w:val="20"/>
          <w:lang w:val="en-GB"/>
        </w:rPr>
        <w:t>Interpretation</w:t>
      </w:r>
    </w:p>
    <w:p w14:paraId="0D56BC9C" w14:textId="3A2CFD67" w:rsidR="00EE33D9" w:rsidRPr="005B2FBF" w:rsidRDefault="00EE33D9" w:rsidP="005B2FBF">
      <w:pPr>
        <w:spacing w:line="480" w:lineRule="auto"/>
        <w:jc w:val="both"/>
        <w:rPr>
          <w:rFonts w:ascii="Times New Roman" w:hAnsi="Times New Roman" w:cs="Times New Roman"/>
          <w:sz w:val="20"/>
          <w:szCs w:val="20"/>
          <w:lang w:val="en-GB"/>
        </w:rPr>
      </w:pPr>
      <w:r w:rsidRPr="005B2FBF">
        <w:rPr>
          <w:rFonts w:ascii="Times New Roman" w:hAnsi="Times New Roman" w:cs="Times New Roman"/>
          <w:sz w:val="20"/>
          <w:szCs w:val="20"/>
          <w:lang w:val="en-GB"/>
        </w:rPr>
        <w:t>Morag et al. reported an association between lower locomotor and personal-social scores at the end of the first year of life and neonatal magnesemia levels exceeding 1.44 mmol/L.</w:t>
      </w:r>
      <w:r w:rsidRPr="005B2FBF">
        <w:rPr>
          <w:rFonts w:ascii="Times New Roman" w:hAnsi="Times New Roman" w:cs="Times New Roman"/>
          <w:sz w:val="20"/>
          <w:szCs w:val="20"/>
          <w:vertAlign w:val="superscript"/>
          <w:lang w:val="en-GB"/>
        </w:rPr>
        <w:t>1</w:t>
      </w:r>
      <w:r w:rsidRPr="005B2FBF">
        <w:rPr>
          <w:rFonts w:ascii="Times New Roman" w:hAnsi="Times New Roman" w:cs="Times New Roman"/>
          <w:sz w:val="20"/>
          <w:szCs w:val="20"/>
          <w:lang w:val="en-GB"/>
        </w:rPr>
        <w:t xml:space="preserve"> Two neonates in the neuroprotection and 34 in the preeclampsia group had a higher value on day 0. Ostrander et al. found no association between neonatal magnesemia in premature infants at 24 to 48 hours of life and epilepsy or motor impairment.</w:t>
      </w:r>
      <w:r w:rsidRPr="005B2FBF">
        <w:rPr>
          <w:rFonts w:ascii="Times New Roman" w:hAnsi="Times New Roman" w:cs="Times New Roman"/>
          <w:sz w:val="20"/>
          <w:szCs w:val="20"/>
          <w:vertAlign w:val="superscript"/>
          <w:lang w:val="en-GB"/>
        </w:rPr>
        <w:t>2</w:t>
      </w:r>
      <w:r w:rsidRPr="005B2FBF">
        <w:rPr>
          <w:rFonts w:ascii="Times New Roman" w:hAnsi="Times New Roman" w:cs="Times New Roman"/>
          <w:sz w:val="20"/>
          <w:szCs w:val="20"/>
          <w:lang w:val="en-GB"/>
        </w:rPr>
        <w:t xml:space="preserve"> Doll et al. found a correlation between a higher neonatal magnesemia in children born before 27 weeks with a birth weight of less than 1500 grams and a decreased risk for long-term abnormal motor exam.</w:t>
      </w:r>
      <w:r w:rsidRPr="005B2FBF">
        <w:rPr>
          <w:rFonts w:ascii="Times New Roman" w:hAnsi="Times New Roman" w:cs="Times New Roman"/>
          <w:sz w:val="20"/>
          <w:szCs w:val="20"/>
          <w:vertAlign w:val="superscript"/>
          <w:lang w:val="en-GB"/>
        </w:rPr>
        <w:t>3</w:t>
      </w:r>
      <w:r w:rsidRPr="005B2FBF">
        <w:rPr>
          <w:rFonts w:ascii="Times New Roman" w:hAnsi="Times New Roman" w:cs="Times New Roman"/>
          <w:sz w:val="20"/>
          <w:szCs w:val="20"/>
          <w:lang w:val="en-GB"/>
        </w:rPr>
        <w:t xml:space="preserve"> </w:t>
      </w:r>
    </w:p>
    <w:p w14:paraId="6755099B" w14:textId="040F4B25" w:rsidR="00EE33D9" w:rsidRPr="005B2FBF" w:rsidRDefault="00EE33D9" w:rsidP="005B2FBF">
      <w:pPr>
        <w:spacing w:line="480" w:lineRule="auto"/>
        <w:jc w:val="both"/>
        <w:rPr>
          <w:rFonts w:ascii="Times New Roman" w:hAnsi="Times New Roman" w:cs="Times New Roman"/>
          <w:i/>
          <w:iCs/>
          <w:sz w:val="20"/>
          <w:szCs w:val="20"/>
          <w:lang w:val="en-GB"/>
        </w:rPr>
      </w:pPr>
      <w:r w:rsidRPr="005B2FBF">
        <w:rPr>
          <w:rFonts w:ascii="Times New Roman" w:hAnsi="Times New Roman" w:cs="Times New Roman"/>
          <w:i/>
          <w:iCs/>
          <w:sz w:val="20"/>
          <w:szCs w:val="20"/>
          <w:lang w:val="en-GB"/>
        </w:rPr>
        <w:t>Conclusion</w:t>
      </w:r>
    </w:p>
    <w:p w14:paraId="59C28209" w14:textId="6B02236B" w:rsidR="00EE33D9" w:rsidRPr="005B2FBF" w:rsidRDefault="00EE33D9" w:rsidP="005B2FBF">
      <w:pPr>
        <w:spacing w:line="480" w:lineRule="auto"/>
        <w:jc w:val="both"/>
        <w:rPr>
          <w:rFonts w:ascii="Times New Roman" w:hAnsi="Times New Roman" w:cs="Times New Roman"/>
          <w:sz w:val="20"/>
          <w:szCs w:val="20"/>
          <w:lang w:val="en-GB"/>
        </w:rPr>
      </w:pPr>
      <w:r w:rsidRPr="005B2FBF">
        <w:rPr>
          <w:rFonts w:ascii="Times New Roman" w:hAnsi="Times New Roman" w:cs="Times New Roman"/>
          <w:sz w:val="20"/>
          <w:szCs w:val="20"/>
          <w:lang w:val="en-GB"/>
        </w:rPr>
        <w:t>Due to the risk of selection bias, we cannot provide any information on long-term outcomes.</w:t>
      </w:r>
    </w:p>
    <w:p w14:paraId="36A68409" w14:textId="77777777" w:rsidR="00EE33D9" w:rsidRPr="005B2FBF" w:rsidRDefault="00EE33D9" w:rsidP="005B2FBF">
      <w:pPr>
        <w:spacing w:after="160" w:line="480" w:lineRule="auto"/>
        <w:jc w:val="both"/>
        <w:rPr>
          <w:rFonts w:ascii="Times New Roman" w:hAnsi="Times New Roman" w:cs="Times New Roman"/>
          <w:i/>
          <w:iCs/>
          <w:sz w:val="20"/>
          <w:szCs w:val="20"/>
          <w:lang w:val="en-US"/>
        </w:rPr>
      </w:pPr>
      <w:r w:rsidRPr="005B2FBF">
        <w:rPr>
          <w:rFonts w:ascii="Times New Roman" w:hAnsi="Times New Roman" w:cs="Times New Roman"/>
          <w:i/>
          <w:iCs/>
          <w:sz w:val="20"/>
          <w:szCs w:val="20"/>
          <w:lang w:val="en-US"/>
        </w:rPr>
        <w:t>References</w:t>
      </w:r>
    </w:p>
    <w:p w14:paraId="33F3DB32" w14:textId="2220CC91" w:rsidR="00EE33D9" w:rsidRPr="005B2FBF" w:rsidRDefault="00EE33D9" w:rsidP="005B2FBF">
      <w:pPr>
        <w:spacing w:after="160" w:line="480" w:lineRule="auto"/>
        <w:jc w:val="both"/>
        <w:rPr>
          <w:rFonts w:ascii="Times New Roman" w:hAnsi="Times New Roman" w:cs="Times New Roman"/>
          <w:sz w:val="20"/>
          <w:szCs w:val="20"/>
          <w:lang w:val="en-US"/>
        </w:rPr>
      </w:pPr>
      <w:r w:rsidRPr="005B2FBF">
        <w:rPr>
          <w:rFonts w:ascii="Times New Roman" w:hAnsi="Times New Roman" w:cs="Times New Roman"/>
          <w:sz w:val="20"/>
          <w:szCs w:val="20"/>
          <w:lang w:val="en-US"/>
        </w:rPr>
        <w:t xml:space="preserve">1. Morag I, </w:t>
      </w:r>
      <w:proofErr w:type="spellStart"/>
      <w:r w:rsidRPr="005B2FBF">
        <w:rPr>
          <w:rFonts w:ascii="Times New Roman" w:hAnsi="Times New Roman" w:cs="Times New Roman"/>
          <w:sz w:val="20"/>
          <w:szCs w:val="20"/>
          <w:lang w:val="en-US"/>
        </w:rPr>
        <w:t>Yakubovich</w:t>
      </w:r>
      <w:proofErr w:type="spellEnd"/>
      <w:r w:rsidRPr="005B2FBF">
        <w:rPr>
          <w:rFonts w:ascii="Times New Roman" w:hAnsi="Times New Roman" w:cs="Times New Roman"/>
          <w:sz w:val="20"/>
          <w:szCs w:val="20"/>
          <w:lang w:val="en-US"/>
        </w:rPr>
        <w:t xml:space="preserve"> D, Stern O, </w:t>
      </w:r>
      <w:proofErr w:type="spellStart"/>
      <w:r w:rsidRPr="005B2FBF">
        <w:rPr>
          <w:rFonts w:ascii="Times New Roman" w:hAnsi="Times New Roman" w:cs="Times New Roman"/>
          <w:sz w:val="20"/>
          <w:szCs w:val="20"/>
          <w:lang w:val="en-US"/>
        </w:rPr>
        <w:t>Siman</w:t>
      </w:r>
      <w:proofErr w:type="spellEnd"/>
      <w:r w:rsidRPr="005B2FBF">
        <w:rPr>
          <w:rFonts w:ascii="Times New Roman" w:hAnsi="Times New Roman" w:cs="Times New Roman"/>
          <w:sz w:val="20"/>
          <w:szCs w:val="20"/>
          <w:lang w:val="en-US"/>
        </w:rPr>
        <w:t xml:space="preserve">-Tov M, </w:t>
      </w:r>
      <w:proofErr w:type="spellStart"/>
      <w:r w:rsidRPr="005B2FBF">
        <w:rPr>
          <w:rFonts w:ascii="Times New Roman" w:hAnsi="Times New Roman" w:cs="Times New Roman"/>
          <w:sz w:val="20"/>
          <w:szCs w:val="20"/>
          <w:lang w:val="en-US"/>
        </w:rPr>
        <w:t>Schushan</w:t>
      </w:r>
      <w:proofErr w:type="spellEnd"/>
      <w:r w:rsidRPr="005B2FBF">
        <w:rPr>
          <w:rFonts w:ascii="Times New Roman" w:hAnsi="Times New Roman" w:cs="Times New Roman"/>
          <w:sz w:val="20"/>
          <w:szCs w:val="20"/>
          <w:lang w:val="en-US"/>
        </w:rPr>
        <w:t xml:space="preserve">-Eisen I, Strauss T, et al. Short-term morbidities and neurodevelopmental outcomes in preterm infants exposed to magnesium sulphate treatment. J </w:t>
      </w:r>
      <w:proofErr w:type="spellStart"/>
      <w:r w:rsidRPr="005B2FBF">
        <w:rPr>
          <w:rFonts w:ascii="Times New Roman" w:hAnsi="Times New Roman" w:cs="Times New Roman"/>
          <w:sz w:val="20"/>
          <w:szCs w:val="20"/>
          <w:lang w:val="en-US"/>
        </w:rPr>
        <w:t>Paediatr</w:t>
      </w:r>
      <w:proofErr w:type="spellEnd"/>
      <w:r w:rsidRPr="005B2FBF">
        <w:rPr>
          <w:rFonts w:ascii="Times New Roman" w:hAnsi="Times New Roman" w:cs="Times New Roman"/>
          <w:sz w:val="20"/>
          <w:szCs w:val="20"/>
          <w:lang w:val="en-US"/>
        </w:rPr>
        <w:t xml:space="preserve"> Child Health 2016;52(4):397-401</w:t>
      </w:r>
    </w:p>
    <w:p w14:paraId="060B68C2" w14:textId="286111C7" w:rsidR="00EE33D9" w:rsidRPr="005B2FBF" w:rsidRDefault="00EE33D9" w:rsidP="005B2FBF">
      <w:pPr>
        <w:spacing w:after="160" w:line="480" w:lineRule="auto"/>
        <w:jc w:val="both"/>
        <w:rPr>
          <w:rFonts w:ascii="Times New Roman" w:hAnsi="Times New Roman" w:cs="Times New Roman"/>
          <w:sz w:val="20"/>
          <w:szCs w:val="20"/>
          <w:lang w:val="en-US"/>
        </w:rPr>
      </w:pPr>
      <w:r w:rsidRPr="005B2FBF">
        <w:rPr>
          <w:rFonts w:ascii="Times New Roman" w:hAnsi="Times New Roman" w:cs="Times New Roman"/>
          <w:sz w:val="20"/>
          <w:szCs w:val="20"/>
          <w:lang w:val="en-US"/>
        </w:rPr>
        <w:lastRenderedPageBreak/>
        <w:t xml:space="preserve">2. Ostrander B, </w:t>
      </w:r>
      <w:proofErr w:type="spellStart"/>
      <w:r w:rsidRPr="005B2FBF">
        <w:rPr>
          <w:rFonts w:ascii="Times New Roman" w:hAnsi="Times New Roman" w:cs="Times New Roman"/>
          <w:sz w:val="20"/>
          <w:szCs w:val="20"/>
          <w:lang w:val="en-US"/>
        </w:rPr>
        <w:t>Bardsley</w:t>
      </w:r>
      <w:proofErr w:type="spellEnd"/>
      <w:r w:rsidRPr="005B2FBF">
        <w:rPr>
          <w:rFonts w:ascii="Times New Roman" w:hAnsi="Times New Roman" w:cs="Times New Roman"/>
          <w:sz w:val="20"/>
          <w:szCs w:val="20"/>
          <w:lang w:val="en-US"/>
        </w:rPr>
        <w:t xml:space="preserve"> T, </w:t>
      </w:r>
      <w:proofErr w:type="spellStart"/>
      <w:r w:rsidRPr="005B2FBF">
        <w:rPr>
          <w:rFonts w:ascii="Times New Roman" w:hAnsi="Times New Roman" w:cs="Times New Roman"/>
          <w:sz w:val="20"/>
          <w:szCs w:val="20"/>
          <w:lang w:val="en-US"/>
        </w:rPr>
        <w:t>Korgenski</w:t>
      </w:r>
      <w:proofErr w:type="spellEnd"/>
      <w:r w:rsidRPr="005B2FBF">
        <w:rPr>
          <w:rFonts w:ascii="Times New Roman" w:hAnsi="Times New Roman" w:cs="Times New Roman"/>
          <w:sz w:val="20"/>
          <w:szCs w:val="20"/>
          <w:lang w:val="en-US"/>
        </w:rPr>
        <w:t xml:space="preserve"> E, Green T, </w:t>
      </w:r>
      <w:proofErr w:type="spellStart"/>
      <w:r w:rsidRPr="005B2FBF">
        <w:rPr>
          <w:rFonts w:ascii="Times New Roman" w:hAnsi="Times New Roman" w:cs="Times New Roman"/>
          <w:sz w:val="20"/>
          <w:szCs w:val="20"/>
          <w:lang w:val="en-US"/>
        </w:rPr>
        <w:t>Bonkowsky</w:t>
      </w:r>
      <w:proofErr w:type="spellEnd"/>
      <w:r w:rsidRPr="005B2FBF">
        <w:rPr>
          <w:rFonts w:ascii="Times New Roman" w:hAnsi="Times New Roman" w:cs="Times New Roman"/>
          <w:sz w:val="20"/>
          <w:szCs w:val="20"/>
          <w:lang w:val="en-US"/>
        </w:rPr>
        <w:t xml:space="preserve"> J. Neonatal magnesium levels between 24 and 48 hours of life and outcomes for epilepsy and motor impairment in premature infants. </w:t>
      </w:r>
      <w:proofErr w:type="spellStart"/>
      <w:r w:rsidRPr="005B2FBF">
        <w:rPr>
          <w:rFonts w:ascii="Times New Roman" w:hAnsi="Times New Roman" w:cs="Times New Roman"/>
          <w:sz w:val="20"/>
          <w:szCs w:val="20"/>
          <w:lang w:val="en-US"/>
        </w:rPr>
        <w:t>Pediatr</w:t>
      </w:r>
      <w:proofErr w:type="spellEnd"/>
      <w:r w:rsidRPr="005B2FBF">
        <w:rPr>
          <w:rFonts w:ascii="Times New Roman" w:hAnsi="Times New Roman" w:cs="Times New Roman"/>
          <w:sz w:val="20"/>
          <w:szCs w:val="20"/>
          <w:lang w:val="en-US"/>
        </w:rPr>
        <w:t xml:space="preserve"> Neurol 2016;59:41-46. doi:10.1016/j.pediatrneurol.2016.02.01</w:t>
      </w:r>
    </w:p>
    <w:p w14:paraId="7EBE8DF3" w14:textId="437DC9F7" w:rsidR="00EE33D9" w:rsidRPr="005B2FBF" w:rsidRDefault="00EE33D9" w:rsidP="005B2FBF">
      <w:pPr>
        <w:spacing w:after="160" w:line="480" w:lineRule="auto"/>
        <w:jc w:val="both"/>
        <w:rPr>
          <w:rFonts w:ascii="Times New Roman" w:hAnsi="Times New Roman" w:cs="Times New Roman"/>
          <w:sz w:val="20"/>
          <w:szCs w:val="20"/>
          <w:lang w:val="en-US"/>
        </w:rPr>
      </w:pPr>
      <w:r w:rsidRPr="005B2FBF">
        <w:rPr>
          <w:rFonts w:ascii="Times New Roman" w:hAnsi="Times New Roman" w:cs="Times New Roman"/>
          <w:sz w:val="20"/>
          <w:szCs w:val="20"/>
          <w:lang w:val="en-US"/>
        </w:rPr>
        <w:t xml:space="preserve">3.  Doll E, Wilkes J, Cook L, </w:t>
      </w:r>
      <w:proofErr w:type="spellStart"/>
      <w:r w:rsidRPr="005B2FBF">
        <w:rPr>
          <w:rFonts w:ascii="Times New Roman" w:hAnsi="Times New Roman" w:cs="Times New Roman"/>
          <w:sz w:val="20"/>
          <w:szCs w:val="20"/>
          <w:lang w:val="en-US"/>
        </w:rPr>
        <w:t>Korgenski</w:t>
      </w:r>
      <w:proofErr w:type="spellEnd"/>
      <w:r w:rsidRPr="005B2FBF">
        <w:rPr>
          <w:rFonts w:ascii="Times New Roman" w:hAnsi="Times New Roman" w:cs="Times New Roman"/>
          <w:sz w:val="20"/>
          <w:szCs w:val="20"/>
          <w:lang w:val="en-US"/>
        </w:rPr>
        <w:t xml:space="preserve"> E, </w:t>
      </w:r>
      <w:proofErr w:type="spellStart"/>
      <w:r w:rsidRPr="005B2FBF">
        <w:rPr>
          <w:rFonts w:ascii="Times New Roman" w:hAnsi="Times New Roman" w:cs="Times New Roman"/>
          <w:sz w:val="20"/>
          <w:szCs w:val="20"/>
          <w:lang w:val="en-US"/>
        </w:rPr>
        <w:t>Faix</w:t>
      </w:r>
      <w:proofErr w:type="spellEnd"/>
      <w:r w:rsidRPr="005B2FBF">
        <w:rPr>
          <w:rFonts w:ascii="Times New Roman" w:hAnsi="Times New Roman" w:cs="Times New Roman"/>
          <w:sz w:val="20"/>
          <w:szCs w:val="20"/>
          <w:lang w:val="en-US"/>
        </w:rPr>
        <w:t xml:space="preserve"> R, Yoder B, Srivastava R, Sherwin C, </w:t>
      </w:r>
      <w:proofErr w:type="spellStart"/>
      <w:r w:rsidRPr="005B2FBF">
        <w:rPr>
          <w:rFonts w:ascii="Times New Roman" w:hAnsi="Times New Roman" w:cs="Times New Roman"/>
          <w:sz w:val="20"/>
          <w:szCs w:val="20"/>
          <w:lang w:val="en-US"/>
        </w:rPr>
        <w:t>Spigarelli</w:t>
      </w:r>
      <w:proofErr w:type="spellEnd"/>
      <w:r w:rsidRPr="005B2FBF">
        <w:rPr>
          <w:rFonts w:ascii="Times New Roman" w:hAnsi="Times New Roman" w:cs="Times New Roman"/>
          <w:sz w:val="20"/>
          <w:szCs w:val="20"/>
          <w:lang w:val="en-US"/>
        </w:rPr>
        <w:t xml:space="preserve"> M, Clark E, </w:t>
      </w:r>
      <w:proofErr w:type="spellStart"/>
      <w:r w:rsidRPr="005B2FBF">
        <w:rPr>
          <w:rFonts w:ascii="Times New Roman" w:hAnsi="Times New Roman" w:cs="Times New Roman"/>
          <w:sz w:val="20"/>
          <w:szCs w:val="20"/>
          <w:lang w:val="en-US"/>
        </w:rPr>
        <w:t>Bonkowsky</w:t>
      </w:r>
      <w:proofErr w:type="spellEnd"/>
      <w:r w:rsidRPr="005B2FBF">
        <w:rPr>
          <w:rFonts w:ascii="Times New Roman" w:hAnsi="Times New Roman" w:cs="Times New Roman"/>
          <w:sz w:val="20"/>
          <w:szCs w:val="20"/>
          <w:lang w:val="en-US"/>
        </w:rPr>
        <w:t xml:space="preserve"> J. Neonatal magnesium levels correlate with motor outcomes in premature infants: a long-term retrospective cohort study. Front </w:t>
      </w:r>
      <w:proofErr w:type="spellStart"/>
      <w:r w:rsidRPr="005B2FBF">
        <w:rPr>
          <w:rFonts w:ascii="Times New Roman" w:hAnsi="Times New Roman" w:cs="Times New Roman"/>
          <w:sz w:val="20"/>
          <w:szCs w:val="20"/>
          <w:lang w:val="en-US"/>
        </w:rPr>
        <w:t>Pediatr</w:t>
      </w:r>
      <w:proofErr w:type="spellEnd"/>
      <w:r w:rsidRPr="005B2FBF">
        <w:rPr>
          <w:rFonts w:ascii="Times New Roman" w:hAnsi="Times New Roman" w:cs="Times New Roman"/>
          <w:sz w:val="20"/>
          <w:szCs w:val="20"/>
          <w:lang w:val="en-US"/>
        </w:rPr>
        <w:t xml:space="preserve"> 2014;2:120 doi:10.3389/fped.2014.00120</w:t>
      </w:r>
    </w:p>
    <w:p w14:paraId="765A6CC3" w14:textId="77777777" w:rsidR="00EE33D9" w:rsidRPr="005B2FBF" w:rsidRDefault="00EE33D9" w:rsidP="005B2FBF">
      <w:pPr>
        <w:spacing w:line="480" w:lineRule="auto"/>
        <w:jc w:val="both"/>
        <w:rPr>
          <w:rFonts w:ascii="Times New Roman" w:hAnsi="Times New Roman" w:cs="Times New Roman"/>
          <w:sz w:val="20"/>
          <w:szCs w:val="20"/>
          <w:lang w:val="en-GB"/>
        </w:rPr>
      </w:pPr>
    </w:p>
    <w:p w14:paraId="0EAC9181" w14:textId="77777777" w:rsidR="00EE33D9" w:rsidRPr="005B2FBF" w:rsidRDefault="00EE33D9" w:rsidP="005B2FBF">
      <w:pPr>
        <w:spacing w:line="480" w:lineRule="auto"/>
        <w:jc w:val="both"/>
        <w:rPr>
          <w:rFonts w:ascii="Times New Roman" w:eastAsia="Times New Roman" w:hAnsi="Times New Roman" w:cs="Times New Roman"/>
          <w:color w:val="000000"/>
          <w:sz w:val="20"/>
          <w:szCs w:val="20"/>
          <w:lang w:val="en-GB" w:eastAsia="nl-NL"/>
        </w:rPr>
      </w:pPr>
    </w:p>
    <w:p w14:paraId="3A6973E2" w14:textId="77777777" w:rsidR="00E37667" w:rsidRPr="005B2FBF" w:rsidRDefault="00102C98" w:rsidP="005B2FBF">
      <w:pPr>
        <w:spacing w:line="480" w:lineRule="auto"/>
        <w:rPr>
          <w:rFonts w:ascii="Times New Roman" w:hAnsi="Times New Roman" w:cs="Times New Roman"/>
          <w:sz w:val="20"/>
          <w:szCs w:val="20"/>
          <w:lang w:val="en-US"/>
        </w:rPr>
      </w:pPr>
    </w:p>
    <w:sectPr w:rsidR="00E37667" w:rsidRPr="005B2FBF" w:rsidSect="003C0703">
      <w:headerReference w:type="default" r:id="rId6"/>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2CFB6" w14:textId="77777777" w:rsidR="00102C98" w:rsidRDefault="00102C98" w:rsidP="005B2FBF">
      <w:r>
        <w:separator/>
      </w:r>
    </w:p>
  </w:endnote>
  <w:endnote w:type="continuationSeparator" w:id="0">
    <w:p w14:paraId="7FF72612" w14:textId="77777777" w:rsidR="00102C98" w:rsidRDefault="00102C98" w:rsidP="005B2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85E03A" w14:textId="77777777" w:rsidR="00102C98" w:rsidRDefault="00102C98" w:rsidP="005B2FBF">
      <w:r>
        <w:separator/>
      </w:r>
    </w:p>
  </w:footnote>
  <w:footnote w:type="continuationSeparator" w:id="0">
    <w:p w14:paraId="2D68A275" w14:textId="77777777" w:rsidR="00102C98" w:rsidRDefault="00102C98" w:rsidP="005B2F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DE531" w14:textId="77777777" w:rsidR="005B2FBF" w:rsidRPr="005B2FBF" w:rsidRDefault="005B2FBF" w:rsidP="005B2FBF">
    <w:pPr>
      <w:rPr>
        <w:rFonts w:ascii="Times New Roman" w:hAnsi="Times New Roman" w:cs="Times New Roman"/>
        <w:sz w:val="16"/>
        <w:szCs w:val="16"/>
        <w:lang w:val="en-US" w:eastAsia="nl-NL"/>
      </w:rPr>
    </w:pPr>
    <w:r w:rsidRPr="00360773">
      <w:rPr>
        <w:rFonts w:ascii="Times New Roman" w:hAnsi="Times New Roman" w:cs="Times New Roman"/>
        <w:sz w:val="16"/>
        <w:szCs w:val="16"/>
        <w:lang w:val="en-US" w:eastAsia="nl-NL"/>
      </w:rPr>
      <w:t>Neonatal magnesemia in preterm neonates unexposed to maternal MgSO</w:t>
    </w:r>
    <w:r w:rsidRPr="00360773">
      <w:rPr>
        <w:rFonts w:ascii="Times New Roman" w:hAnsi="Times New Roman" w:cs="Times New Roman"/>
        <w:sz w:val="16"/>
        <w:szCs w:val="16"/>
        <w:vertAlign w:val="subscript"/>
        <w:lang w:val="en-US" w:eastAsia="nl-NL"/>
      </w:rPr>
      <w:t xml:space="preserve">4 </w:t>
    </w:r>
    <w:r w:rsidRPr="00360773">
      <w:rPr>
        <w:rFonts w:ascii="Times New Roman" w:hAnsi="Times New Roman" w:cs="Times New Roman"/>
        <w:sz w:val="16"/>
        <w:szCs w:val="16"/>
        <w:lang w:val="en-US" w:eastAsia="nl-NL"/>
      </w:rPr>
      <w:t xml:space="preserve">administration and in neonates exposed for fetal neuroprotection or maternal eclampsia prevention. </w:t>
    </w:r>
    <w:r w:rsidRPr="005B2FBF">
      <w:rPr>
        <w:rFonts w:ascii="Times New Roman" w:hAnsi="Times New Roman" w:cs="Times New Roman"/>
        <w:sz w:val="16"/>
        <w:szCs w:val="16"/>
        <w:lang w:val="en-US" w:eastAsia="nl-NL"/>
      </w:rPr>
      <w:t xml:space="preserve">European Journal of Pediatrics. </w:t>
    </w:r>
    <w:proofErr w:type="spellStart"/>
    <w:r w:rsidRPr="005B2FBF">
      <w:rPr>
        <w:rFonts w:ascii="Times New Roman" w:hAnsi="Times New Roman" w:cs="Times New Roman"/>
        <w:sz w:val="16"/>
        <w:szCs w:val="16"/>
        <w:lang w:val="en-US" w:eastAsia="nl-NL"/>
      </w:rPr>
      <w:t>Dehaene</w:t>
    </w:r>
    <w:proofErr w:type="spellEnd"/>
    <w:r w:rsidRPr="005B2FBF">
      <w:rPr>
        <w:rFonts w:ascii="Times New Roman" w:hAnsi="Times New Roman" w:cs="Times New Roman"/>
        <w:sz w:val="16"/>
        <w:szCs w:val="16"/>
        <w:lang w:val="en-US" w:eastAsia="nl-NL"/>
      </w:rPr>
      <w:t xml:space="preserve"> I (</w:t>
    </w:r>
    <w:proofErr w:type="spellStart"/>
    <w:r w:rsidRPr="005B2FBF">
      <w:rPr>
        <w:rFonts w:ascii="Times New Roman" w:hAnsi="Times New Roman" w:cs="Times New Roman"/>
        <w:sz w:val="16"/>
        <w:szCs w:val="16"/>
        <w:lang w:val="en-US" w:eastAsia="nl-NL"/>
      </w:rPr>
      <w:t>Gynaecology</w:t>
    </w:r>
    <w:proofErr w:type="spellEnd"/>
    <w:r w:rsidRPr="005B2FBF">
      <w:rPr>
        <w:rFonts w:ascii="Times New Roman" w:hAnsi="Times New Roman" w:cs="Times New Roman"/>
        <w:sz w:val="16"/>
        <w:szCs w:val="16"/>
        <w:lang w:val="en-US" w:eastAsia="nl-NL"/>
      </w:rPr>
      <w:t xml:space="preserve"> and Obstetrics, Ghent University Hospital, isabelle.dehaene@ugent.be), Van </w:t>
    </w:r>
    <w:proofErr w:type="spellStart"/>
    <w:r w:rsidRPr="005B2FBF">
      <w:rPr>
        <w:rFonts w:ascii="Times New Roman" w:hAnsi="Times New Roman" w:cs="Times New Roman"/>
        <w:sz w:val="16"/>
        <w:szCs w:val="16"/>
        <w:lang w:val="en-US" w:eastAsia="nl-NL"/>
      </w:rPr>
      <w:t>Steenstraeten</w:t>
    </w:r>
    <w:proofErr w:type="spellEnd"/>
    <w:r w:rsidRPr="005B2FBF">
      <w:rPr>
        <w:rFonts w:ascii="Times New Roman" w:hAnsi="Times New Roman" w:cs="Times New Roman"/>
        <w:sz w:val="16"/>
        <w:szCs w:val="16"/>
        <w:lang w:val="en-US" w:eastAsia="nl-NL"/>
      </w:rPr>
      <w:t xml:space="preserve"> T, De Coen K, De </w:t>
    </w:r>
    <w:proofErr w:type="spellStart"/>
    <w:r w:rsidRPr="005B2FBF">
      <w:rPr>
        <w:rFonts w:ascii="Times New Roman" w:hAnsi="Times New Roman" w:cs="Times New Roman"/>
        <w:sz w:val="16"/>
        <w:szCs w:val="16"/>
        <w:lang w:val="en-US" w:eastAsia="nl-NL"/>
      </w:rPr>
      <w:t>Buyser</w:t>
    </w:r>
    <w:proofErr w:type="spellEnd"/>
    <w:r w:rsidRPr="005B2FBF">
      <w:rPr>
        <w:rFonts w:ascii="Times New Roman" w:hAnsi="Times New Roman" w:cs="Times New Roman"/>
        <w:sz w:val="16"/>
        <w:szCs w:val="16"/>
        <w:lang w:val="en-US" w:eastAsia="nl-NL"/>
      </w:rPr>
      <w:t xml:space="preserve"> S, </w:t>
    </w:r>
    <w:proofErr w:type="spellStart"/>
    <w:r w:rsidRPr="005B2FBF">
      <w:rPr>
        <w:rFonts w:ascii="Times New Roman" w:hAnsi="Times New Roman" w:cs="Times New Roman"/>
        <w:sz w:val="16"/>
        <w:szCs w:val="16"/>
        <w:lang w:val="en-US" w:eastAsia="nl-NL"/>
      </w:rPr>
      <w:t>Decruyenaere</w:t>
    </w:r>
    <w:proofErr w:type="spellEnd"/>
    <w:r w:rsidRPr="005B2FBF">
      <w:rPr>
        <w:rFonts w:ascii="Times New Roman" w:hAnsi="Times New Roman" w:cs="Times New Roman"/>
        <w:sz w:val="16"/>
        <w:szCs w:val="16"/>
        <w:lang w:val="en-US" w:eastAsia="nl-NL"/>
      </w:rPr>
      <w:t xml:space="preserve"> J, </w:t>
    </w:r>
    <w:proofErr w:type="spellStart"/>
    <w:r w:rsidRPr="005B2FBF">
      <w:rPr>
        <w:rFonts w:ascii="Times New Roman" w:hAnsi="Times New Roman" w:cs="Times New Roman"/>
        <w:sz w:val="16"/>
        <w:szCs w:val="16"/>
        <w:lang w:val="en-US" w:eastAsia="nl-NL"/>
      </w:rPr>
      <w:t>Smets</w:t>
    </w:r>
    <w:proofErr w:type="spellEnd"/>
    <w:r w:rsidRPr="005B2FBF">
      <w:rPr>
        <w:rFonts w:ascii="Times New Roman" w:hAnsi="Times New Roman" w:cs="Times New Roman"/>
        <w:sz w:val="16"/>
        <w:szCs w:val="16"/>
        <w:lang w:val="en-US" w:eastAsia="nl-NL"/>
      </w:rPr>
      <w:t xml:space="preserve"> K, </w:t>
    </w:r>
    <w:proofErr w:type="spellStart"/>
    <w:r w:rsidRPr="005B2FBF">
      <w:rPr>
        <w:rFonts w:ascii="Times New Roman" w:hAnsi="Times New Roman" w:cs="Times New Roman"/>
        <w:sz w:val="16"/>
        <w:szCs w:val="16"/>
        <w:lang w:val="en-US" w:eastAsia="nl-NL"/>
      </w:rPr>
      <w:t>Roelens</w:t>
    </w:r>
    <w:proofErr w:type="spellEnd"/>
    <w:r w:rsidRPr="005B2FBF">
      <w:rPr>
        <w:rFonts w:ascii="Times New Roman" w:hAnsi="Times New Roman" w:cs="Times New Roman"/>
        <w:sz w:val="16"/>
        <w:szCs w:val="16"/>
        <w:lang w:val="en-US" w:eastAsia="nl-NL"/>
      </w:rPr>
      <w:t xml:space="preserve"> K. </w:t>
    </w:r>
  </w:p>
  <w:p w14:paraId="3304C7C9" w14:textId="77777777" w:rsidR="005B2FBF" w:rsidRPr="005B2FBF" w:rsidRDefault="005B2FBF">
    <w:pPr>
      <w:pStyle w:val="Koptekst"/>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3D9"/>
    <w:rsid w:val="00032C27"/>
    <w:rsid w:val="00102C98"/>
    <w:rsid w:val="001E6C25"/>
    <w:rsid w:val="003C0703"/>
    <w:rsid w:val="00430095"/>
    <w:rsid w:val="00480D0C"/>
    <w:rsid w:val="005355DF"/>
    <w:rsid w:val="005B2FBF"/>
    <w:rsid w:val="00695179"/>
    <w:rsid w:val="007E5A38"/>
    <w:rsid w:val="00C23D25"/>
    <w:rsid w:val="00C6598E"/>
    <w:rsid w:val="00CA44BE"/>
    <w:rsid w:val="00E8734B"/>
    <w:rsid w:val="00EE33D9"/>
    <w:rsid w:val="00F371A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6C7EC6CF"/>
  <w14:defaultImageDpi w14:val="32767"/>
  <w15:chartTrackingRefBased/>
  <w15:docId w15:val="{21528FA6-1A31-A344-88E5-B5B1DE31D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ard">
    <w:name w:val="Normal"/>
    <w:qFormat/>
    <w:rsid w:val="00EE33D9"/>
    <w:rPr>
      <w:lang w:val="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5B2FBF"/>
    <w:pPr>
      <w:tabs>
        <w:tab w:val="center" w:pos="4536"/>
        <w:tab w:val="right" w:pos="9072"/>
      </w:tabs>
    </w:pPr>
  </w:style>
  <w:style w:type="character" w:customStyle="1" w:styleId="KoptekstChar">
    <w:name w:val="Koptekst Char"/>
    <w:basedOn w:val="Standaardalinea-lettertype"/>
    <w:link w:val="Koptekst"/>
    <w:uiPriority w:val="99"/>
    <w:rsid w:val="005B2FBF"/>
    <w:rPr>
      <w:lang w:val="nl-BE"/>
    </w:rPr>
  </w:style>
  <w:style w:type="paragraph" w:styleId="Voettekst">
    <w:name w:val="footer"/>
    <w:basedOn w:val="Standaard"/>
    <w:link w:val="VoettekstChar"/>
    <w:uiPriority w:val="99"/>
    <w:unhideWhenUsed/>
    <w:rsid w:val="005B2FBF"/>
    <w:pPr>
      <w:tabs>
        <w:tab w:val="center" w:pos="4536"/>
        <w:tab w:val="right" w:pos="9072"/>
      </w:tabs>
    </w:pPr>
  </w:style>
  <w:style w:type="character" w:customStyle="1" w:styleId="VoettekstChar">
    <w:name w:val="Voettekst Char"/>
    <w:basedOn w:val="Standaardalinea-lettertype"/>
    <w:link w:val="Voettekst"/>
    <w:uiPriority w:val="99"/>
    <w:rsid w:val="005B2FBF"/>
    <w:rPr>
      <w:lang w:val="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405</Words>
  <Characters>2232</Characters>
  <Application>Microsoft Office Word</Application>
  <DocSecurity>0</DocSecurity>
  <Lines>18</Lines>
  <Paragraphs>5</Paragraphs>
  <ScaleCrop>false</ScaleCrop>
  <Company/>
  <LinksUpToDate>false</LinksUpToDate>
  <CharactersWithSpaces>2632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Dehaene</dc:creator>
  <cp:keywords/>
  <dc:description/>
  <cp:lastModifiedBy>Isabelle Dehaene</cp:lastModifiedBy>
  <cp:revision>3</cp:revision>
  <dcterms:created xsi:type="dcterms:W3CDTF">2021-11-23T20:35:00Z</dcterms:created>
  <dcterms:modified xsi:type="dcterms:W3CDTF">2021-11-23T20:35:00Z</dcterms:modified>
</cp:coreProperties>
</file>