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7ADA1" w14:textId="77777777" w:rsidR="00D91720" w:rsidRDefault="00000000">
      <w:pPr>
        <w:pStyle w:val="Intro"/>
        <w:widowControl/>
        <w:spacing w:before="1400" w:afterLines="100" w:after="312"/>
        <w:rPr>
          <w:rFonts w:eastAsiaTheme="minorEastAsia" w:cs="Arial"/>
          <w:b/>
          <w:kern w:val="36"/>
          <w:sz w:val="36"/>
          <w:szCs w:val="21"/>
          <w:lang w:eastAsia="en-US"/>
        </w:rPr>
      </w:pPr>
      <w:bookmarkStart w:id="0" w:name="_Hlk107498108"/>
      <w:bookmarkEnd w:id="0"/>
      <w:r>
        <w:rPr>
          <w:rFonts w:eastAsiaTheme="minorEastAsia" w:cs="Arial"/>
          <w:kern w:val="36"/>
          <w:sz w:val="24"/>
          <w:szCs w:val="21"/>
          <w:lang w:eastAsia="en-US"/>
        </w:rPr>
        <w:t>Supplementary Information for</w:t>
      </w:r>
    </w:p>
    <w:p w14:paraId="4A0CD3B8" w14:textId="3FA24D8E" w:rsidR="00D91720" w:rsidRPr="00461CD3" w:rsidRDefault="00461CD3">
      <w:pPr>
        <w:pStyle w:val="Body"/>
        <w:spacing w:after="200"/>
        <w:jc w:val="center"/>
        <w:rPr>
          <w:rFonts w:ascii="Arial" w:hAnsi="Arial" w:cs="Arial"/>
        </w:rPr>
      </w:pPr>
      <w:bookmarkStart w:id="1" w:name="_Hlk219229229"/>
      <w:bookmarkStart w:id="2" w:name="_Hlk184411174"/>
      <w:r w:rsidRPr="00461CD3">
        <w:rPr>
          <w:rFonts w:ascii="Arial" w:eastAsia="Arial" w:hAnsi="Arial" w:cs="Arial"/>
          <w:b/>
          <w:sz w:val="30"/>
        </w:rPr>
        <w:t xml:space="preserve">Elemental sulfur enables a </w:t>
      </w:r>
      <w:proofErr w:type="spellStart"/>
      <w:r w:rsidRPr="00461CD3">
        <w:rPr>
          <w:rFonts w:ascii="Arial" w:eastAsia="Arial" w:hAnsi="Arial" w:cs="Arial"/>
          <w:b/>
          <w:sz w:val="30"/>
        </w:rPr>
        <w:t>thione</w:t>
      </w:r>
      <w:proofErr w:type="spellEnd"/>
      <w:r w:rsidRPr="00461CD3">
        <w:rPr>
          <w:rFonts w:ascii="Arial" w:eastAsia="Arial" w:hAnsi="Arial" w:cs="Arial"/>
          <w:b/>
          <w:sz w:val="30"/>
        </w:rPr>
        <w:t>-mediated, non-radical polycondensation toward poly(</w:t>
      </w:r>
      <w:proofErr w:type="spellStart"/>
      <w:r w:rsidRPr="00461CD3">
        <w:rPr>
          <w:rFonts w:ascii="Arial" w:eastAsia="Arial" w:hAnsi="Arial" w:cs="Arial"/>
          <w:b/>
          <w:sz w:val="30"/>
        </w:rPr>
        <w:t>benzodifurandione</w:t>
      </w:r>
      <w:proofErr w:type="spellEnd"/>
      <w:r w:rsidRPr="00461CD3">
        <w:rPr>
          <w:rFonts w:ascii="Arial" w:eastAsia="Arial" w:hAnsi="Arial" w:cs="Arial"/>
          <w:b/>
          <w:sz w:val="30"/>
        </w:rPr>
        <w:t>)</w:t>
      </w:r>
    </w:p>
    <w:bookmarkEnd w:id="1"/>
    <w:p w14:paraId="6923267D" w14:textId="1CFF616E" w:rsidR="00D91720" w:rsidRDefault="00000000">
      <w:pPr>
        <w:pStyle w:val="Body"/>
        <w:spacing w:after="200"/>
        <w:jc w:val="center"/>
        <w:rPr>
          <w:rFonts w:ascii="Arial" w:hAnsi="Arial"/>
        </w:rPr>
      </w:pPr>
      <w:r>
        <w:rPr>
          <w:rFonts w:ascii="Arial" w:eastAsia="Arial" w:hAnsi="Arial" w:cs="Arial"/>
        </w:rPr>
        <w:t>Yi-Dan Luan,</w:t>
      </w:r>
      <w:r>
        <w:rPr>
          <w:rFonts w:ascii="Arial" w:eastAsia="Arial" w:hAnsi="Arial" w:cs="Arial"/>
          <w:vertAlign w:val="superscript"/>
        </w:rPr>
        <w:t>1,3</w:t>
      </w:r>
      <w:r>
        <w:rPr>
          <w:rFonts w:ascii="Arial" w:eastAsia="Arial" w:hAnsi="Arial" w:cs="Arial"/>
        </w:rPr>
        <w:t xml:space="preserve"> Jia-Qiang Liao,</w:t>
      </w:r>
      <w:r>
        <w:rPr>
          <w:rFonts w:ascii="Arial" w:eastAsia="Arial" w:hAnsi="Arial" w:cs="Arial"/>
          <w:vertAlign w:val="superscript"/>
        </w:rPr>
        <w:t>1,3</w:t>
      </w:r>
      <w:r>
        <w:rPr>
          <w:rFonts w:ascii="Arial" w:eastAsia="Arial" w:hAnsi="Arial" w:cs="Arial"/>
        </w:rPr>
        <w:t xml:space="preserve"> Xin-Yu Wang,</w:t>
      </w:r>
      <w:r>
        <w:rPr>
          <w:rFonts w:ascii="Arial" w:eastAsia="Arial" w:hAnsi="Arial" w:cs="Arial"/>
          <w:vertAlign w:val="superscript"/>
        </w:rPr>
        <w:t>3</w:t>
      </w:r>
      <w:r>
        <w:rPr>
          <w:rFonts w:ascii="Arial" w:eastAsia="Arial" w:hAnsi="Arial" w:cs="Arial" w:hint="eastAsia"/>
          <w:vertAlign w:val="superscript"/>
        </w:rPr>
        <w:t xml:space="preserve"> </w:t>
      </w:r>
      <w:r>
        <w:rPr>
          <w:rFonts w:ascii="Arial" w:eastAsia="Arial" w:hAnsi="Arial" w:cs="Arial"/>
        </w:rPr>
        <w:t>Tian-Yi Dai,</w:t>
      </w:r>
      <w:r>
        <w:rPr>
          <w:rFonts w:ascii="Arial" w:eastAsia="Arial" w:hAnsi="Arial" w:cs="Arial"/>
          <w:vertAlign w:val="superscript"/>
        </w:rPr>
        <w:t>1</w:t>
      </w:r>
      <w:r>
        <w:rPr>
          <w:rFonts w:ascii="Arial" w:eastAsia="Arial" w:hAnsi="Arial" w:cs="Arial" w:hint="eastAsia"/>
          <w:vertAlign w:val="superscript"/>
        </w:rPr>
        <w:t xml:space="preserve"> </w:t>
      </w:r>
      <w:r>
        <w:rPr>
          <w:rFonts w:ascii="Arial" w:eastAsia="Arial" w:hAnsi="Arial" w:cs="Arial"/>
        </w:rPr>
        <w:t>Si-Jing Wang,</w:t>
      </w:r>
      <w:r>
        <w:rPr>
          <w:rFonts w:ascii="Arial" w:eastAsia="Arial" w:hAnsi="Arial" w:cs="Arial"/>
          <w:vertAlign w:val="superscript"/>
        </w:rPr>
        <w:t>1,3</w:t>
      </w:r>
      <w:r>
        <w:rPr>
          <w:rFonts w:ascii="Arial" w:eastAsia="Arial" w:hAnsi="Arial" w:cs="Arial" w:hint="eastAsia"/>
          <w:vertAlign w:val="superscript"/>
        </w:rPr>
        <w:t xml:space="preserve"> </w:t>
      </w:r>
      <w:r>
        <w:rPr>
          <w:rFonts w:ascii="Arial" w:eastAsia="Arial" w:hAnsi="Arial" w:cs="Arial"/>
        </w:rPr>
        <w:t>Xin-Yi Liu,</w:t>
      </w:r>
      <w:r>
        <w:rPr>
          <w:rFonts w:ascii="Arial" w:eastAsia="Arial" w:hAnsi="Arial" w:cs="Arial"/>
          <w:vertAlign w:val="superscript"/>
        </w:rPr>
        <w:t>3</w:t>
      </w:r>
      <w:r>
        <w:rPr>
          <w:rFonts w:ascii="Arial" w:eastAsia="Arial" w:hAnsi="Arial" w:cs="Arial"/>
        </w:rPr>
        <w:t xml:space="preserve"> Shuo Chen,</w:t>
      </w:r>
      <w:r>
        <w:rPr>
          <w:rFonts w:ascii="Arial" w:eastAsia="Arial" w:hAnsi="Arial" w:cs="Arial"/>
          <w:vertAlign w:val="superscript"/>
        </w:rPr>
        <w:t>1,3</w:t>
      </w:r>
      <w:r>
        <w:rPr>
          <w:rFonts w:ascii="Arial" w:eastAsia="Arial" w:hAnsi="Arial" w:cs="Arial"/>
        </w:rPr>
        <w:t xml:space="preserve"> Feng Ye,</w:t>
      </w:r>
      <w:r>
        <w:rPr>
          <w:rFonts w:ascii="Arial" w:eastAsia="Arial" w:hAnsi="Arial" w:cs="Arial"/>
          <w:vertAlign w:val="superscript"/>
        </w:rPr>
        <w:t>1</w:t>
      </w:r>
      <w:r>
        <w:rPr>
          <w:rFonts w:ascii="Arial" w:eastAsia="Arial" w:hAnsi="Arial" w:cs="Arial"/>
        </w:rPr>
        <w:t xml:space="preserve"> Rong-Sheng Zhang,</w:t>
      </w:r>
      <w:r>
        <w:rPr>
          <w:rFonts w:ascii="Arial" w:eastAsia="Arial" w:hAnsi="Arial" w:cs="Arial"/>
          <w:vertAlign w:val="superscript"/>
        </w:rPr>
        <w:t>1,3</w:t>
      </w:r>
      <w:r>
        <w:rPr>
          <w:rFonts w:ascii="Arial" w:eastAsia="Arial" w:hAnsi="Arial" w:cs="Arial"/>
        </w:rPr>
        <w:t xml:space="preserve"> Ri-Qing Ding,</w:t>
      </w:r>
      <w:r>
        <w:rPr>
          <w:rFonts w:ascii="Arial" w:eastAsia="Arial" w:hAnsi="Arial" w:cs="Arial"/>
          <w:vertAlign w:val="superscript"/>
        </w:rPr>
        <w:t>1</w:t>
      </w:r>
      <w:r>
        <w:rPr>
          <w:rFonts w:ascii="Arial" w:eastAsia="Arial" w:hAnsi="Arial" w:cs="Arial"/>
        </w:rPr>
        <w:t xml:space="preserve"> Jun-Tong Li,</w:t>
      </w:r>
      <w:r>
        <w:rPr>
          <w:rFonts w:ascii="Arial" w:eastAsia="Arial" w:hAnsi="Arial" w:cs="Arial"/>
          <w:vertAlign w:val="superscript"/>
        </w:rPr>
        <w:t>1</w:t>
      </w:r>
      <w:r>
        <w:rPr>
          <w:rFonts w:ascii="Arial" w:eastAsia="Arial" w:hAnsi="Arial" w:cs="Arial"/>
        </w:rPr>
        <w:t xml:space="preserve"> Shao-Hua Tong,</w:t>
      </w:r>
      <w:r>
        <w:rPr>
          <w:rFonts w:ascii="Arial" w:eastAsia="Arial" w:hAnsi="Arial" w:cs="Arial"/>
          <w:vertAlign w:val="superscript"/>
        </w:rPr>
        <w:t>2</w:t>
      </w:r>
      <w:r>
        <w:rPr>
          <w:rFonts w:ascii="Arial" w:eastAsia="Arial" w:hAnsi="Arial" w:cs="Arial"/>
        </w:rPr>
        <w:t xml:space="preserve"> Meng-Ming Sun,</w:t>
      </w:r>
      <w:r>
        <w:rPr>
          <w:rFonts w:ascii="Arial" w:eastAsia="Arial" w:hAnsi="Arial" w:cs="Arial"/>
          <w:vertAlign w:val="superscript"/>
        </w:rPr>
        <w:t>2</w:t>
      </w:r>
      <w:r>
        <w:rPr>
          <w:rFonts w:ascii="Arial" w:eastAsia="Arial" w:hAnsi="Arial" w:cs="Arial"/>
        </w:rPr>
        <w:t xml:space="preserve"> Lei Fang,</w:t>
      </w:r>
      <w:r>
        <w:rPr>
          <w:rFonts w:ascii="Arial" w:eastAsia="Arial" w:hAnsi="Arial" w:cs="Arial"/>
          <w:vertAlign w:val="superscript"/>
        </w:rPr>
        <w:t>1</w:t>
      </w:r>
      <w:r>
        <w:rPr>
          <w:rFonts w:ascii="Arial" w:eastAsia="Arial" w:hAnsi="Arial" w:cs="Arial"/>
          <w:color w:val="000000" w:themeColor="text1"/>
          <w:vertAlign w:val="superscript"/>
        </w:rPr>
        <w:t>*</w:t>
      </w:r>
      <w:r>
        <w:rPr>
          <w:rFonts w:ascii="Arial" w:eastAsia="Arial" w:hAnsi="Arial" w:cs="Arial"/>
          <w:color w:val="000000" w:themeColor="text1"/>
        </w:rPr>
        <w:t xml:space="preserve"> </w:t>
      </w:r>
      <w:r>
        <w:rPr>
          <w:rFonts w:ascii="Arial" w:eastAsia="Arial" w:hAnsi="Arial" w:cs="Arial"/>
        </w:rPr>
        <w:t>Yu-Guang Ma,</w:t>
      </w:r>
      <w:r>
        <w:rPr>
          <w:rFonts w:ascii="Arial" w:eastAsia="Arial" w:hAnsi="Arial" w:cs="Arial"/>
          <w:vertAlign w:val="superscript"/>
        </w:rPr>
        <w:t>2</w:t>
      </w:r>
      <w:r>
        <w:rPr>
          <w:rFonts w:ascii="Arial" w:eastAsia="Arial" w:hAnsi="Arial" w:cs="Arial"/>
        </w:rPr>
        <w:t xml:space="preserve"> Qing-Lin Jiang,2* and Zi-Hao Guo</w:t>
      </w:r>
      <w:r>
        <w:rPr>
          <w:rFonts w:ascii="Arial" w:eastAsia="Arial" w:hAnsi="Arial" w:cs="Arial"/>
          <w:vertAlign w:val="superscript"/>
        </w:rPr>
        <w:t>1,2,3*</w:t>
      </w:r>
      <w:r>
        <w:rPr>
          <w:rFonts w:ascii="Arial" w:eastAsia="Arial" w:hAnsi="Arial" w:cs="Arial"/>
        </w:rPr>
        <w:t xml:space="preserve">  </w:t>
      </w:r>
    </w:p>
    <w:p w14:paraId="048871CA" w14:textId="6C7706B8" w:rsidR="00D91720" w:rsidRDefault="00000000">
      <w:pPr>
        <w:pStyle w:val="ad"/>
        <w:widowControl/>
        <w:spacing w:after="20" w:line="360" w:lineRule="auto"/>
        <w:jc w:val="center"/>
        <w:rPr>
          <w:rFonts w:ascii="Arial" w:eastAsia="宋体" w:hAnsi="Arial" w:cs="Arial"/>
        </w:rPr>
      </w:pPr>
      <w:r>
        <w:rPr>
          <w:rStyle w:val="af0"/>
          <w:rFonts w:ascii="Arial" w:eastAsia="Arial" w:hAnsi="Arial" w:cs="Arial"/>
          <w:sz w:val="18"/>
          <w:lang w:bidi="ar"/>
        </w:rPr>
        <w:t>1</w:t>
      </w:r>
      <w:r w:rsidR="009D0187">
        <w:rPr>
          <w:rStyle w:val="af0"/>
          <w:rFonts w:asciiTheme="minorEastAsia" w:hAnsiTheme="minorEastAsia" w:cs="Arial" w:hint="eastAsia"/>
          <w:sz w:val="18"/>
          <w:lang w:bidi="ar"/>
        </w:rPr>
        <w:t>U</w:t>
      </w:r>
      <w:r w:rsidR="009D0187" w:rsidRPr="009D0187">
        <w:rPr>
          <w:rFonts w:ascii="Arial" w:eastAsia="Arial" w:hAnsi="Arial" w:cs="Arial"/>
          <w:sz w:val="18"/>
          <w:lang w:bidi="ar"/>
        </w:rPr>
        <w:t xml:space="preserve">Center for Functional Organic Materials, </w:t>
      </w:r>
      <w:proofErr w:type="spellStart"/>
      <w:r w:rsidR="009D0187" w:rsidRPr="009D0187">
        <w:rPr>
          <w:rFonts w:ascii="Arial" w:eastAsia="Arial" w:hAnsi="Arial" w:cs="Arial"/>
          <w:sz w:val="18"/>
          <w:lang w:bidi="ar"/>
        </w:rPr>
        <w:t>Yongjiang</w:t>
      </w:r>
      <w:proofErr w:type="spellEnd"/>
      <w:r w:rsidR="009D0187" w:rsidRPr="009D0187">
        <w:rPr>
          <w:rFonts w:ascii="Arial" w:eastAsia="Arial" w:hAnsi="Arial" w:cs="Arial"/>
          <w:sz w:val="18"/>
          <w:lang w:bidi="ar"/>
        </w:rPr>
        <w:t xml:space="preserve"> Laboratory, Ningbo 315202, Zhejiang, China.</w:t>
      </w:r>
    </w:p>
    <w:p w14:paraId="018206D6" w14:textId="77777777" w:rsidR="00D91720" w:rsidRDefault="00000000">
      <w:pPr>
        <w:pStyle w:val="ad"/>
        <w:widowControl/>
        <w:spacing w:after="20" w:line="360" w:lineRule="auto"/>
        <w:jc w:val="center"/>
        <w:rPr>
          <w:rFonts w:ascii="Arial" w:hAnsi="Arial" w:cs="Arial"/>
        </w:rPr>
      </w:pPr>
      <w:r>
        <w:rPr>
          <w:rStyle w:val="af0"/>
          <w:rFonts w:ascii="Arial" w:eastAsia="Arial" w:hAnsi="Arial" w:cs="Arial"/>
          <w:sz w:val="18"/>
          <w:lang w:bidi="ar"/>
        </w:rPr>
        <w:t>2</w:t>
      </w:r>
      <w:r>
        <w:rPr>
          <w:rFonts w:ascii="Arial" w:eastAsia="Arial" w:hAnsi="Arial" w:cs="Arial"/>
          <w:sz w:val="18"/>
          <w:lang w:bidi="ar"/>
        </w:rPr>
        <w:t>Institute of Polymer Optoelectronic Materials and Devices, Guangdong Basic Research Center of Excellence for Energy and Information Polymer Materials, State Key Laboratory of Luminescent Materials and Devices, South China University of Technology, Guangzhou 510640, Guangdong, China.</w:t>
      </w:r>
    </w:p>
    <w:p w14:paraId="744CF8E9" w14:textId="77777777" w:rsidR="00D91720" w:rsidRDefault="00000000">
      <w:pPr>
        <w:pStyle w:val="ad"/>
        <w:widowControl/>
        <w:spacing w:after="20" w:line="360" w:lineRule="auto"/>
        <w:jc w:val="center"/>
        <w:rPr>
          <w:rFonts w:ascii="Arial" w:eastAsia="宋体" w:hAnsi="Arial" w:cs="Arial"/>
        </w:rPr>
      </w:pPr>
      <w:r>
        <w:rPr>
          <w:rFonts w:ascii="Arial" w:eastAsia="Arial" w:hAnsi="Arial" w:cs="Arial"/>
          <w:sz w:val="18"/>
          <w:vertAlign w:val="superscript"/>
          <w:lang w:bidi="ar"/>
        </w:rPr>
        <w:t>3</w:t>
      </w:r>
      <w:r>
        <w:rPr>
          <w:rFonts w:ascii="Arial" w:eastAsia="Arial" w:hAnsi="Arial" w:cs="Arial"/>
          <w:sz w:val="18"/>
          <w:lang w:bidi="ar"/>
        </w:rPr>
        <w:t>Guangdong Provincial Key Laboratory of Functional and Intelligent Hybrid Materials and Devices, South China Advanced Institute for Soft Matter Science and Technology, School of Emergent Soft Matter, South China University of Technology, Guangzhou 510640, Guangdong, China.</w:t>
      </w:r>
    </w:p>
    <w:p w14:paraId="47F5F330" w14:textId="77777777" w:rsidR="00D91720" w:rsidRDefault="00000000">
      <w:pPr>
        <w:pStyle w:val="ad"/>
        <w:widowControl/>
        <w:spacing w:after="20" w:line="480" w:lineRule="auto"/>
        <w:jc w:val="center"/>
        <w:rPr>
          <w:rFonts w:ascii="Arial" w:eastAsia="等线" w:hAnsi="Arial" w:cs="Arial"/>
          <w:b/>
        </w:rPr>
      </w:pPr>
      <w:r>
        <w:rPr>
          <w:rFonts w:ascii="Arial" w:eastAsia="Arial" w:hAnsi="Arial" w:cs="Arial"/>
          <w:sz w:val="18"/>
          <w:lang w:bidi="ar"/>
        </w:rPr>
        <w:t>*Corresponding Author(s): Lei Fang: lei-fang@ylab.ac.cn; Qing-Lin Jiang: jiangql@scut.edu.cn; Zi-Hao Guo: zihao-guo@ylab.ac.cn</w:t>
      </w:r>
      <w:bookmarkEnd w:id="2"/>
    </w:p>
    <w:p w14:paraId="417F5712" w14:textId="77777777" w:rsidR="00D91720" w:rsidRDefault="00000000">
      <w:r>
        <w:br w:type="page"/>
      </w:r>
    </w:p>
    <w:p w14:paraId="4D3C3730" w14:textId="77777777" w:rsidR="00D91720" w:rsidRDefault="00000000">
      <w:pPr>
        <w:pStyle w:val="H1"/>
        <w:widowControl/>
        <w:spacing w:before="0" w:after="120" w:line="480" w:lineRule="auto"/>
        <w:jc w:val="left"/>
        <w:rPr>
          <w:rFonts w:eastAsia="MS Mincho" w:cs="Arial"/>
          <w:kern w:val="0"/>
          <w:sz w:val="24"/>
          <w:szCs w:val="24"/>
          <w:lang w:eastAsia="ja-JP"/>
        </w:rPr>
      </w:pPr>
      <w:r>
        <w:rPr>
          <w:rFonts w:eastAsia="Arial" w:cs="Arial"/>
          <w:kern w:val="0"/>
          <w:sz w:val="26"/>
          <w:szCs w:val="24"/>
          <w:lang w:eastAsia="ja-JP"/>
        </w:rPr>
        <w:lastRenderedPageBreak/>
        <w:t>Table of Contents</w:t>
      </w:r>
    </w:p>
    <w:p w14:paraId="1A1E0AA0" w14:textId="5A9AB065" w:rsidR="00D91720" w:rsidRPr="004563D3" w:rsidRDefault="00000000" w:rsidP="004563D3">
      <w:pPr>
        <w:pStyle w:val="ab"/>
        <w:widowControl/>
        <w:numPr>
          <w:ilvl w:val="0"/>
          <w:numId w:val="3"/>
        </w:numPr>
        <w:spacing w:after="40" w:line="360" w:lineRule="auto"/>
        <w:ind w:firstLineChars="0"/>
        <w:jc w:val="left"/>
        <w:rPr>
          <w:rFonts w:eastAsia="宋体" w:cs="Arial"/>
          <w:kern w:val="0"/>
          <w:sz w:val="21"/>
          <w:szCs w:val="21"/>
          <w:lang w:eastAsia="ja-JP"/>
        </w:rPr>
      </w:pPr>
      <w:r w:rsidRPr="004563D3">
        <w:rPr>
          <w:rStyle w:val="Comment"/>
          <w:rFonts w:eastAsia="Arial" w:cs="Arial"/>
          <w:color w:val="auto"/>
          <w:kern w:val="0"/>
          <w:sz w:val="20"/>
          <w:szCs w:val="21"/>
          <w:lang w:eastAsia="ja-JP"/>
        </w:rPr>
        <w:t>Materials and Methods</w:t>
      </w:r>
    </w:p>
    <w:p w14:paraId="0D8A5BF8" w14:textId="64A96267" w:rsidR="00D91720" w:rsidRPr="004563D3" w:rsidRDefault="00000000" w:rsidP="004563D3">
      <w:pPr>
        <w:pStyle w:val="ab"/>
        <w:widowControl/>
        <w:numPr>
          <w:ilvl w:val="0"/>
          <w:numId w:val="3"/>
        </w:numPr>
        <w:spacing w:after="40" w:line="360" w:lineRule="auto"/>
        <w:ind w:firstLineChars="0"/>
        <w:jc w:val="left"/>
        <w:rPr>
          <w:rFonts w:ascii="Arial" w:hAnsi="Arial" w:cs="Arial"/>
          <w:kern w:val="0"/>
          <w:szCs w:val="21"/>
          <w:lang w:eastAsia="ja-JP"/>
        </w:rPr>
      </w:pPr>
      <w:r w:rsidRPr="004563D3">
        <w:rPr>
          <w:rFonts w:ascii="Arial" w:eastAsia="Arial" w:hAnsi="Arial" w:cs="Arial"/>
          <w:kern w:val="0"/>
          <w:szCs w:val="21"/>
          <w:lang w:eastAsia="ja-JP"/>
        </w:rPr>
        <w:t>Base-catalyzed S</w:t>
      </w:r>
      <w:r w:rsidRPr="004563D3">
        <w:rPr>
          <w:rFonts w:ascii="Arial" w:eastAsia="Arial" w:hAnsi="Arial" w:cs="Arial"/>
          <w:kern w:val="0"/>
          <w:szCs w:val="21"/>
          <w:vertAlign w:val="subscript"/>
          <w:lang w:eastAsia="ja-JP"/>
        </w:rPr>
        <w:t>8</w:t>
      </w:r>
      <w:r w:rsidRPr="004563D3">
        <w:rPr>
          <w:rFonts w:ascii="Arial" w:eastAsia="Arial" w:hAnsi="Arial" w:cs="Arial"/>
          <w:kern w:val="0"/>
          <w:szCs w:val="21"/>
          <w:lang w:eastAsia="ja-JP"/>
        </w:rPr>
        <w:t>-mediated oxidative polymerization of PBFDO</w:t>
      </w:r>
    </w:p>
    <w:p w14:paraId="0FF6E348" w14:textId="1E53A1D9" w:rsidR="00D91720" w:rsidRPr="004563D3" w:rsidRDefault="00000000" w:rsidP="004563D3">
      <w:pPr>
        <w:pStyle w:val="ab"/>
        <w:widowControl/>
        <w:numPr>
          <w:ilvl w:val="0"/>
          <w:numId w:val="3"/>
        </w:numPr>
        <w:spacing w:after="40" w:line="360" w:lineRule="auto"/>
        <w:ind w:firstLineChars="0"/>
        <w:jc w:val="left"/>
        <w:rPr>
          <w:rFonts w:cs="Arial"/>
          <w:kern w:val="0"/>
          <w:sz w:val="21"/>
          <w:szCs w:val="21"/>
          <w:lang w:eastAsia="ja-JP"/>
        </w:rPr>
      </w:pPr>
      <w:r w:rsidRPr="004563D3">
        <w:rPr>
          <w:rStyle w:val="Comment"/>
          <w:rFonts w:eastAsia="Arial" w:cs="Arial"/>
          <w:color w:val="auto"/>
          <w:kern w:val="0"/>
          <w:sz w:val="20"/>
          <w:szCs w:val="21"/>
          <w:lang w:eastAsia="ja-JP"/>
        </w:rPr>
        <w:t>Optimization of conditions for S</w:t>
      </w:r>
      <w:r w:rsidRPr="004563D3">
        <w:rPr>
          <w:rStyle w:val="Comment"/>
          <w:rFonts w:eastAsia="Arial" w:cs="Arial"/>
          <w:color w:val="auto"/>
          <w:kern w:val="0"/>
          <w:sz w:val="20"/>
          <w:szCs w:val="21"/>
          <w:vertAlign w:val="subscript"/>
          <w:lang w:eastAsia="ja-JP"/>
        </w:rPr>
        <w:t>8</w:t>
      </w:r>
      <w:r w:rsidRPr="004563D3">
        <w:rPr>
          <w:rStyle w:val="Comment"/>
          <w:rFonts w:eastAsia="Arial" w:cs="Arial"/>
          <w:color w:val="auto"/>
          <w:kern w:val="0"/>
          <w:sz w:val="20"/>
          <w:szCs w:val="21"/>
          <w:lang w:eastAsia="ja-JP"/>
        </w:rPr>
        <w:t>-mediated polymerization</w:t>
      </w:r>
    </w:p>
    <w:p w14:paraId="0D79FEC0" w14:textId="5C6C2A90" w:rsidR="00D91720" w:rsidRPr="004563D3" w:rsidRDefault="00000000" w:rsidP="004563D3">
      <w:pPr>
        <w:pStyle w:val="ab"/>
        <w:widowControl/>
        <w:numPr>
          <w:ilvl w:val="0"/>
          <w:numId w:val="3"/>
        </w:numPr>
        <w:spacing w:after="40" w:line="360" w:lineRule="auto"/>
        <w:ind w:firstLineChars="0"/>
        <w:jc w:val="left"/>
        <w:rPr>
          <w:rFonts w:cs="Arial"/>
          <w:kern w:val="0"/>
          <w:sz w:val="21"/>
          <w:szCs w:val="21"/>
          <w:lang w:eastAsia="ja-JP"/>
        </w:rPr>
      </w:pPr>
      <w:r w:rsidRPr="004563D3">
        <w:rPr>
          <w:rStyle w:val="Comment"/>
          <w:rFonts w:eastAsia="Arial" w:cs="Arial"/>
          <w:color w:val="auto"/>
          <w:kern w:val="0"/>
          <w:sz w:val="20"/>
          <w:szCs w:val="21"/>
          <w:lang w:eastAsia="ja-JP"/>
        </w:rPr>
        <w:t>Mechanistic understanding of S</w:t>
      </w:r>
      <w:r w:rsidRPr="004563D3">
        <w:rPr>
          <w:rStyle w:val="Comment"/>
          <w:rFonts w:eastAsia="Arial" w:cs="Arial"/>
          <w:color w:val="auto"/>
          <w:kern w:val="0"/>
          <w:sz w:val="20"/>
          <w:szCs w:val="21"/>
          <w:vertAlign w:val="subscript"/>
          <w:lang w:eastAsia="ja-JP"/>
        </w:rPr>
        <w:t>8</w:t>
      </w:r>
      <w:r w:rsidRPr="004563D3">
        <w:rPr>
          <w:rStyle w:val="Comment"/>
          <w:rFonts w:eastAsia="Arial" w:cs="Arial"/>
          <w:color w:val="auto"/>
          <w:kern w:val="0"/>
          <w:sz w:val="20"/>
          <w:szCs w:val="21"/>
          <w:lang w:eastAsia="ja-JP"/>
        </w:rPr>
        <w:t>-mediated polymerization</w:t>
      </w:r>
    </w:p>
    <w:p w14:paraId="1C2ECB11" w14:textId="388C6FBD" w:rsidR="00D91720" w:rsidRPr="004563D3" w:rsidRDefault="00000000" w:rsidP="004563D3">
      <w:pPr>
        <w:pStyle w:val="ab"/>
        <w:widowControl/>
        <w:numPr>
          <w:ilvl w:val="0"/>
          <w:numId w:val="3"/>
        </w:numPr>
        <w:spacing w:after="40" w:line="360" w:lineRule="auto"/>
        <w:ind w:firstLineChars="0"/>
        <w:jc w:val="left"/>
        <w:rPr>
          <w:rFonts w:cs="Arial"/>
          <w:kern w:val="0"/>
          <w:sz w:val="21"/>
          <w:szCs w:val="21"/>
          <w:lang w:eastAsia="ja-JP"/>
        </w:rPr>
      </w:pPr>
      <w:r w:rsidRPr="004563D3">
        <w:rPr>
          <w:rStyle w:val="Comment"/>
          <w:rFonts w:eastAsia="Arial" w:cs="Arial"/>
          <w:color w:val="auto"/>
          <w:kern w:val="0"/>
          <w:sz w:val="20"/>
          <w:szCs w:val="21"/>
          <w:lang w:eastAsia="ja-JP"/>
        </w:rPr>
        <w:t>Dynamic light scattering (DLS) measurements of PBFDO polymers</w:t>
      </w:r>
    </w:p>
    <w:p w14:paraId="4A31114F" w14:textId="266169A8" w:rsidR="00D91720" w:rsidRPr="004563D3" w:rsidRDefault="00000000" w:rsidP="004563D3">
      <w:pPr>
        <w:pStyle w:val="ab"/>
        <w:widowControl/>
        <w:numPr>
          <w:ilvl w:val="0"/>
          <w:numId w:val="3"/>
        </w:numPr>
        <w:spacing w:after="40" w:line="360" w:lineRule="auto"/>
        <w:ind w:firstLineChars="0"/>
        <w:jc w:val="left"/>
        <w:rPr>
          <w:rFonts w:cs="Arial"/>
          <w:kern w:val="0"/>
          <w:sz w:val="21"/>
          <w:szCs w:val="21"/>
          <w:lang w:eastAsia="ja-JP"/>
        </w:rPr>
      </w:pPr>
      <w:r w:rsidRPr="004563D3">
        <w:rPr>
          <w:rStyle w:val="Comment"/>
          <w:rFonts w:eastAsia="Arial" w:cs="Arial"/>
          <w:color w:val="auto"/>
          <w:kern w:val="0"/>
          <w:sz w:val="20"/>
          <w:szCs w:val="21"/>
          <w:lang w:eastAsia="ja-JP"/>
        </w:rPr>
        <w:t>General characterization of polymers</w:t>
      </w:r>
    </w:p>
    <w:p w14:paraId="5771DE23" w14:textId="34419415" w:rsidR="00D91720" w:rsidRPr="004563D3" w:rsidRDefault="00000000" w:rsidP="004563D3">
      <w:pPr>
        <w:pStyle w:val="ab"/>
        <w:widowControl/>
        <w:numPr>
          <w:ilvl w:val="0"/>
          <w:numId w:val="3"/>
        </w:numPr>
        <w:spacing w:after="40" w:line="360" w:lineRule="auto"/>
        <w:ind w:firstLineChars="0"/>
        <w:jc w:val="left"/>
        <w:rPr>
          <w:rFonts w:cs="Arial"/>
          <w:kern w:val="0"/>
          <w:sz w:val="21"/>
          <w:szCs w:val="21"/>
          <w:lang w:eastAsia="ja-JP"/>
        </w:rPr>
      </w:pPr>
      <w:r w:rsidRPr="004563D3">
        <w:rPr>
          <w:rStyle w:val="Comment"/>
          <w:rFonts w:eastAsia="Arial" w:cs="Arial"/>
          <w:color w:val="auto"/>
          <w:kern w:val="0"/>
          <w:sz w:val="20"/>
          <w:szCs w:val="21"/>
          <w:lang w:eastAsia="ja-JP"/>
        </w:rPr>
        <w:t>Thermoelectric and OECT measurements</w:t>
      </w:r>
    </w:p>
    <w:p w14:paraId="4663C7C5" w14:textId="1B2231F4" w:rsidR="00D91720" w:rsidRDefault="00000000" w:rsidP="004563D3">
      <w:pPr>
        <w:pStyle w:val="ab"/>
        <w:numPr>
          <w:ilvl w:val="0"/>
          <w:numId w:val="3"/>
        </w:numPr>
        <w:spacing w:line="360" w:lineRule="auto"/>
        <w:ind w:firstLineChars="0"/>
        <w:jc w:val="left"/>
      </w:pPr>
      <w:r w:rsidRPr="004563D3">
        <w:rPr>
          <w:rStyle w:val="Comment"/>
          <w:rFonts w:eastAsia="Arial" w:cs="Arial"/>
          <w:color w:val="auto"/>
          <w:kern w:val="0"/>
          <w:sz w:val="20"/>
          <w:szCs w:val="21"/>
          <w:lang w:eastAsia="ja-JP"/>
        </w:rPr>
        <w:t>Scale-up synthesis of PBFDO</w:t>
      </w:r>
    </w:p>
    <w:p w14:paraId="7CF3AF59" w14:textId="104858F6" w:rsidR="00D91720" w:rsidRPr="004563D3" w:rsidRDefault="00000000" w:rsidP="004563D3">
      <w:pPr>
        <w:pStyle w:val="ab"/>
        <w:numPr>
          <w:ilvl w:val="0"/>
          <w:numId w:val="3"/>
        </w:numPr>
        <w:spacing w:line="360" w:lineRule="auto"/>
        <w:ind w:firstLineChars="0"/>
        <w:jc w:val="left"/>
        <w:rPr>
          <w:rStyle w:val="Comment"/>
          <w:rFonts w:eastAsia="Arial" w:cs="Arial"/>
          <w:color w:val="auto"/>
          <w:kern w:val="0"/>
          <w:sz w:val="20"/>
          <w:szCs w:val="21"/>
          <w:lang w:eastAsia="ja-JP"/>
        </w:rPr>
      </w:pPr>
      <w:r w:rsidRPr="004563D3">
        <w:rPr>
          <w:rStyle w:val="Comment"/>
          <w:rFonts w:eastAsia="Arial" w:cs="Arial"/>
          <w:color w:val="auto"/>
          <w:kern w:val="0"/>
          <w:sz w:val="20"/>
          <w:szCs w:val="21"/>
          <w:lang w:eastAsia="ja-JP"/>
        </w:rPr>
        <w:t>Additional device characterization</w:t>
      </w:r>
    </w:p>
    <w:p w14:paraId="2B9AE0EB" w14:textId="325B9204" w:rsidR="00D91720" w:rsidRPr="004563D3" w:rsidRDefault="00000000" w:rsidP="004563D3">
      <w:pPr>
        <w:pStyle w:val="ab"/>
        <w:widowControl/>
        <w:numPr>
          <w:ilvl w:val="0"/>
          <w:numId w:val="3"/>
        </w:numPr>
        <w:spacing w:after="40" w:line="360" w:lineRule="auto"/>
        <w:ind w:firstLineChars="0"/>
        <w:jc w:val="left"/>
        <w:rPr>
          <w:rFonts w:ascii="Arial" w:hAnsi="Arial" w:cs="Arial"/>
          <w:b/>
          <w:bCs/>
          <w:szCs w:val="21"/>
        </w:rPr>
      </w:pPr>
      <w:r w:rsidRPr="004563D3">
        <w:rPr>
          <w:rStyle w:val="Comment"/>
          <w:rFonts w:eastAsia="Arial" w:cs="Arial"/>
          <w:color w:val="auto"/>
          <w:kern w:val="0"/>
          <w:sz w:val="20"/>
          <w:szCs w:val="21"/>
          <w:lang w:eastAsia="ja-JP"/>
        </w:rPr>
        <w:t>References</w:t>
      </w:r>
    </w:p>
    <w:p w14:paraId="6FB36D50" w14:textId="77777777" w:rsidR="00D91720" w:rsidRDefault="00000000">
      <w:r>
        <w:br w:type="page"/>
      </w:r>
    </w:p>
    <w:p w14:paraId="51757D03" w14:textId="0D711594" w:rsidR="00D91720" w:rsidRDefault="00000000">
      <w:pPr>
        <w:numPr>
          <w:ilvl w:val="0"/>
          <w:numId w:val="2"/>
        </w:numPr>
        <w:spacing w:before="200" w:after="100" w:line="480" w:lineRule="auto"/>
        <w:jc w:val="left"/>
        <w:rPr>
          <w:rFonts w:ascii="Arial" w:hAnsi="Arial" w:cs="Arial"/>
          <w:b/>
          <w:bCs/>
          <w:sz w:val="24"/>
          <w:szCs w:val="24"/>
        </w:rPr>
      </w:pPr>
      <w:r>
        <w:rPr>
          <w:rFonts w:ascii="Arial" w:eastAsia="Arial" w:hAnsi="Arial" w:cs="Arial"/>
          <w:b/>
          <w:bCs/>
          <w:sz w:val="24"/>
          <w:szCs w:val="24"/>
        </w:rPr>
        <w:lastRenderedPageBreak/>
        <w:t>Materials and Methods</w:t>
      </w:r>
    </w:p>
    <w:p w14:paraId="706C55C8" w14:textId="01506DF4" w:rsidR="007E0E98" w:rsidRPr="007E0E98" w:rsidRDefault="00000000">
      <w:pPr>
        <w:spacing w:after="100" w:line="480" w:lineRule="auto"/>
        <w:rPr>
          <w:rFonts w:ascii="Arial" w:hAnsi="Arial" w:cs="Arial"/>
          <w:szCs w:val="21"/>
        </w:rPr>
      </w:pPr>
      <w:r w:rsidRPr="007E0E98">
        <w:rPr>
          <w:rFonts w:ascii="Arial" w:eastAsia="Arial" w:hAnsi="Arial" w:cs="Arial"/>
          <w:b/>
          <w:bCs/>
          <w:i/>
          <w:iCs/>
          <w:szCs w:val="24"/>
          <w:lang w:bidi="ar"/>
        </w:rPr>
        <w:t>Materials</w:t>
      </w:r>
    </w:p>
    <w:p w14:paraId="2349CC1C" w14:textId="0723BE83" w:rsidR="00D91720" w:rsidRDefault="00000000">
      <w:pPr>
        <w:spacing w:after="100" w:line="480" w:lineRule="auto"/>
        <w:rPr>
          <w:rFonts w:ascii="Arial" w:hAnsi="Arial" w:cs="Arial"/>
          <w:szCs w:val="24"/>
          <w:lang w:bidi="ar"/>
        </w:rPr>
      </w:pPr>
      <w:r>
        <w:rPr>
          <w:rFonts w:ascii="Arial" w:eastAsia="Arial" w:hAnsi="Arial" w:cs="Arial"/>
          <w:szCs w:val="24"/>
          <w:lang w:bidi="ar"/>
        </w:rPr>
        <w:t xml:space="preserve">Unless otherwise stated, all reagents and solvents were purchased from commercial suppliers such as Adamas, Aladdin, Sigma-Aldrich, </w:t>
      </w:r>
      <w:proofErr w:type="spellStart"/>
      <w:r>
        <w:rPr>
          <w:rFonts w:ascii="Arial" w:eastAsia="Arial" w:hAnsi="Arial" w:cs="Arial"/>
          <w:szCs w:val="24"/>
          <w:lang w:bidi="ar"/>
        </w:rPr>
        <w:t>Bidepharm</w:t>
      </w:r>
      <w:proofErr w:type="spellEnd"/>
      <w:r>
        <w:rPr>
          <w:rFonts w:ascii="Arial" w:eastAsia="Arial" w:hAnsi="Arial" w:cs="Arial"/>
          <w:szCs w:val="24"/>
          <w:lang w:bidi="ar"/>
        </w:rPr>
        <w:t xml:space="preserve">, Energy Chemistry and </w:t>
      </w:r>
      <w:proofErr w:type="spellStart"/>
      <w:r>
        <w:rPr>
          <w:rFonts w:ascii="Arial" w:eastAsia="Arial" w:hAnsi="Arial" w:cs="Arial"/>
          <w:szCs w:val="24"/>
          <w:lang w:bidi="ar"/>
        </w:rPr>
        <w:t>Jk</w:t>
      </w:r>
      <w:proofErr w:type="spellEnd"/>
      <w:r>
        <w:rPr>
          <w:rFonts w:ascii="Arial" w:eastAsia="Arial" w:hAnsi="Arial" w:cs="Arial"/>
          <w:szCs w:val="24"/>
          <w:lang w:bidi="ar"/>
        </w:rPr>
        <w:t xml:space="preserve"> Chemical and used as received. All reactions were carried out under nitrogen atmosphere. The 3,7-dihydrobenzo[1,2-b:4,5-b</w:t>
      </w:r>
      <w:proofErr w:type="gramStart"/>
      <w:r>
        <w:rPr>
          <w:rFonts w:ascii="Arial" w:eastAsia="Arial" w:hAnsi="Arial" w:cs="Arial"/>
          <w:szCs w:val="24"/>
          <w:lang w:bidi="ar"/>
        </w:rPr>
        <w:t>′]difuran</w:t>
      </w:r>
      <w:proofErr w:type="gramEnd"/>
      <w:r>
        <w:rPr>
          <w:rFonts w:ascii="Arial" w:eastAsia="Arial" w:hAnsi="Arial" w:cs="Arial"/>
          <w:szCs w:val="24"/>
          <w:lang w:bidi="ar"/>
        </w:rPr>
        <w:t xml:space="preserve">-2,6-dione (BFDO) was purchased from </w:t>
      </w:r>
      <w:proofErr w:type="spellStart"/>
      <w:r>
        <w:rPr>
          <w:rFonts w:ascii="Arial" w:eastAsia="Arial" w:hAnsi="Arial" w:cs="Arial"/>
          <w:szCs w:val="24"/>
          <w:lang w:bidi="ar"/>
        </w:rPr>
        <w:t>Bidepharm</w:t>
      </w:r>
      <w:proofErr w:type="spellEnd"/>
      <w:r>
        <w:rPr>
          <w:rFonts w:ascii="Arial" w:eastAsia="Arial" w:hAnsi="Arial" w:cs="Arial"/>
          <w:szCs w:val="24"/>
          <w:lang w:bidi="ar"/>
        </w:rPr>
        <w:t xml:space="preserve"> and processed through a dichloromethane column to yield white crystals. Sulfur (AR</w:t>
      </w:r>
      <w:r>
        <w:rPr>
          <w:rFonts w:ascii="Arial" w:eastAsia="Arial" w:hAnsi="Arial" w:cs="Arial" w:hint="eastAsia"/>
          <w:szCs w:val="24"/>
          <w:lang w:bidi="ar"/>
        </w:rPr>
        <w:t>,</w:t>
      </w:r>
      <w:r>
        <w:rPr>
          <w:rFonts w:ascii="Arial" w:eastAsia="Arial" w:hAnsi="Arial" w:cs="Arial"/>
          <w:szCs w:val="24"/>
          <w:lang w:bidi="ar"/>
        </w:rPr>
        <w:t xml:space="preserve"> 99.5%) was purchased from Aladdin. Dimethyl sulfoxide (Water≤50 ppm (by K.F.), 99.7%, </w:t>
      </w:r>
      <w:proofErr w:type="spellStart"/>
      <w:r>
        <w:rPr>
          <w:rFonts w:ascii="Arial" w:eastAsia="Arial" w:hAnsi="Arial" w:cs="Arial"/>
          <w:szCs w:val="24"/>
          <w:lang w:bidi="ar"/>
        </w:rPr>
        <w:t>SafeDry</w:t>
      </w:r>
      <w:proofErr w:type="spellEnd"/>
      <w:r>
        <w:rPr>
          <w:rFonts w:ascii="Arial" w:eastAsia="Arial" w:hAnsi="Arial" w:cs="Arial"/>
          <w:szCs w:val="24"/>
          <w:lang w:bidi="ar"/>
        </w:rPr>
        <w:t xml:space="preserve">, </w:t>
      </w:r>
      <w:proofErr w:type="spellStart"/>
      <w:r>
        <w:rPr>
          <w:rFonts w:ascii="Arial" w:eastAsia="Arial" w:hAnsi="Arial" w:cs="Arial"/>
          <w:szCs w:val="24"/>
          <w:lang w:bidi="ar"/>
        </w:rPr>
        <w:t>Safeseal</w:t>
      </w:r>
      <w:proofErr w:type="spellEnd"/>
      <w:r>
        <w:rPr>
          <w:rFonts w:ascii="Arial" w:eastAsia="Arial" w:hAnsi="Arial" w:cs="Arial"/>
          <w:szCs w:val="24"/>
          <w:lang w:bidi="ar"/>
        </w:rPr>
        <w:t>) was purchased from Adamas.</w:t>
      </w:r>
    </w:p>
    <w:p w14:paraId="3E064987" w14:textId="77777777" w:rsidR="007E0E98" w:rsidRPr="007E0E98" w:rsidRDefault="00000000">
      <w:pPr>
        <w:spacing w:after="100" w:line="480" w:lineRule="auto"/>
        <w:rPr>
          <w:rFonts w:ascii="Arial" w:hAnsi="Arial" w:cs="Arial"/>
          <w:b/>
          <w:bCs/>
          <w:i/>
          <w:iCs/>
          <w:color w:val="000000" w:themeColor="text1"/>
          <w:szCs w:val="21"/>
        </w:rPr>
      </w:pPr>
      <w:r w:rsidRPr="007E0E98">
        <w:rPr>
          <w:rFonts w:ascii="Arial" w:eastAsia="Arial" w:hAnsi="Arial" w:cs="Arial"/>
          <w:b/>
          <w:bCs/>
          <w:i/>
          <w:iCs/>
          <w:color w:val="000000" w:themeColor="text1"/>
          <w:szCs w:val="21"/>
        </w:rPr>
        <w:t>General procedure for PBFDO polymerization</w:t>
      </w:r>
    </w:p>
    <w:p w14:paraId="612816DA" w14:textId="06A2CB21" w:rsidR="00D91720" w:rsidRDefault="00000000">
      <w:pPr>
        <w:spacing w:after="100" w:line="480" w:lineRule="auto"/>
        <w:rPr>
          <w:rFonts w:ascii="Arial" w:hAnsi="Arial" w:cs="Arial"/>
        </w:rPr>
      </w:pPr>
      <w:r>
        <w:rPr>
          <w:rFonts w:ascii="Arial" w:eastAsia="Arial" w:hAnsi="Arial" w:cs="Arial"/>
          <w:color w:val="000000" w:themeColor="text1"/>
          <w:szCs w:val="21"/>
        </w:rPr>
        <w:t>BFDO monomer (5–10 mg mL</w:t>
      </w:r>
      <w:r>
        <w:rPr>
          <w:rFonts w:ascii="Arial" w:eastAsia="Arial" w:hAnsi="Arial" w:cs="Arial"/>
          <w:color w:val="000000" w:themeColor="text1"/>
          <w:szCs w:val="21"/>
          <w:vertAlign w:val="superscript"/>
        </w:rPr>
        <w:t>−1</w:t>
      </w:r>
      <w:r>
        <w:rPr>
          <w:rFonts w:ascii="Arial" w:eastAsia="Arial" w:hAnsi="Arial" w:cs="Arial"/>
          <w:color w:val="000000" w:themeColor="text1"/>
          <w:szCs w:val="21"/>
        </w:rPr>
        <w:t>) and sulfur (0.1–2 eq. S) were dissolved in DMSO under nitrogen atmosphere at different temperatures (100 °C–150 °C). Sulfur loadings are expressed as equivalents of sulfur atoms relative to the organic substrate (BFDO or the BF model compound), i.e. n(S)/n(substrate), where n(S) is the molar amount of sulfur atoms irrespective of speciation. Elemental sulfur is supplied as the S</w:t>
      </w:r>
      <w:r>
        <w:rPr>
          <w:rFonts w:ascii="Arial" w:eastAsia="Arial" w:hAnsi="Arial" w:cs="Arial"/>
          <w:color w:val="000000" w:themeColor="text1"/>
          <w:szCs w:val="21"/>
          <w:vertAlign w:val="subscript"/>
        </w:rPr>
        <w:t>8</w:t>
      </w:r>
      <w:r>
        <w:rPr>
          <w:rFonts w:ascii="Arial" w:eastAsia="Arial" w:hAnsi="Arial" w:cs="Arial"/>
          <w:color w:val="000000" w:themeColor="text1"/>
          <w:szCs w:val="21"/>
        </w:rPr>
        <w:t xml:space="preserve"> ring; therefore 1 eq. S corresponds to 0.125 eq. of S</w:t>
      </w:r>
      <w:r>
        <w:rPr>
          <w:rFonts w:ascii="Arial" w:eastAsia="Arial" w:hAnsi="Arial" w:cs="Arial"/>
          <w:color w:val="000000" w:themeColor="text1"/>
          <w:szCs w:val="21"/>
          <w:vertAlign w:val="subscript"/>
        </w:rPr>
        <w:t>8</w:t>
      </w:r>
      <w:r>
        <w:rPr>
          <w:rFonts w:ascii="Arial" w:eastAsia="Arial" w:hAnsi="Arial" w:cs="Arial"/>
          <w:color w:val="000000" w:themeColor="text1"/>
          <w:szCs w:val="21"/>
        </w:rPr>
        <w:t xml:space="preserve"> molecules, and the standard BFDO condition uses 8.4 mg of S</w:t>
      </w:r>
      <w:r>
        <w:rPr>
          <w:rFonts w:ascii="Arial" w:eastAsia="Arial" w:hAnsi="Arial" w:cs="Arial"/>
          <w:color w:val="000000" w:themeColor="text1"/>
          <w:szCs w:val="21"/>
          <w:vertAlign w:val="subscript"/>
        </w:rPr>
        <w:t>8</w:t>
      </w:r>
      <w:r>
        <w:rPr>
          <w:rFonts w:ascii="Arial" w:eastAsia="Arial" w:hAnsi="Arial" w:cs="Arial"/>
          <w:color w:val="000000" w:themeColor="text1"/>
          <w:szCs w:val="21"/>
        </w:rPr>
        <w:t xml:space="preserve"> per 50 mg of BFDO (0.26 mmol S per 0.26 mmol BFDO). The mixture was stirred for several hours until a gel was formed or the monomer conversion was complete (as checked by </w:t>
      </w:r>
      <w:r>
        <w:rPr>
          <w:rFonts w:ascii="Arial" w:eastAsia="Arial" w:hAnsi="Arial" w:cs="Arial"/>
          <w:color w:val="000000" w:themeColor="text1"/>
          <w:szCs w:val="21"/>
          <w:vertAlign w:val="superscript"/>
        </w:rPr>
        <w:t>1</w:t>
      </w:r>
      <w:r>
        <w:rPr>
          <w:rFonts w:ascii="Arial" w:eastAsia="Arial" w:hAnsi="Arial" w:cs="Arial"/>
          <w:color w:val="000000" w:themeColor="text1"/>
          <w:szCs w:val="21"/>
        </w:rPr>
        <w:t xml:space="preserve">H NMR). After cooling the solution to room temperature, the polymer </w:t>
      </w:r>
      <w:r>
        <w:rPr>
          <w:rFonts w:ascii="Arial" w:eastAsia="Arial" w:hAnsi="Arial" w:cs="Arial"/>
          <w:color w:val="000000" w:themeColor="text1"/>
        </w:rPr>
        <w:t xml:space="preserve">solutions were filtered through a 0.22 </w:t>
      </w:r>
      <w:proofErr w:type="spellStart"/>
      <w:r>
        <w:rPr>
          <w:rFonts w:ascii="Arial" w:eastAsia="Arial" w:hAnsi="Arial" w:cs="Arial"/>
          <w:color w:val="000000" w:themeColor="text1"/>
        </w:rPr>
        <w:t>μm</w:t>
      </w:r>
      <w:proofErr w:type="spellEnd"/>
      <w:r>
        <w:rPr>
          <w:rFonts w:ascii="Arial" w:eastAsia="Arial" w:hAnsi="Arial" w:cs="Arial"/>
          <w:color w:val="000000" w:themeColor="text1"/>
        </w:rPr>
        <w:t xml:space="preserve"> polytetrafluoroethylene (PTFE) filter head (used solely to remove system aggregates and insoluble impurity particles) without dialysis</w:t>
      </w:r>
      <w:r>
        <w:rPr>
          <w:rFonts w:ascii="Arial" w:eastAsia="Arial" w:hAnsi="Arial" w:cs="Arial"/>
          <w:color w:val="000000" w:themeColor="text1"/>
          <w:szCs w:val="21"/>
        </w:rPr>
        <w:t>. The electrical conductivity of the polymer solution was measured using the four-probe method. The polymerization conditions and conductivity results are summarized in Table 1 of the main text</w:t>
      </w:r>
      <w:r>
        <w:rPr>
          <w:rFonts w:ascii="Arial" w:eastAsia="Arial" w:hAnsi="Arial" w:cs="Arial"/>
        </w:rPr>
        <w:t>.</w:t>
      </w:r>
      <w:bookmarkStart w:id="3" w:name="OLE_LINK18"/>
      <w:bookmarkEnd w:id="3"/>
    </w:p>
    <w:p w14:paraId="5A018A60" w14:textId="5324E770" w:rsidR="00D91720" w:rsidRDefault="00000000">
      <w:pPr>
        <w:spacing w:after="100" w:line="480" w:lineRule="auto"/>
        <w:rPr>
          <w:rFonts w:ascii="Arial" w:hAnsi="Arial" w:cs="Arial"/>
        </w:rPr>
      </w:pPr>
      <w:r w:rsidRPr="007E0E98">
        <w:rPr>
          <w:rFonts w:ascii="Arial" w:eastAsia="Arial" w:hAnsi="Arial" w:cs="Arial"/>
          <w:i/>
          <w:iCs/>
        </w:rPr>
        <w:t>Detailed examples of reactions are below</w:t>
      </w:r>
      <w:r w:rsidR="004563D3">
        <w:rPr>
          <w:rFonts w:ascii="Arial" w:hAnsi="Arial" w:cs="Arial" w:hint="eastAsia"/>
          <w:i/>
          <w:iCs/>
        </w:rPr>
        <w:t xml:space="preserve">: </w:t>
      </w:r>
      <w:r>
        <w:rPr>
          <w:rFonts w:ascii="Arial" w:eastAsia="Arial" w:hAnsi="Arial" w:cs="Arial"/>
        </w:rPr>
        <w:t>In a nitrogen atmosphere, BFDO (50 mg, 0.26 mmol, 1 eq.) and S</w:t>
      </w:r>
      <w:r>
        <w:rPr>
          <w:rFonts w:ascii="Arial" w:eastAsia="Arial" w:hAnsi="Arial" w:cs="Arial"/>
          <w:vertAlign w:val="subscript"/>
        </w:rPr>
        <w:t>8</w:t>
      </w:r>
      <w:r>
        <w:rPr>
          <w:rFonts w:ascii="Arial" w:eastAsia="Arial" w:hAnsi="Arial" w:cs="Arial"/>
        </w:rPr>
        <w:t xml:space="preserve"> (8.4 mg, 0.26 mmol S, 1 eq. S) were dissolved in DMSO (10 mL) (5 mg</w:t>
      </w:r>
      <w:r>
        <w:rPr>
          <w:rFonts w:ascii="Arial" w:eastAsia="Arial" w:hAnsi="Arial" w:cs="Arial" w:hint="eastAsia"/>
        </w:rPr>
        <w:t xml:space="preserve"> </w:t>
      </w:r>
      <w:r>
        <w:rPr>
          <w:rFonts w:ascii="Arial" w:eastAsia="Arial" w:hAnsi="Arial" w:cs="Arial"/>
        </w:rPr>
        <w:t>m</w:t>
      </w:r>
      <w:r>
        <w:rPr>
          <w:rFonts w:ascii="Arial" w:eastAsia="Arial" w:hAnsi="Arial" w:cs="Arial" w:hint="eastAsia"/>
        </w:rPr>
        <w:t>L</w:t>
      </w:r>
      <w:r>
        <w:rPr>
          <w:rFonts w:ascii="Arial" w:eastAsia="Arial" w:hAnsi="Arial" w:cs="Arial"/>
          <w:vertAlign w:val="superscript"/>
        </w:rPr>
        <w:t>−</w:t>
      </w:r>
      <w:r>
        <w:rPr>
          <w:rFonts w:ascii="Arial" w:eastAsia="Arial" w:hAnsi="Arial" w:cs="Arial" w:hint="eastAsia"/>
          <w:vertAlign w:val="superscript"/>
        </w:rPr>
        <w:t>1</w:t>
      </w:r>
      <w:r>
        <w:rPr>
          <w:rFonts w:ascii="Arial" w:eastAsia="Arial" w:hAnsi="Arial" w:cs="Arial"/>
        </w:rPr>
        <w:t xml:space="preserve">). Then, the reaction mixture was </w:t>
      </w:r>
      <w:r>
        <w:rPr>
          <w:rFonts w:ascii="Arial" w:eastAsia="Arial" w:hAnsi="Arial" w:cs="Arial"/>
        </w:rPr>
        <w:lastRenderedPageBreak/>
        <w:t xml:space="preserve">heated to 120 </w:t>
      </w:r>
      <w:r>
        <w:rPr>
          <w:rFonts w:ascii="Arial" w:eastAsia="Arial" w:hAnsi="Arial" w:cs="Arial"/>
          <w:color w:val="000000" w:themeColor="text1"/>
          <w:szCs w:val="21"/>
        </w:rPr>
        <w:t>°C</w:t>
      </w:r>
      <w:r>
        <w:rPr>
          <w:rFonts w:ascii="Arial" w:eastAsia="Arial" w:hAnsi="Arial" w:cs="Arial"/>
        </w:rPr>
        <w:t xml:space="preserve"> for 5 h, and the solution gradually changed from light blue to dark black. The reaction mixture is cooled to room temperature and filtered with a 0.22 </w:t>
      </w:r>
      <w:proofErr w:type="spellStart"/>
      <w:r>
        <w:rPr>
          <w:rFonts w:ascii="Arial" w:eastAsia="Arial" w:hAnsi="Arial" w:cs="Arial"/>
        </w:rPr>
        <w:t>μm</w:t>
      </w:r>
      <w:proofErr w:type="spellEnd"/>
      <w:r>
        <w:rPr>
          <w:rFonts w:ascii="Arial" w:eastAsia="Arial" w:hAnsi="Arial" w:cs="Arial"/>
        </w:rPr>
        <w:t xml:space="preserve"> </w:t>
      </w:r>
      <w:r>
        <w:rPr>
          <w:rFonts w:ascii="Arial" w:eastAsia="Arial" w:hAnsi="Arial" w:cs="Arial"/>
          <w:color w:val="000000" w:themeColor="text1"/>
        </w:rPr>
        <w:t>PTFE</w:t>
      </w:r>
      <w:r>
        <w:rPr>
          <w:rFonts w:ascii="Arial" w:eastAsia="Arial" w:hAnsi="Arial" w:cs="Arial"/>
        </w:rPr>
        <w:t xml:space="preserve"> filter using a syringe to obtain polymer inks.</w:t>
      </w:r>
    </w:p>
    <w:p w14:paraId="6FBD931D" w14:textId="77777777" w:rsidR="007E0E98" w:rsidRPr="007E0E98" w:rsidRDefault="007E0E98" w:rsidP="007E0E98">
      <w:pPr>
        <w:pStyle w:val="ad"/>
        <w:widowControl/>
        <w:spacing w:after="100" w:line="480" w:lineRule="auto"/>
        <w:rPr>
          <w:rFonts w:ascii="Arial" w:hAnsi="Arial" w:cs="Arial"/>
          <w:b/>
          <w:bCs/>
          <w:i/>
          <w:iCs/>
          <w:sz w:val="20"/>
          <w:lang w:bidi="ar"/>
        </w:rPr>
      </w:pPr>
      <w:r w:rsidRPr="007E0E98">
        <w:rPr>
          <w:rFonts w:ascii="Arial" w:eastAsia="Arial" w:hAnsi="Arial" w:cs="Arial"/>
          <w:b/>
          <w:bCs/>
          <w:i/>
          <w:iCs/>
          <w:sz w:val="20"/>
          <w:lang w:bidi="ar"/>
        </w:rPr>
        <w:t xml:space="preserve">Characterizations </w:t>
      </w:r>
    </w:p>
    <w:p w14:paraId="56C1B060" w14:textId="77777777" w:rsidR="007E0E98" w:rsidRDefault="007E0E98" w:rsidP="007E0E98">
      <w:pPr>
        <w:pStyle w:val="ad"/>
        <w:widowControl/>
        <w:spacing w:after="100" w:line="480" w:lineRule="auto"/>
        <w:rPr>
          <w:rFonts w:ascii="Arial" w:hAnsi="Arial" w:cs="Arial"/>
          <w:iCs/>
          <w:sz w:val="21"/>
          <w:szCs w:val="21"/>
          <w:lang w:bidi="ar"/>
        </w:rPr>
      </w:pPr>
      <w:r>
        <w:rPr>
          <w:rFonts w:ascii="Arial" w:eastAsia="Arial" w:hAnsi="Arial" w:cs="Arial"/>
          <w:sz w:val="20"/>
          <w:vertAlign w:val="superscript"/>
          <w:lang w:bidi="ar"/>
        </w:rPr>
        <w:t>1</w:t>
      </w:r>
      <w:r>
        <w:rPr>
          <w:rFonts w:ascii="Arial" w:eastAsia="Arial" w:hAnsi="Arial" w:cs="Arial"/>
          <w:sz w:val="20"/>
          <w:lang w:bidi="ar"/>
        </w:rPr>
        <w:t xml:space="preserve">H NMR and </w:t>
      </w:r>
      <w:r>
        <w:rPr>
          <w:rFonts w:ascii="Arial" w:eastAsia="Arial" w:hAnsi="Arial" w:cs="Arial"/>
          <w:sz w:val="20"/>
          <w:vertAlign w:val="superscript"/>
          <w:lang w:bidi="ar"/>
        </w:rPr>
        <w:t>13</w:t>
      </w:r>
      <w:r>
        <w:rPr>
          <w:rFonts w:ascii="Arial" w:eastAsia="Arial" w:hAnsi="Arial" w:cs="Arial"/>
          <w:sz w:val="20"/>
          <w:lang w:bidi="ar"/>
        </w:rPr>
        <w:t xml:space="preserve">C NMR spectra were recorded on JNM-ECZ500R (500 MHz). </w:t>
      </w:r>
      <w:r>
        <w:rPr>
          <w:rFonts w:ascii="Arial" w:eastAsia="Arial" w:hAnsi="Arial" w:cs="Arial"/>
          <w:sz w:val="20"/>
          <w:vertAlign w:val="superscript"/>
          <w:lang w:bidi="ar"/>
        </w:rPr>
        <w:t>1</w:t>
      </w:r>
      <w:r>
        <w:rPr>
          <w:rFonts w:ascii="Arial" w:eastAsia="Arial" w:hAnsi="Arial" w:cs="Arial"/>
          <w:sz w:val="20"/>
          <w:lang w:bidi="ar"/>
        </w:rPr>
        <w:t>H NMR chemical shifts were referenced to DMSO-</w:t>
      </w:r>
      <w:r>
        <w:rPr>
          <w:rFonts w:ascii="Arial" w:eastAsia="Arial" w:hAnsi="Arial" w:cs="Arial"/>
          <w:i/>
          <w:sz w:val="20"/>
          <w:lang w:bidi="ar"/>
        </w:rPr>
        <w:t>d</w:t>
      </w:r>
      <w:r>
        <w:rPr>
          <w:rFonts w:ascii="Arial" w:eastAsia="Arial" w:hAnsi="Arial" w:cs="Arial"/>
          <w:i/>
          <w:sz w:val="20"/>
          <w:vertAlign w:val="subscript"/>
          <w:lang w:bidi="ar"/>
        </w:rPr>
        <w:t>6</w:t>
      </w:r>
      <w:r>
        <w:rPr>
          <w:rFonts w:ascii="Arial" w:eastAsia="Arial" w:hAnsi="Arial" w:cs="Arial"/>
          <w:sz w:val="20"/>
          <w:lang w:bidi="ar"/>
        </w:rPr>
        <w:t xml:space="preserve"> at 2.50 ppm and CDCl</w:t>
      </w:r>
      <w:r>
        <w:rPr>
          <w:rFonts w:ascii="Arial" w:eastAsia="Arial" w:hAnsi="Arial" w:cs="Arial"/>
          <w:sz w:val="20"/>
          <w:vertAlign w:val="subscript"/>
          <w:lang w:bidi="ar"/>
        </w:rPr>
        <w:t>3</w:t>
      </w:r>
      <w:r>
        <w:rPr>
          <w:rFonts w:ascii="Arial" w:eastAsia="Arial" w:hAnsi="Arial" w:cs="Arial"/>
          <w:sz w:val="20"/>
          <w:lang w:bidi="ar"/>
        </w:rPr>
        <w:t xml:space="preserve"> at 7.26 ppm. </w:t>
      </w:r>
      <w:r>
        <w:rPr>
          <w:rFonts w:ascii="Arial" w:eastAsia="Arial" w:hAnsi="Arial" w:cs="Arial"/>
          <w:sz w:val="20"/>
          <w:vertAlign w:val="superscript"/>
          <w:lang w:bidi="ar"/>
        </w:rPr>
        <w:t>13</w:t>
      </w:r>
      <w:r>
        <w:rPr>
          <w:rFonts w:ascii="Arial" w:eastAsia="Arial" w:hAnsi="Arial" w:cs="Arial"/>
          <w:sz w:val="20"/>
          <w:lang w:bidi="ar"/>
        </w:rPr>
        <w:t>C NMR chemical shifts were referenced to CDCl</w:t>
      </w:r>
      <w:r>
        <w:rPr>
          <w:rFonts w:ascii="Arial" w:eastAsia="Arial" w:hAnsi="Arial" w:cs="Arial"/>
          <w:sz w:val="20"/>
          <w:vertAlign w:val="subscript"/>
          <w:lang w:bidi="ar"/>
        </w:rPr>
        <w:t>3</w:t>
      </w:r>
      <w:r>
        <w:rPr>
          <w:rFonts w:ascii="Arial" w:eastAsia="Arial" w:hAnsi="Arial" w:cs="Arial"/>
          <w:sz w:val="20"/>
          <w:lang w:bidi="ar"/>
        </w:rPr>
        <w:t xml:space="preserve"> at 77.16 ppm. UV-Vis-NIR absorption spectroscopy was recorded on Shimadzu UV-3600 Plus. The infrared spectrum was measured using the INVENIO S spectrometer equipped with an attenuated total reflection accessory. Cyclic voltammograms (CV) were measured on an electrochemical workstation SP-200 (</w:t>
      </w:r>
      <w:proofErr w:type="spellStart"/>
      <w:r>
        <w:rPr>
          <w:rFonts w:ascii="Arial" w:eastAsia="Arial" w:hAnsi="Arial" w:cs="Arial"/>
          <w:sz w:val="20"/>
          <w:lang w:bidi="ar"/>
        </w:rPr>
        <w:t>BioLogic</w:t>
      </w:r>
      <w:proofErr w:type="spellEnd"/>
      <w:r>
        <w:rPr>
          <w:rFonts w:ascii="Arial" w:eastAsia="Arial" w:hAnsi="Arial" w:cs="Arial"/>
          <w:sz w:val="20"/>
          <w:lang w:bidi="ar"/>
        </w:rPr>
        <w:t xml:space="preserve"> Science Instruments) in acetonitrile solution containing 0.1 M anhydrous tetrabutylammonium hexafluorophosphate (n-Bu</w:t>
      </w:r>
      <w:r>
        <w:rPr>
          <w:rFonts w:ascii="Arial" w:eastAsia="Arial" w:hAnsi="Arial" w:cs="Arial"/>
          <w:sz w:val="20"/>
          <w:vertAlign w:val="subscript"/>
          <w:lang w:bidi="ar"/>
        </w:rPr>
        <w:t>4</w:t>
      </w:r>
      <w:r>
        <w:rPr>
          <w:rFonts w:ascii="Arial" w:eastAsia="Arial" w:hAnsi="Arial" w:cs="Arial"/>
          <w:sz w:val="20"/>
          <w:lang w:bidi="ar"/>
        </w:rPr>
        <w:t>NPF</w:t>
      </w:r>
      <w:r>
        <w:rPr>
          <w:rFonts w:ascii="Arial" w:eastAsia="Arial" w:hAnsi="Arial" w:cs="Arial"/>
          <w:sz w:val="20"/>
          <w:vertAlign w:val="subscript"/>
          <w:lang w:bidi="ar"/>
        </w:rPr>
        <w:t>6</w:t>
      </w:r>
      <w:r>
        <w:rPr>
          <w:rFonts w:ascii="Arial" w:eastAsia="Arial" w:hAnsi="Arial" w:cs="Arial"/>
          <w:sz w:val="20"/>
          <w:lang w:bidi="ar"/>
        </w:rPr>
        <w:t>) as a supporting electrolyte. A standard three-electrode setup was established by employing a glassy carbon electrode as the working electrode (WE), a platinum wire acted as the counter electrode (CE), and an Ag/AgCl electrode as the reference electrode (RE), further calibrated against ferrocene (</w:t>
      </w:r>
      <w:r>
        <w:rPr>
          <w:rFonts w:ascii="Arial" w:eastAsia="Arial" w:hAnsi="Arial" w:cs="Arial"/>
          <w:i/>
          <w:sz w:val="20"/>
          <w:lang w:bidi="ar"/>
        </w:rPr>
        <w:t>Fc/Fc</w:t>
      </w:r>
      <w:r>
        <w:rPr>
          <w:rFonts w:ascii="Arial" w:eastAsia="Arial" w:hAnsi="Arial" w:cs="Arial"/>
          <w:sz w:val="20"/>
          <w:vertAlign w:val="superscript"/>
          <w:lang w:bidi="ar"/>
        </w:rPr>
        <w:t>+</w:t>
      </w:r>
      <w:r>
        <w:rPr>
          <w:rFonts w:ascii="Arial" w:eastAsia="Arial" w:hAnsi="Arial" w:cs="Arial"/>
          <w:sz w:val="20"/>
          <w:lang w:bidi="ar"/>
        </w:rPr>
        <w:t xml:space="preserve">). The HOMO and LUMO energy levels were calculated according to the equation </w:t>
      </w:r>
      <w:proofErr w:type="gramStart"/>
      <w:r>
        <w:rPr>
          <w:rFonts w:ascii="Arial" w:eastAsia="Arial" w:hAnsi="Arial" w:cs="Arial"/>
          <w:sz w:val="20"/>
          <w:lang w:bidi="ar"/>
        </w:rPr>
        <w:t xml:space="preserve">of  </w:t>
      </w:r>
      <w:proofErr w:type="spellStart"/>
      <w:r>
        <w:rPr>
          <w:rFonts w:ascii="Arial" w:eastAsia="Arial" w:hAnsi="Arial" w:cs="Arial"/>
          <w:sz w:val="20"/>
          <w:lang w:bidi="ar"/>
        </w:rPr>
        <w:t>and</w:t>
      </w:r>
      <w:proofErr w:type="spellEnd"/>
      <w:proofErr w:type="gramEnd"/>
      <w:r>
        <w:rPr>
          <w:rFonts w:ascii="Arial" w:eastAsia="Arial" w:hAnsi="Arial" w:cs="Arial" w:hint="eastAsia"/>
          <w:sz w:val="20"/>
          <w:lang w:bidi="ar"/>
        </w:rPr>
        <w:t xml:space="preserve"> </w:t>
      </w:r>
      <w:r>
        <w:rPr>
          <w:rFonts w:ascii="Arial" w:eastAsia="Arial" w:hAnsi="Arial" w:cs="Arial"/>
          <w:sz w:val="20"/>
          <w:lang w:bidi="ar"/>
        </w:rPr>
        <w:t xml:space="preserve">. Here the Fc/Fc⁺ redox couple was referenced to −4.8 eV versus vacuum, a value widely adopted for organic semiconductors. High-resolution mass spectra (HR-MS) were recorded on a Bruker Impact II and TIMS-TOF SCP. The gas chromatography was performed on SHIMADZU. Thermogravimetric analysis (TGA) was carried out on a TA Instruments TGA5500. Dynamic Light Scattering (DLS) was measured on a Wyatt Omni. Two-dimensional GIWAXS measurements were performed on a Rigaku </w:t>
      </w:r>
      <w:proofErr w:type="spellStart"/>
      <w:r>
        <w:rPr>
          <w:rFonts w:ascii="Arial" w:eastAsia="Arial" w:hAnsi="Arial" w:cs="Arial"/>
          <w:sz w:val="20"/>
          <w:lang w:bidi="ar"/>
        </w:rPr>
        <w:t>HomeLab</w:t>
      </w:r>
      <w:proofErr w:type="spellEnd"/>
      <w:r>
        <w:rPr>
          <w:rFonts w:ascii="Arial" w:eastAsia="Arial" w:hAnsi="Arial" w:cs="Arial"/>
          <w:sz w:val="20"/>
          <w:lang w:bidi="ar"/>
        </w:rPr>
        <w:t>. The Cypher VRS atomic force microscope (AFM) was used for morphological testing in the tapping mode. X-ray photoelectron spectroscopy (XPS) and ultraviolet photoelectron spectroscopy (UPS) were performed using the PHI GENESIS 500 instrument</w:t>
      </w:r>
      <w:r w:rsidRPr="008C66D6">
        <w:rPr>
          <w:rFonts w:eastAsia="Arial"/>
          <w:sz w:val="20"/>
          <w:lang w:bidi="ar"/>
        </w:rPr>
        <w:t>.</w:t>
      </w:r>
      <m:oMath>
        <m:sSub>
          <m:sSubPr>
            <m:ctrlPr>
              <w:rPr>
                <w:rFonts w:ascii="Cambria Math" w:hAnsi="Cambria Math"/>
                <w:i/>
                <w:sz w:val="21"/>
                <w:szCs w:val="21"/>
              </w:rPr>
            </m:ctrlPr>
          </m:sSubPr>
          <m:e>
            <m:r>
              <w:rPr>
                <w:rFonts w:ascii="Cambria Math" w:hAnsi="Cambria Math"/>
                <w:sz w:val="21"/>
                <w:szCs w:val="21"/>
                <w:lang w:val="es-ES"/>
              </w:rPr>
              <m:t>E</m:t>
            </m:r>
          </m:e>
          <m:sub>
            <m:r>
              <w:rPr>
                <w:rFonts w:ascii="Cambria Math" w:hAnsi="Cambria Math"/>
                <w:sz w:val="21"/>
                <w:szCs w:val="21"/>
                <w:lang w:val="es-ES"/>
              </w:rPr>
              <m:t>HOMO</m:t>
            </m:r>
          </m:sub>
        </m:sSub>
        <m:r>
          <w:rPr>
            <w:rFonts w:ascii="Cambria Math" w:hAnsi="Cambria Math"/>
            <w:sz w:val="21"/>
            <w:szCs w:val="21"/>
          </w:rPr>
          <m:t xml:space="preserve"> = - </m:t>
        </m:r>
        <m:d>
          <m:dPr>
            <m:begChr m:val="["/>
            <m:endChr m:val="]"/>
            <m:ctrlPr>
              <w:rPr>
                <w:rFonts w:ascii="Cambria Math" w:eastAsia="Times New Roman" w:hAnsi="Cambria Math"/>
                <w:i/>
                <w:sz w:val="21"/>
                <w:szCs w:val="21"/>
                <w:lang w:bidi="ar"/>
              </w:rPr>
            </m:ctrlPr>
          </m:dPr>
          <m:e>
            <m:r>
              <w:rPr>
                <w:rFonts w:ascii="Cambria Math" w:eastAsia="Times New Roman" w:hAnsi="Cambria Math"/>
                <w:sz w:val="21"/>
                <w:szCs w:val="21"/>
                <w:lang w:bidi="ar"/>
              </w:rPr>
              <m:t>4.8</m:t>
            </m:r>
            <m:r>
              <w:rPr>
                <w:rFonts w:ascii="Cambria Math" w:eastAsia="宋体" w:hAnsi="Cambria Math"/>
                <w:sz w:val="21"/>
                <w:szCs w:val="21"/>
                <w:lang w:bidi="ar"/>
              </w:rPr>
              <m:t xml:space="preserve"> </m:t>
            </m:r>
            <m:r>
              <w:rPr>
                <w:rFonts w:ascii="Cambria Math" w:eastAsia="Times New Roman" w:hAnsi="Cambria Math"/>
                <w:sz w:val="21"/>
                <w:szCs w:val="21"/>
                <w:lang w:bidi="ar"/>
              </w:rPr>
              <m:t>+</m:t>
            </m:r>
            <m:r>
              <w:rPr>
                <w:rFonts w:ascii="Cambria Math" w:eastAsia="宋体" w:hAnsi="Cambria Math"/>
                <w:sz w:val="21"/>
                <w:szCs w:val="21"/>
                <w:lang w:bidi="ar"/>
              </w:rPr>
              <m:t xml:space="preserve"> </m:t>
            </m:r>
            <m:d>
              <m:dPr>
                <m:ctrlPr>
                  <w:rPr>
                    <w:rFonts w:ascii="Cambria Math" w:eastAsia="Times New Roman" w:hAnsi="Cambria Math"/>
                    <w:i/>
                    <w:sz w:val="21"/>
                    <w:szCs w:val="21"/>
                    <w:lang w:bidi="ar"/>
                  </w:rPr>
                </m:ctrlPr>
              </m:dPr>
              <m:e>
                <m:sSub>
                  <m:sSubPr>
                    <m:ctrlPr>
                      <w:rPr>
                        <w:rFonts w:ascii="Cambria Math" w:eastAsia="Times New Roman" w:hAnsi="Cambria Math"/>
                        <w:i/>
                        <w:sz w:val="21"/>
                        <w:szCs w:val="21"/>
                        <w:lang w:bidi="ar"/>
                      </w:rPr>
                    </m:ctrlPr>
                  </m:sSubPr>
                  <m:e>
                    <m:r>
                      <w:rPr>
                        <w:rFonts w:ascii="Cambria Math" w:eastAsia="宋体" w:hAnsi="Cambria Math"/>
                        <w:sz w:val="21"/>
                        <w:szCs w:val="21"/>
                        <w:lang w:val="es-ES" w:bidi="ar"/>
                      </w:rPr>
                      <m:t>E</m:t>
                    </m:r>
                  </m:e>
                  <m:sub>
                    <m:r>
                      <w:rPr>
                        <w:rFonts w:ascii="Cambria Math" w:eastAsia="宋体" w:hAnsi="Cambria Math"/>
                        <w:sz w:val="21"/>
                        <w:szCs w:val="21"/>
                        <w:lang w:val="es-ES" w:bidi="ar"/>
                      </w:rPr>
                      <m:t>ox</m:t>
                    </m:r>
                  </m:sub>
                </m:sSub>
                <m:r>
                  <w:rPr>
                    <w:rFonts w:ascii="Cambria Math" w:hAnsi="Cambria Math"/>
                    <w:sz w:val="21"/>
                    <w:szCs w:val="21"/>
                    <w:lang w:bidi="ar"/>
                  </w:rPr>
                  <m:t>-</m:t>
                </m:r>
                <m:sSub>
                  <m:sSubPr>
                    <m:ctrlPr>
                      <w:rPr>
                        <w:rFonts w:ascii="Cambria Math" w:eastAsia="Times New Roman" w:hAnsi="Cambria Math"/>
                        <w:i/>
                        <w:sz w:val="21"/>
                        <w:szCs w:val="21"/>
                        <w:lang w:bidi="ar"/>
                      </w:rPr>
                    </m:ctrlPr>
                  </m:sSubPr>
                  <m:e>
                    <m:r>
                      <w:rPr>
                        <w:rFonts w:ascii="Cambria Math" w:eastAsia="宋体" w:hAnsi="Cambria Math"/>
                        <w:sz w:val="21"/>
                        <w:szCs w:val="21"/>
                        <w:lang w:val="es-ES" w:bidi="ar"/>
                      </w:rPr>
                      <m:t>E</m:t>
                    </m:r>
                  </m:e>
                  <m:sub>
                    <m:r>
                      <w:rPr>
                        <w:rFonts w:ascii="Cambria Math" w:hAnsi="Cambria Math"/>
                        <w:sz w:val="21"/>
                        <w:szCs w:val="21"/>
                        <w:vertAlign w:val="subscript"/>
                        <w:lang w:val="es-ES" w:bidi="ar"/>
                      </w:rPr>
                      <m:t>Fc</m:t>
                    </m:r>
                    <m:r>
                      <w:rPr>
                        <w:rFonts w:ascii="Cambria Math" w:hAnsi="Cambria Math"/>
                        <w:sz w:val="21"/>
                        <w:szCs w:val="21"/>
                        <w:vertAlign w:val="subscript"/>
                        <w:lang w:bidi="ar"/>
                      </w:rPr>
                      <m:t>/</m:t>
                    </m:r>
                    <m:r>
                      <w:rPr>
                        <w:rFonts w:ascii="Cambria Math" w:hAnsi="Cambria Math"/>
                        <w:sz w:val="21"/>
                        <w:szCs w:val="21"/>
                        <w:vertAlign w:val="subscript"/>
                        <w:lang w:val="es-ES" w:bidi="ar"/>
                      </w:rPr>
                      <m:t>Fc</m:t>
                    </m:r>
                    <m:r>
                      <w:rPr>
                        <w:rFonts w:ascii="Cambria Math" w:hAnsi="Cambria Math"/>
                        <w:sz w:val="21"/>
                        <w:szCs w:val="21"/>
                        <w:vertAlign w:val="subscript"/>
                        <w:lang w:bidi="ar"/>
                      </w:rPr>
                      <m:t>+</m:t>
                    </m:r>
                  </m:sub>
                </m:sSub>
              </m:e>
            </m:d>
          </m:e>
        </m:d>
        <m:d>
          <m:dPr>
            <m:ctrlPr>
              <w:rPr>
                <w:rFonts w:ascii="Cambria Math" w:eastAsia="Times New Roman" w:hAnsi="Cambria Math"/>
                <w:i/>
                <w:sz w:val="21"/>
                <w:szCs w:val="21"/>
                <w:lang w:bidi="ar"/>
              </w:rPr>
            </m:ctrlPr>
          </m:dPr>
          <m:e>
            <m:r>
              <w:rPr>
                <w:rFonts w:ascii="Cambria Math" w:eastAsia="Times New Roman" w:hAnsi="Cambria Math"/>
                <w:sz w:val="21"/>
                <w:szCs w:val="21"/>
                <w:lang w:val="es-ES" w:bidi="ar"/>
              </w:rPr>
              <m:t>eV</m:t>
            </m:r>
          </m:e>
        </m:d>
        <m:sSub>
          <m:sSubPr>
            <m:ctrlPr>
              <w:rPr>
                <w:rFonts w:ascii="Cambria Math" w:hAnsi="Cambria Math"/>
                <w:i/>
                <w:sz w:val="21"/>
                <w:szCs w:val="21"/>
              </w:rPr>
            </m:ctrlPr>
          </m:sSubPr>
          <m:e>
            <m:r>
              <w:rPr>
                <w:rFonts w:ascii="Cambria Math" w:hAnsi="Cambria Math"/>
                <w:sz w:val="21"/>
                <w:szCs w:val="21"/>
                <w:lang w:val="es-ES"/>
              </w:rPr>
              <m:t>E</m:t>
            </m:r>
          </m:e>
          <m:sub>
            <m:r>
              <w:rPr>
                <w:rFonts w:ascii="Cambria Math" w:hAnsi="Cambria Math"/>
                <w:sz w:val="21"/>
                <w:szCs w:val="21"/>
                <w:lang w:val="es-ES"/>
              </w:rPr>
              <m:t>LUMO</m:t>
            </m:r>
          </m:sub>
        </m:sSub>
        <m:r>
          <w:rPr>
            <w:rFonts w:ascii="Cambria Math" w:hAnsi="Cambria Math"/>
            <w:sz w:val="21"/>
            <w:szCs w:val="21"/>
          </w:rPr>
          <m:t xml:space="preserve"> = - </m:t>
        </m:r>
        <m:d>
          <m:dPr>
            <m:begChr m:val="["/>
            <m:endChr m:val="]"/>
            <m:ctrlPr>
              <w:rPr>
                <w:rFonts w:ascii="Cambria Math" w:eastAsia="Times New Roman" w:hAnsi="Cambria Math"/>
                <w:i/>
                <w:sz w:val="21"/>
                <w:szCs w:val="21"/>
                <w:lang w:bidi="ar"/>
              </w:rPr>
            </m:ctrlPr>
          </m:dPr>
          <m:e>
            <m:r>
              <w:rPr>
                <w:rFonts w:ascii="Cambria Math" w:eastAsia="Times New Roman" w:hAnsi="Cambria Math"/>
                <w:sz w:val="21"/>
                <w:szCs w:val="21"/>
                <w:lang w:bidi="ar"/>
              </w:rPr>
              <m:t>4.8</m:t>
            </m:r>
            <m:r>
              <w:rPr>
                <w:rFonts w:ascii="Cambria Math" w:eastAsia="宋体" w:hAnsi="Cambria Math"/>
                <w:sz w:val="21"/>
                <w:szCs w:val="21"/>
                <w:lang w:bidi="ar"/>
              </w:rPr>
              <m:t xml:space="preserve"> </m:t>
            </m:r>
            <m:r>
              <w:rPr>
                <w:rFonts w:ascii="Cambria Math" w:eastAsia="Times New Roman" w:hAnsi="Cambria Math"/>
                <w:sz w:val="21"/>
                <w:szCs w:val="21"/>
                <w:lang w:bidi="ar"/>
              </w:rPr>
              <m:t>+</m:t>
            </m:r>
            <m:r>
              <w:rPr>
                <w:rFonts w:ascii="Cambria Math" w:eastAsia="宋体" w:hAnsi="Cambria Math"/>
                <w:sz w:val="21"/>
                <w:szCs w:val="21"/>
                <w:lang w:bidi="ar"/>
              </w:rPr>
              <m:t xml:space="preserve"> </m:t>
            </m:r>
            <m:d>
              <m:dPr>
                <m:ctrlPr>
                  <w:rPr>
                    <w:rFonts w:ascii="Cambria Math" w:eastAsia="Times New Roman" w:hAnsi="Cambria Math"/>
                    <w:i/>
                    <w:sz w:val="21"/>
                    <w:szCs w:val="21"/>
                    <w:lang w:bidi="ar"/>
                  </w:rPr>
                </m:ctrlPr>
              </m:dPr>
              <m:e>
                <m:sSub>
                  <m:sSubPr>
                    <m:ctrlPr>
                      <w:rPr>
                        <w:rFonts w:ascii="Cambria Math" w:eastAsia="Times New Roman" w:hAnsi="Cambria Math"/>
                        <w:i/>
                        <w:sz w:val="21"/>
                        <w:szCs w:val="21"/>
                        <w:lang w:bidi="ar"/>
                      </w:rPr>
                    </m:ctrlPr>
                  </m:sSubPr>
                  <m:e>
                    <m:r>
                      <w:rPr>
                        <w:rFonts w:ascii="Cambria Math" w:eastAsia="宋体" w:hAnsi="Cambria Math"/>
                        <w:sz w:val="21"/>
                        <w:szCs w:val="21"/>
                        <w:lang w:val="es-ES" w:bidi="ar"/>
                      </w:rPr>
                      <m:t>E</m:t>
                    </m:r>
                  </m:e>
                  <m:sub>
                    <m:r>
                      <w:rPr>
                        <w:rFonts w:ascii="Cambria Math" w:eastAsia="宋体" w:hAnsi="Cambria Math"/>
                        <w:sz w:val="21"/>
                        <w:szCs w:val="21"/>
                        <w:lang w:val="es-ES" w:bidi="ar"/>
                      </w:rPr>
                      <m:t>re</m:t>
                    </m:r>
                  </m:sub>
                </m:sSub>
                <m:r>
                  <w:rPr>
                    <w:rFonts w:ascii="Cambria Math" w:hAnsi="Cambria Math"/>
                    <w:sz w:val="21"/>
                    <w:szCs w:val="21"/>
                    <w:lang w:bidi="ar"/>
                  </w:rPr>
                  <m:t>-</m:t>
                </m:r>
                <m:sSub>
                  <m:sSubPr>
                    <m:ctrlPr>
                      <w:rPr>
                        <w:rFonts w:ascii="Cambria Math" w:eastAsia="Times New Roman" w:hAnsi="Cambria Math"/>
                        <w:i/>
                        <w:sz w:val="21"/>
                        <w:szCs w:val="21"/>
                        <w:lang w:bidi="ar"/>
                      </w:rPr>
                    </m:ctrlPr>
                  </m:sSubPr>
                  <m:e>
                    <m:r>
                      <w:rPr>
                        <w:rFonts w:ascii="Cambria Math" w:eastAsia="宋体" w:hAnsi="Cambria Math"/>
                        <w:sz w:val="21"/>
                        <w:szCs w:val="21"/>
                        <w:lang w:val="es-ES" w:bidi="ar"/>
                      </w:rPr>
                      <m:t>E</m:t>
                    </m:r>
                  </m:e>
                  <m:sub>
                    <m:r>
                      <w:rPr>
                        <w:rFonts w:ascii="Cambria Math" w:hAnsi="Cambria Math"/>
                        <w:sz w:val="21"/>
                        <w:szCs w:val="21"/>
                        <w:vertAlign w:val="subscript"/>
                        <w:lang w:val="es-ES" w:bidi="ar"/>
                      </w:rPr>
                      <m:t>Fc</m:t>
                    </m:r>
                    <m:r>
                      <w:rPr>
                        <w:rFonts w:ascii="Cambria Math" w:hAnsi="Cambria Math"/>
                        <w:sz w:val="21"/>
                        <w:szCs w:val="21"/>
                        <w:vertAlign w:val="subscript"/>
                        <w:lang w:bidi="ar"/>
                      </w:rPr>
                      <m:t>/</m:t>
                    </m:r>
                    <m:r>
                      <w:rPr>
                        <w:rFonts w:ascii="Cambria Math" w:hAnsi="Cambria Math"/>
                        <w:sz w:val="21"/>
                        <w:szCs w:val="21"/>
                        <w:vertAlign w:val="subscript"/>
                        <w:lang w:val="es-ES" w:bidi="ar"/>
                      </w:rPr>
                      <m:t>Fc</m:t>
                    </m:r>
                    <m:r>
                      <w:rPr>
                        <w:rFonts w:ascii="Cambria Math" w:hAnsi="Cambria Math"/>
                        <w:sz w:val="21"/>
                        <w:szCs w:val="21"/>
                        <w:vertAlign w:val="subscript"/>
                        <w:lang w:bidi="ar"/>
                      </w:rPr>
                      <m:t>+</m:t>
                    </m:r>
                  </m:sub>
                </m:sSub>
              </m:e>
            </m:d>
          </m:e>
        </m:d>
        <m:d>
          <m:dPr>
            <m:ctrlPr>
              <w:rPr>
                <w:rFonts w:ascii="Cambria Math" w:eastAsia="Times New Roman" w:hAnsi="Cambria Math"/>
                <w:iCs/>
                <w:sz w:val="21"/>
                <w:szCs w:val="21"/>
                <w:lang w:bidi="ar"/>
              </w:rPr>
            </m:ctrlPr>
          </m:dPr>
          <m:e>
            <m:r>
              <w:rPr>
                <w:rFonts w:ascii="Cambria Math" w:eastAsia="Times New Roman" w:hAnsi="Cambria Math"/>
                <w:sz w:val="21"/>
                <w:szCs w:val="21"/>
                <w:lang w:val="es-ES" w:bidi="ar"/>
              </w:rPr>
              <m:t>eV</m:t>
            </m:r>
          </m:e>
        </m:d>
      </m:oMath>
    </w:p>
    <w:p w14:paraId="50810D4F" w14:textId="77777777" w:rsidR="004563D3" w:rsidRDefault="004563D3" w:rsidP="007E0E98">
      <w:pPr>
        <w:pStyle w:val="ad"/>
        <w:widowControl/>
        <w:spacing w:after="100" w:line="480" w:lineRule="auto"/>
        <w:rPr>
          <w:rFonts w:ascii="Arial" w:hAnsi="Arial" w:cs="Arial"/>
          <w:szCs w:val="21"/>
        </w:rPr>
      </w:pPr>
    </w:p>
    <w:p w14:paraId="407D5E21" w14:textId="77777777" w:rsidR="00461CD3" w:rsidRPr="004563D3" w:rsidRDefault="00461CD3" w:rsidP="007E0E98">
      <w:pPr>
        <w:pStyle w:val="ad"/>
        <w:widowControl/>
        <w:spacing w:after="100" w:line="480" w:lineRule="auto"/>
        <w:rPr>
          <w:rFonts w:ascii="Arial" w:hAnsi="Arial" w:cs="Arial"/>
          <w:szCs w:val="21"/>
        </w:rPr>
      </w:pPr>
    </w:p>
    <w:p w14:paraId="29F204D0" w14:textId="1841D394" w:rsidR="007E0E98" w:rsidRPr="007E0E98" w:rsidRDefault="00000000">
      <w:pPr>
        <w:pStyle w:val="Body"/>
        <w:spacing w:after="100"/>
        <w:rPr>
          <w:rFonts w:ascii="Arial" w:eastAsiaTheme="minorEastAsia" w:hAnsi="Arial" w:cs="Arial"/>
          <w:b/>
          <w:bCs/>
          <w:i/>
          <w:iCs/>
        </w:rPr>
      </w:pPr>
      <w:r w:rsidRPr="007E0E98">
        <w:rPr>
          <w:rFonts w:ascii="Arial" w:eastAsia="Arial" w:hAnsi="Arial" w:cs="Arial"/>
          <w:b/>
          <w:bCs/>
          <w:i/>
          <w:iCs/>
        </w:rPr>
        <w:t>Substrate and Film Preparation</w:t>
      </w:r>
    </w:p>
    <w:p w14:paraId="08267545" w14:textId="3EC51637" w:rsidR="00D91720" w:rsidRDefault="00000000">
      <w:pPr>
        <w:pStyle w:val="Body"/>
        <w:spacing w:after="100"/>
        <w:rPr>
          <w:rFonts w:ascii="Arial" w:eastAsiaTheme="minorEastAsia" w:hAnsi="Arial" w:cs="Arial"/>
        </w:rPr>
      </w:pPr>
      <w:r>
        <w:rPr>
          <w:rFonts w:ascii="Arial" w:eastAsia="Arial" w:hAnsi="Arial" w:cs="Arial"/>
        </w:rPr>
        <w:t>The</w:t>
      </w:r>
      <w:r>
        <w:rPr>
          <w:rFonts w:ascii="Arial" w:eastAsiaTheme="minorEastAsia" w:hAnsi="Arial" w:cs="Arial"/>
        </w:rPr>
        <w:t xml:space="preserve"> glass and silicon </w:t>
      </w:r>
      <w:r>
        <w:rPr>
          <w:rFonts w:ascii="Arial" w:eastAsia="Arial" w:hAnsi="Arial" w:cs="Arial"/>
        </w:rPr>
        <w:t xml:space="preserve">substrate was cleaned by continuous ultrasonication in deionized water, acetone, and isopropanol for 5 minutes each, followed by 1 minute of plasma treatment. Finally, the polymer solution was applied to the substrate, preheated at 60 </w:t>
      </w:r>
      <w:r>
        <w:rPr>
          <w:rFonts w:ascii="Arial" w:eastAsia="Arial" w:hAnsi="Arial" w:cs="Arial"/>
          <w:color w:val="000000" w:themeColor="text1"/>
          <w:szCs w:val="21"/>
        </w:rPr>
        <w:t>°C</w:t>
      </w:r>
      <w:r>
        <w:rPr>
          <w:rFonts w:ascii="Arial" w:eastAsia="Arial" w:hAnsi="Arial" w:cs="Arial"/>
        </w:rPr>
        <w:t xml:space="preserve"> for 5 min, spin coated at 2000 rpm, and dried in nitrogen atmosphere to remove residual solvent.</w:t>
      </w:r>
    </w:p>
    <w:p w14:paraId="236906A8" w14:textId="77777777" w:rsidR="004563D3" w:rsidRDefault="00000000">
      <w:pPr>
        <w:pStyle w:val="Body"/>
        <w:spacing w:after="100"/>
        <w:rPr>
          <w:rFonts w:ascii="Arial" w:eastAsiaTheme="minorEastAsia" w:hAnsi="Arial" w:cs="Arial"/>
        </w:rPr>
      </w:pPr>
      <w:r w:rsidRPr="007E0E98">
        <w:rPr>
          <w:rFonts w:ascii="Arial" w:eastAsia="Arial" w:hAnsi="Arial" w:cs="Arial"/>
          <w:b/>
          <w:bCs/>
          <w:i/>
          <w:iCs/>
        </w:rPr>
        <w:t>Thermoelectric performance measurement</w:t>
      </w:r>
    </w:p>
    <w:p w14:paraId="763586A5" w14:textId="3C7D0657" w:rsidR="00D91720" w:rsidRPr="004563D3" w:rsidRDefault="00000000">
      <w:pPr>
        <w:pStyle w:val="Body"/>
        <w:spacing w:after="100"/>
        <w:rPr>
          <w:rFonts w:ascii="Arial" w:eastAsiaTheme="minorEastAsia" w:hAnsi="Arial" w:cs="Arial"/>
        </w:rPr>
      </w:pPr>
      <w:r>
        <w:rPr>
          <w:rFonts w:ascii="Arial" w:eastAsia="Arial" w:hAnsi="Arial" w:cs="Arial"/>
        </w:rPr>
        <w:t>The conductivity was measured using the four-probe method on a Keithley 4200 SCS semiconductor analyzer. The aspect ratio (</w:t>
      </w:r>
      <w:r>
        <w:rPr>
          <w:rFonts w:ascii="Arial" w:eastAsia="Arial" w:hAnsi="Arial" w:cs="Arial"/>
          <w:i/>
        </w:rPr>
        <w:t>W/L</w:t>
      </w:r>
      <w:r>
        <w:rPr>
          <w:rFonts w:ascii="Arial" w:eastAsia="Arial" w:hAnsi="Arial" w:cs="Arial"/>
        </w:rPr>
        <w:t xml:space="preserve">) of the four parallel electrodes is 1000 </w:t>
      </w:r>
      <w:proofErr w:type="spellStart"/>
      <w:r>
        <w:rPr>
          <w:rFonts w:ascii="Arial" w:eastAsia="Arial" w:hAnsi="Arial" w:cs="Arial"/>
        </w:rPr>
        <w:t>μm</w:t>
      </w:r>
      <w:proofErr w:type="spellEnd"/>
      <w:r>
        <w:rPr>
          <w:rFonts w:ascii="Arial" w:eastAsia="Arial" w:hAnsi="Arial" w:cs="Arial"/>
        </w:rPr>
        <w:t xml:space="preserve">/200 </w:t>
      </w:r>
      <w:proofErr w:type="spellStart"/>
      <w:r>
        <w:rPr>
          <w:rFonts w:ascii="Arial" w:eastAsia="Arial" w:hAnsi="Arial" w:cs="Arial"/>
        </w:rPr>
        <w:t>μm</w:t>
      </w:r>
      <w:proofErr w:type="spellEnd"/>
      <w:r>
        <w:rPr>
          <w:rFonts w:ascii="Arial" w:eastAsia="Arial" w:hAnsi="Arial" w:cs="Arial"/>
        </w:rPr>
        <w:t xml:space="preserve">. The </w:t>
      </w:r>
      <w:proofErr w:type="spellStart"/>
      <w:r>
        <w:rPr>
          <w:rFonts w:ascii="Arial" w:eastAsia="Arial" w:hAnsi="Arial" w:cs="Arial"/>
        </w:rPr>
        <w:t>Seebeck</w:t>
      </w:r>
      <w:proofErr w:type="spellEnd"/>
      <w:r>
        <w:rPr>
          <w:rFonts w:ascii="Arial" w:eastAsia="Arial" w:hAnsi="Arial" w:cs="Arial"/>
        </w:rPr>
        <w:t xml:space="preserve"> coefficient (S) was determined through the </w:t>
      </w:r>
      <w:proofErr w:type="gramStart"/>
      <w:r>
        <w:rPr>
          <w:rFonts w:ascii="Arial" w:eastAsia="Arial" w:hAnsi="Arial" w:cs="Arial"/>
        </w:rPr>
        <w:t>equation</w:t>
      </w:r>
      <w:r>
        <w:rPr>
          <w:rFonts w:ascii="Arial" w:eastAsia="Arial" w:hAnsi="Arial" w:cs="Arial"/>
          <w:kern w:val="0"/>
          <w:lang w:val="de-DE" w:eastAsia="ja-JP"/>
        </w:rPr>
        <w:t xml:space="preserve"> </w:t>
      </w:r>
      <w:r>
        <w:rPr>
          <w:rFonts w:ascii="Arial" w:eastAsia="Arial" w:hAnsi="Arial" w:cs="Arial"/>
        </w:rPr>
        <w:t>,</w:t>
      </w:r>
      <w:proofErr w:type="gramEnd"/>
      <w:r>
        <w:rPr>
          <w:rFonts w:ascii="Arial" w:eastAsia="Arial" w:hAnsi="Arial" w:cs="Arial"/>
        </w:rPr>
        <w:t xml:space="preserve"> where </w:t>
      </w:r>
      <w:proofErr w:type="spellStart"/>
      <w:r>
        <w:rPr>
          <w:rFonts w:ascii="Arial" w:eastAsia="Arial" w:hAnsi="Arial" w:cs="Arial"/>
        </w:rPr>
        <w:t>Δ</w:t>
      </w:r>
      <w:r>
        <w:rPr>
          <w:rFonts w:ascii="Arial" w:eastAsia="Arial" w:hAnsi="Arial" w:cs="Arial"/>
          <w:i/>
        </w:rPr>
        <w:t>V</w:t>
      </w:r>
      <w:r>
        <w:rPr>
          <w:rFonts w:ascii="Arial" w:eastAsia="Arial" w:hAnsi="Arial" w:cs="Arial"/>
          <w:i/>
          <w:vertAlign w:val="subscript"/>
        </w:rPr>
        <w:t>therm</w:t>
      </w:r>
      <w:proofErr w:type="spellEnd"/>
      <w:r>
        <w:rPr>
          <w:rFonts w:ascii="Arial" w:eastAsia="Arial" w:hAnsi="Arial" w:cs="Arial"/>
        </w:rPr>
        <w:t xml:space="preserve"> represents the thermoelectric voltage between the hot and cold junctions under a temperature gradient of ΔT. ΔT was varied over 5–20 K, and S was obtained from the slope of </w:t>
      </w:r>
      <w:proofErr w:type="spellStart"/>
      <w:r>
        <w:rPr>
          <w:rFonts w:ascii="Arial" w:eastAsia="Arial" w:hAnsi="Arial" w:cs="Arial"/>
        </w:rPr>
        <w:t>ΔVtherm</w:t>
      </w:r>
      <w:proofErr w:type="spellEnd"/>
      <w:r>
        <w:rPr>
          <w:rFonts w:ascii="Arial" w:eastAsia="Arial" w:hAnsi="Arial" w:cs="Arial"/>
        </w:rPr>
        <w:t xml:space="preserve"> versus ΔT (linear fit, R² &gt; 0.99); the reported uncertainty is the standard deviation of two parallel runs on independently prepared films (n = 2). The thermoelectric voltage </w:t>
      </w:r>
      <w:proofErr w:type="spellStart"/>
      <w:r>
        <w:rPr>
          <w:rFonts w:ascii="Arial" w:eastAsia="Arial" w:hAnsi="Arial" w:cs="Arial"/>
        </w:rPr>
        <w:t>ΔVtherm</w:t>
      </w:r>
      <w:proofErr w:type="spellEnd"/>
      <w:r>
        <w:rPr>
          <w:rFonts w:ascii="Arial" w:eastAsia="Arial" w:hAnsi="Arial" w:cs="Arial"/>
        </w:rPr>
        <w:t xml:space="preserve"> was collected via the Keithley 4200 SCS system. The power factor and its uncertainty were propagated from the standard deviations </w:t>
      </w:r>
      <w:r w:rsidRPr="008C66D6">
        <w:rPr>
          <w:rFonts w:ascii="Arial" w:eastAsia="Arial" w:hAnsi="Arial" w:cs="Arial"/>
        </w:rPr>
        <w:t xml:space="preserve">of σ and S via </w:t>
      </w:r>
      <w:proofErr w:type="spellStart"/>
      <w:r w:rsidRPr="008C66D6">
        <w:rPr>
          <w:rFonts w:ascii="Arial" w:eastAsia="Arial" w:hAnsi="Arial" w:cs="Arial"/>
        </w:rPr>
        <w:t>δPF</w:t>
      </w:r>
      <w:proofErr w:type="spellEnd"/>
      <w:r w:rsidRPr="008C66D6">
        <w:rPr>
          <w:rFonts w:ascii="Arial" w:eastAsia="Arial" w:hAnsi="Arial" w:cs="Arial"/>
        </w:rPr>
        <w:t>/PF = √((2δS/</w:t>
      </w:r>
      <w:proofErr w:type="gramStart"/>
      <w:r w:rsidRPr="008C66D6">
        <w:rPr>
          <w:rFonts w:ascii="Arial" w:eastAsia="Arial" w:hAnsi="Arial" w:cs="Arial"/>
        </w:rPr>
        <w:t>S)²</w:t>
      </w:r>
      <w:proofErr w:type="gramEnd"/>
      <w:r w:rsidRPr="008C66D6">
        <w:rPr>
          <w:rFonts w:ascii="Arial" w:eastAsia="Arial" w:hAnsi="Arial" w:cs="Arial"/>
        </w:rPr>
        <w:t xml:space="preserve"> + (</w:t>
      </w:r>
      <w:proofErr w:type="spellStart"/>
      <w:r w:rsidRPr="008C66D6">
        <w:rPr>
          <w:rFonts w:ascii="Arial" w:eastAsia="Arial" w:hAnsi="Arial" w:cs="Arial"/>
        </w:rPr>
        <w:t>δσ</w:t>
      </w:r>
      <w:proofErr w:type="spellEnd"/>
      <w:r w:rsidRPr="008C66D6">
        <w:rPr>
          <w:rFonts w:ascii="Arial" w:eastAsia="Arial" w:hAnsi="Arial" w:cs="Arial"/>
        </w:rPr>
        <w:t>/</w:t>
      </w:r>
      <w:proofErr w:type="gramStart"/>
      <w:r w:rsidRPr="008C66D6">
        <w:rPr>
          <w:rFonts w:ascii="Arial" w:eastAsia="Arial" w:hAnsi="Arial" w:cs="Arial"/>
        </w:rPr>
        <w:t>σ)²</w:t>
      </w:r>
      <w:proofErr w:type="gramEnd"/>
      <w:r w:rsidRPr="008C66D6">
        <w:rPr>
          <w:rFonts w:ascii="Arial" w:eastAsia="Arial" w:hAnsi="Arial" w:cs="Arial"/>
        </w:rPr>
        <w:t xml:space="preserve">). The power factor (PF) is calculated using the </w:t>
      </w:r>
      <w:proofErr w:type="gramStart"/>
      <w:r w:rsidRPr="008C66D6">
        <w:rPr>
          <w:rFonts w:ascii="Arial" w:eastAsia="Arial" w:hAnsi="Arial" w:cs="Arial"/>
        </w:rPr>
        <w:t>formula .</w:t>
      </w:r>
      <w:proofErr w:type="gramEnd"/>
      <m:oMath>
        <m:r>
          <w:rPr>
            <w:rFonts w:ascii="Cambria Math" w:eastAsia="宋体" w:hAnsi="Cambria Math" w:cs="Arial"/>
            <w:szCs w:val="21"/>
            <w:lang w:bidi="ar"/>
          </w:rPr>
          <m:t xml:space="preserve">S = </m:t>
        </m:r>
        <m:f>
          <m:fPr>
            <m:ctrlPr>
              <w:rPr>
                <w:rFonts w:ascii="Cambria Math" w:eastAsia="宋体" w:hAnsi="Cambria Math" w:cs="Arial"/>
                <w:i/>
                <w:iCs/>
                <w:szCs w:val="21"/>
                <w:lang w:bidi="ar"/>
              </w:rPr>
            </m:ctrlPr>
          </m:fPr>
          <m:num>
            <m:sSub>
              <m:sSubPr>
                <m:ctrlPr>
                  <w:rPr>
                    <w:rFonts w:ascii="Cambria Math" w:eastAsia="宋体" w:hAnsi="Cambria Math" w:cs="Arial"/>
                    <w:szCs w:val="21"/>
                    <w:lang w:bidi="ar"/>
                  </w:rPr>
                </m:ctrlPr>
              </m:sSubPr>
              <m:e>
                <m:r>
                  <w:rPr>
                    <w:rFonts w:ascii="Cambria Math" w:hAnsi="Cambria Math" w:cs="Arial"/>
                    <w:szCs w:val="21"/>
                    <w:lang w:bidi="ar"/>
                  </w:rPr>
                  <m:t>ΔV</m:t>
                </m:r>
              </m:e>
              <m:sub>
                <m:r>
                  <w:rPr>
                    <w:rFonts w:ascii="Cambria Math" w:hAnsi="Cambria Math" w:cs="Arial"/>
                    <w:szCs w:val="21"/>
                    <w:vertAlign w:val="subscript"/>
                    <w:lang w:bidi="ar"/>
                  </w:rPr>
                  <m:t>therm</m:t>
                </m:r>
              </m:sub>
            </m:sSub>
          </m:num>
          <m:den>
            <m:r>
              <w:rPr>
                <w:rFonts w:ascii="Cambria Math" w:hAnsi="Cambria Math" w:cs="Arial"/>
                <w:szCs w:val="21"/>
                <w:lang w:bidi="ar"/>
              </w:rPr>
              <m:t>ΔT</m:t>
            </m:r>
          </m:den>
        </m:f>
        <m:r>
          <w:rPr>
            <w:rFonts w:ascii="Cambria Math" w:eastAsia="宋体" w:hAnsi="Cambria Math" w:cs="Arial"/>
            <w:szCs w:val="21"/>
            <w:lang w:bidi="ar"/>
          </w:rPr>
          <m:t xml:space="preserve">PF = </m:t>
        </m:r>
        <m:r>
          <w:rPr>
            <w:rFonts w:ascii="Cambria Math" w:eastAsia="宋体" w:hAnsi="Cambria Math" w:cs="Arial"/>
            <w:szCs w:val="21"/>
          </w:rPr>
          <m:t>σ</m:t>
        </m:r>
        <m:sSup>
          <m:sSupPr>
            <m:ctrlPr>
              <w:rPr>
                <w:rFonts w:ascii="Cambria Math" w:eastAsia="宋体" w:hAnsi="Cambria Math" w:cs="Arial"/>
                <w:i/>
                <w:iCs/>
                <w:szCs w:val="21"/>
              </w:rPr>
            </m:ctrlPr>
          </m:sSupPr>
          <m:e>
            <m:r>
              <w:rPr>
                <w:rFonts w:ascii="Cambria Math" w:eastAsia="宋体" w:hAnsi="Cambria Math" w:cs="Arial"/>
                <w:szCs w:val="21"/>
              </w:rPr>
              <m:t>S</m:t>
            </m:r>
          </m:e>
          <m:sup>
            <m:r>
              <w:rPr>
                <w:rFonts w:ascii="Cambria Math" w:eastAsia="宋体" w:hAnsi="Cambria Math" w:cs="Arial"/>
                <w:szCs w:val="21"/>
              </w:rPr>
              <m:t>2</m:t>
            </m:r>
          </m:sup>
        </m:sSup>
      </m:oMath>
    </w:p>
    <w:p w14:paraId="3D435064" w14:textId="6BA6D920" w:rsidR="007E0E98" w:rsidRDefault="00000000">
      <w:pPr>
        <w:pStyle w:val="Body"/>
        <w:spacing w:after="100"/>
        <w:rPr>
          <w:rFonts w:ascii="Arial" w:eastAsiaTheme="minorEastAsia" w:hAnsi="Arial" w:cs="Arial"/>
        </w:rPr>
      </w:pPr>
      <w:bookmarkStart w:id="4" w:name="_Hlk216058352"/>
      <w:r w:rsidRPr="007E0E98">
        <w:rPr>
          <w:rFonts w:ascii="Arial" w:eastAsia="Arial" w:hAnsi="Arial" w:cs="Arial"/>
          <w:b/>
          <w:bCs/>
          <w:i/>
          <w:iCs/>
        </w:rPr>
        <w:t>OECT devices fabrication and characterization</w:t>
      </w:r>
    </w:p>
    <w:p w14:paraId="7E7B5A34" w14:textId="6938A5F3" w:rsidR="00D91720" w:rsidRDefault="00000000">
      <w:pPr>
        <w:pStyle w:val="Body"/>
        <w:spacing w:after="100"/>
        <w:rPr>
          <w:rFonts w:ascii="Arial" w:hAnsi="Arial"/>
        </w:rPr>
      </w:pPr>
      <w:r>
        <w:rPr>
          <w:rFonts w:ascii="Arial" w:eastAsia="Arial" w:hAnsi="Arial" w:cs="Arial"/>
        </w:rPr>
        <w:t xml:space="preserve">The OECT device with a </w:t>
      </w:r>
      <w:r>
        <w:rPr>
          <w:rFonts w:ascii="Arial" w:eastAsia="Arial" w:hAnsi="Arial" w:cs="Arial"/>
          <w:i/>
        </w:rPr>
        <w:t>W/L</w:t>
      </w:r>
      <w:r>
        <w:rPr>
          <w:rFonts w:ascii="Arial" w:eastAsia="Arial" w:hAnsi="Arial" w:cs="Arial"/>
        </w:rPr>
        <w:t xml:space="preserve"> ratio of 100 </w:t>
      </w:r>
      <w:proofErr w:type="spellStart"/>
      <w:r>
        <w:rPr>
          <w:rFonts w:ascii="Arial" w:eastAsia="Arial" w:hAnsi="Arial" w:cs="Arial"/>
        </w:rPr>
        <w:t>μm</w:t>
      </w:r>
      <w:proofErr w:type="spellEnd"/>
      <w:r>
        <w:rPr>
          <w:rFonts w:ascii="Arial" w:eastAsia="Arial" w:hAnsi="Arial" w:cs="Arial"/>
        </w:rPr>
        <w:t xml:space="preserve">/10 </w:t>
      </w:r>
      <w:proofErr w:type="spellStart"/>
      <w:r>
        <w:rPr>
          <w:rFonts w:ascii="Arial" w:eastAsia="Arial" w:hAnsi="Arial" w:cs="Arial"/>
        </w:rPr>
        <w:t>μm</w:t>
      </w:r>
      <w:proofErr w:type="spellEnd"/>
      <w:r>
        <w:rPr>
          <w:rFonts w:ascii="Arial" w:eastAsia="Arial" w:hAnsi="Arial" w:cs="Arial"/>
        </w:rPr>
        <w:t xml:space="preserve"> was fabricated through photolithography, vapor deposition of gold, parylene sacrificial layer deposition, etching, and spin-coating of channel material. The PBFDO solution was first applied as a droplet onto the substrate and preheated at 60 </w:t>
      </w:r>
      <w:r>
        <w:rPr>
          <w:rFonts w:ascii="Arial" w:eastAsia="Arial" w:hAnsi="Arial" w:cs="Arial"/>
          <w:color w:val="000000" w:themeColor="text1"/>
          <w:szCs w:val="21"/>
        </w:rPr>
        <w:t>°C</w:t>
      </w:r>
      <w:r>
        <w:rPr>
          <w:rFonts w:ascii="Arial" w:eastAsia="Arial" w:hAnsi="Arial" w:cs="Arial"/>
        </w:rPr>
        <w:t xml:space="preserve"> for 5 minutes. Subsequently, spin-coating was performed at 2000 rpm onto the substrate, followed by drying in nitrogen at 60 </w:t>
      </w:r>
      <w:r>
        <w:rPr>
          <w:rFonts w:ascii="Arial" w:eastAsia="Arial" w:hAnsi="Arial" w:cs="Arial"/>
          <w:color w:val="000000" w:themeColor="text1"/>
          <w:szCs w:val="21"/>
        </w:rPr>
        <w:t>°C</w:t>
      </w:r>
      <w:r>
        <w:rPr>
          <w:rFonts w:ascii="Arial" w:eastAsia="Arial" w:hAnsi="Arial" w:cs="Arial"/>
        </w:rPr>
        <w:t xml:space="preserve"> to form the channel. After completing the exfoliation of the second sacrificial parylene layer, measurements were conducted. </w:t>
      </w:r>
      <w:r>
        <w:rPr>
          <w:rFonts w:ascii="Arial" w:eastAsia="Arial" w:hAnsi="Arial" w:cs="Arial"/>
        </w:rPr>
        <w:lastRenderedPageBreak/>
        <w:t xml:space="preserve">OECT performance characterization was performed using the FSA Pro semiconductor analyzer (PDA). All measurements were carried out in air with 0.1 M sodium chloride solution as the electrolyte and an Ag/AgCl electrode as the gate electrode. The </w:t>
      </w:r>
      <w:proofErr w:type="spellStart"/>
      <w:r>
        <w:rPr>
          <w:rFonts w:ascii="Arial" w:eastAsia="Arial" w:hAnsi="Arial" w:cs="Arial"/>
          <w:i/>
        </w:rPr>
        <w:t>μC</w:t>
      </w:r>
      <w:proofErr w:type="spellEnd"/>
      <w:r>
        <w:rPr>
          <w:rFonts w:ascii="Arial" w:eastAsia="Arial" w:hAnsi="Arial" w:cs="Arial"/>
        </w:rPr>
        <w:t xml:space="preserve">* product was extracted using the </w:t>
      </w:r>
      <w:proofErr w:type="gramStart"/>
      <w:r>
        <w:rPr>
          <w:rFonts w:ascii="Arial" w:eastAsia="Arial" w:hAnsi="Arial" w:cs="Arial"/>
        </w:rPr>
        <w:t>equation  (</w:t>
      </w:r>
      <w:proofErr w:type="gramEnd"/>
      <w:r>
        <w:rPr>
          <w:rFonts w:ascii="Arial" w:eastAsia="Arial" w:hAnsi="Arial" w:cs="Arial"/>
        </w:rPr>
        <w:t xml:space="preserve">where </w:t>
      </w:r>
      <w:r>
        <w:rPr>
          <w:rFonts w:ascii="Arial" w:eastAsiaTheme="minorEastAsia" w:hAnsi="Arial" w:cs="Arial" w:hint="eastAsia"/>
        </w:rPr>
        <w:t>W</w:t>
      </w:r>
      <w:r>
        <w:rPr>
          <w:rFonts w:ascii="Arial" w:eastAsia="Arial" w:hAnsi="Arial" w:cs="Arial"/>
        </w:rPr>
        <w:t xml:space="preserve">, L, and d represent the width, length, and depth of the organic channel, and </w:t>
      </w:r>
      <w:r>
        <w:rPr>
          <w:rFonts w:ascii="Arial" w:eastAsia="Arial" w:hAnsi="Arial" w:cs="Arial"/>
          <w:i/>
        </w:rPr>
        <w:t>V</w:t>
      </w:r>
      <w:r>
        <w:rPr>
          <w:rFonts w:ascii="Arial" w:eastAsia="Arial" w:hAnsi="Arial" w:cs="Arial"/>
          <w:i/>
          <w:vertAlign w:val="subscript"/>
        </w:rPr>
        <w:t>th</w:t>
      </w:r>
      <w:r>
        <w:rPr>
          <w:rFonts w:ascii="Arial" w:eastAsia="Arial" w:hAnsi="Arial" w:cs="Arial"/>
        </w:rPr>
        <w:t xml:space="preserve"> is the threshold voltage). The film thickness was determined in the dry state using a DEKTAK profiler (Bruker).</w:t>
      </w:r>
      <w:bookmarkEnd w:id="4"/>
      <m:oMath>
        <m:sSub>
          <m:sSubPr>
            <m:ctrlPr>
              <w:rPr>
                <w:rFonts w:ascii="Cambria Math" w:eastAsia="宋体" w:hAnsi="Cambria Math" w:cs="Arial"/>
                <w:i/>
                <w:iCs/>
                <w:szCs w:val="21"/>
              </w:rPr>
            </m:ctrlPr>
          </m:sSubPr>
          <m:e>
            <m:r>
              <w:rPr>
                <w:rFonts w:ascii="Arial" w:eastAsia="宋体" w:hAnsi="Arial" w:cs="Arial"/>
                <w:szCs w:val="21"/>
              </w:rPr>
              <m:t>g</m:t>
            </m:r>
          </m:e>
          <m:sub>
            <m:r>
              <w:rPr>
                <w:rFonts w:ascii="Arial" w:eastAsia="宋体" w:hAnsi="Arial" w:cs="Arial"/>
                <w:szCs w:val="21"/>
              </w:rPr>
              <m:t>m</m:t>
            </m:r>
          </m:sub>
        </m:sSub>
        <m:r>
          <w:rPr>
            <w:rFonts w:ascii="Arial" w:eastAsia="宋体" w:hAnsi="Arial" w:cs="Arial"/>
            <w:szCs w:val="21"/>
          </w:rPr>
          <m:t xml:space="preserve"> = </m:t>
        </m:r>
        <m:f>
          <m:fPr>
            <m:ctrlPr>
              <w:rPr>
                <w:rFonts w:ascii="Cambria Math" w:eastAsia="宋体" w:hAnsi="Cambria Math" w:cs="Arial"/>
                <w:i/>
                <w:iCs/>
                <w:szCs w:val="21"/>
              </w:rPr>
            </m:ctrlPr>
          </m:fPr>
          <m:num>
            <m:r>
              <w:rPr>
                <w:rFonts w:ascii="Arial" w:eastAsia="宋体" w:hAnsi="Arial" w:cs="Arial"/>
                <w:szCs w:val="21"/>
              </w:rPr>
              <m:t>∂</m:t>
            </m:r>
            <m:sSub>
              <m:sSubPr>
                <m:ctrlPr>
                  <w:rPr>
                    <w:rFonts w:ascii="Cambria Math" w:eastAsia="宋体" w:hAnsi="Cambria Math" w:cs="Arial"/>
                    <w:i/>
                    <w:iCs/>
                    <w:szCs w:val="21"/>
                  </w:rPr>
                </m:ctrlPr>
              </m:sSubPr>
              <m:e>
                <m:r>
                  <w:rPr>
                    <w:rFonts w:ascii="Arial" w:eastAsia="宋体" w:hAnsi="Arial" w:cs="Arial"/>
                    <w:szCs w:val="21"/>
                  </w:rPr>
                  <m:t>I</m:t>
                </m:r>
              </m:e>
              <m:sub>
                <m:r>
                  <w:rPr>
                    <w:rFonts w:ascii="Arial" w:eastAsia="宋体" w:hAnsi="Arial" w:cs="Arial"/>
                    <w:szCs w:val="21"/>
                  </w:rPr>
                  <m:t>D</m:t>
                </m:r>
              </m:sub>
            </m:sSub>
          </m:num>
          <m:den>
            <m:r>
              <w:rPr>
                <w:rFonts w:ascii="Arial" w:eastAsia="宋体" w:hAnsi="Arial" w:cs="Arial"/>
                <w:szCs w:val="21"/>
              </w:rPr>
              <m:t>∂</m:t>
            </m:r>
            <m:sSub>
              <m:sSubPr>
                <m:ctrlPr>
                  <w:rPr>
                    <w:rFonts w:ascii="Cambria Math" w:eastAsia="宋体" w:hAnsi="Cambria Math" w:cs="Arial"/>
                    <w:i/>
                    <w:iCs/>
                    <w:szCs w:val="21"/>
                  </w:rPr>
                </m:ctrlPr>
              </m:sSubPr>
              <m:e>
                <m:r>
                  <w:rPr>
                    <w:rFonts w:ascii="Arial" w:eastAsia="宋体" w:hAnsi="Arial" w:cs="Arial"/>
                    <w:szCs w:val="21"/>
                  </w:rPr>
                  <m:t>V</m:t>
                </m:r>
              </m:e>
              <m:sub>
                <m:r>
                  <w:rPr>
                    <w:rFonts w:ascii="Arial" w:eastAsia="宋体" w:hAnsi="Arial" w:cs="Arial"/>
                    <w:szCs w:val="21"/>
                  </w:rPr>
                  <m:t>G</m:t>
                </m:r>
              </m:sub>
            </m:sSub>
          </m:den>
        </m:f>
        <m:r>
          <w:rPr>
            <w:rFonts w:ascii="Arial" w:eastAsia="宋体" w:hAnsi="Arial" w:cs="Arial"/>
            <w:szCs w:val="21"/>
            <w:vertAlign w:val="subscript"/>
          </w:rPr>
          <m:t xml:space="preserve"> </m:t>
        </m:r>
        <m:r>
          <w:rPr>
            <w:rFonts w:ascii="Arial" w:eastAsia="宋体" w:hAnsi="Arial" w:cs="Arial"/>
            <w:szCs w:val="21"/>
          </w:rPr>
          <m:t xml:space="preserve">= </m:t>
        </m:r>
        <m:f>
          <m:fPr>
            <m:ctrlPr>
              <w:rPr>
                <w:rFonts w:ascii="Cambria Math" w:eastAsia="宋体" w:hAnsi="Cambria Math" w:cs="Arial"/>
                <w:i/>
                <w:iCs/>
                <w:szCs w:val="21"/>
              </w:rPr>
            </m:ctrlPr>
          </m:fPr>
          <m:num>
            <m:r>
              <w:rPr>
                <w:rFonts w:ascii="Arial" w:eastAsia="宋体" w:hAnsi="Arial" w:cs="Arial"/>
                <w:szCs w:val="21"/>
              </w:rPr>
              <m:t>Wd</m:t>
            </m:r>
          </m:num>
          <m:den>
            <m:r>
              <w:rPr>
                <w:rFonts w:ascii="Arial" w:eastAsia="宋体" w:hAnsi="Arial" w:cs="Arial"/>
                <w:szCs w:val="21"/>
              </w:rPr>
              <m:t>L</m:t>
            </m:r>
          </m:den>
        </m:f>
        <m:r>
          <w:rPr>
            <w:rFonts w:ascii="Arial" w:eastAsia="宋体" w:hAnsi="Arial" w:cs="Arial"/>
            <w:szCs w:val="21"/>
          </w:rPr>
          <m:t>×μ</m:t>
        </m:r>
        <m:sSup>
          <m:sSupPr>
            <m:ctrlPr>
              <w:rPr>
                <w:rFonts w:ascii="Cambria Math" w:eastAsia="宋体" w:hAnsi="Cambria Math" w:cs="Arial"/>
                <w:i/>
                <w:iCs/>
                <w:szCs w:val="21"/>
              </w:rPr>
            </m:ctrlPr>
          </m:sSupPr>
          <m:e>
            <m:r>
              <w:rPr>
                <w:rFonts w:ascii="Arial" w:eastAsia="宋体" w:hAnsi="Arial" w:cs="Arial"/>
                <w:szCs w:val="21"/>
              </w:rPr>
              <m:t>C</m:t>
            </m:r>
          </m:e>
          <m:sup>
            <m:r>
              <w:rPr>
                <w:rFonts w:ascii="Arial" w:eastAsia="宋体" w:hAnsi="Arial" w:cs="Arial"/>
                <w:szCs w:val="21"/>
              </w:rPr>
              <m:t>*</m:t>
            </m:r>
          </m:sup>
        </m:sSup>
        <m:r>
          <w:rPr>
            <w:rFonts w:ascii="Arial" w:eastAsia="宋体" w:hAnsi="Arial" w:cs="Arial"/>
            <w:szCs w:val="21"/>
          </w:rPr>
          <m:t>×</m:t>
        </m:r>
        <m:d>
          <m:dPr>
            <m:ctrlPr>
              <w:rPr>
                <w:rFonts w:ascii="Cambria Math" w:eastAsia="宋体" w:hAnsi="Cambria Math" w:cs="Arial"/>
                <w:i/>
                <w:iCs/>
                <w:szCs w:val="21"/>
              </w:rPr>
            </m:ctrlPr>
          </m:dPr>
          <m:e>
            <m:sSub>
              <m:sSubPr>
                <m:ctrlPr>
                  <w:rPr>
                    <w:rFonts w:ascii="Cambria Math" w:eastAsia="宋体" w:hAnsi="Cambria Math" w:cs="Arial"/>
                    <w:i/>
                    <w:iCs/>
                    <w:szCs w:val="21"/>
                  </w:rPr>
                </m:ctrlPr>
              </m:sSubPr>
              <m:e>
                <m:r>
                  <w:rPr>
                    <w:rFonts w:ascii="Arial" w:eastAsia="宋体" w:hAnsi="Arial" w:cs="Arial"/>
                    <w:szCs w:val="21"/>
                  </w:rPr>
                  <m:t>V</m:t>
                </m:r>
              </m:e>
              <m:sub>
                <m:r>
                  <w:rPr>
                    <w:rFonts w:ascii="Arial" w:eastAsia="宋体" w:hAnsi="Arial" w:cs="Arial"/>
                    <w:szCs w:val="21"/>
                  </w:rPr>
                  <m:t>G</m:t>
                </m:r>
              </m:sub>
            </m:sSub>
            <m:r>
              <w:rPr>
                <w:rFonts w:ascii="Arial" w:eastAsia="宋体" w:hAnsi="Arial" w:cs="Arial"/>
                <w:szCs w:val="21"/>
              </w:rPr>
              <m:t>-</m:t>
            </m:r>
            <m:sSub>
              <m:sSubPr>
                <m:ctrlPr>
                  <w:rPr>
                    <w:rFonts w:ascii="Cambria Math" w:eastAsia="宋体" w:hAnsi="Cambria Math" w:cs="Arial"/>
                    <w:i/>
                    <w:iCs/>
                    <w:szCs w:val="21"/>
                  </w:rPr>
                </m:ctrlPr>
              </m:sSubPr>
              <m:e>
                <m:r>
                  <w:rPr>
                    <w:rFonts w:ascii="Arial" w:eastAsia="宋体" w:hAnsi="Arial" w:cs="Arial"/>
                    <w:szCs w:val="21"/>
                  </w:rPr>
                  <m:t>V</m:t>
                </m:r>
              </m:e>
              <m:sub>
                <m:r>
                  <w:rPr>
                    <w:rFonts w:ascii="Arial" w:eastAsia="宋体" w:hAnsi="Arial" w:cs="Arial"/>
                    <w:szCs w:val="21"/>
                  </w:rPr>
                  <m:t>Th</m:t>
                </m:r>
              </m:sub>
            </m:sSub>
          </m:e>
        </m:d>
      </m:oMath>
    </w:p>
    <w:p w14:paraId="1ECD60B3" w14:textId="479F7C18" w:rsidR="006967FA" w:rsidRPr="006967FA" w:rsidRDefault="00000000">
      <w:pPr>
        <w:pStyle w:val="ad"/>
        <w:widowControl/>
        <w:spacing w:after="100" w:line="480" w:lineRule="auto"/>
        <w:rPr>
          <w:rFonts w:ascii="Arial" w:hAnsi="Arial" w:cs="Arial"/>
          <w:b/>
          <w:bCs/>
          <w:i/>
          <w:iCs/>
          <w:sz w:val="20"/>
          <w:lang w:bidi="ar"/>
        </w:rPr>
      </w:pPr>
      <w:proofErr w:type="spellStart"/>
      <w:r w:rsidRPr="006967FA">
        <w:rPr>
          <w:rFonts w:ascii="Arial" w:eastAsia="Arial" w:hAnsi="Arial" w:cs="Arial"/>
          <w:b/>
          <w:bCs/>
          <w:i/>
          <w:iCs/>
          <w:sz w:val="20"/>
          <w:lang w:bidi="ar"/>
        </w:rPr>
        <w:t>Spectroelectrochemical</w:t>
      </w:r>
      <w:proofErr w:type="spellEnd"/>
      <w:r w:rsidRPr="006967FA">
        <w:rPr>
          <w:rFonts w:ascii="Arial" w:eastAsia="Arial" w:hAnsi="Arial" w:cs="Arial"/>
          <w:b/>
          <w:bCs/>
          <w:i/>
          <w:iCs/>
          <w:sz w:val="20"/>
          <w:lang w:bidi="ar"/>
        </w:rPr>
        <w:t xml:space="preserve"> measurements</w:t>
      </w:r>
    </w:p>
    <w:p w14:paraId="5D407D3E" w14:textId="41F994C7" w:rsidR="00D91720" w:rsidRDefault="00000000">
      <w:pPr>
        <w:pStyle w:val="ad"/>
        <w:widowControl/>
        <w:spacing w:after="100" w:line="480" w:lineRule="auto"/>
        <w:rPr>
          <w:rFonts w:ascii="Arial" w:eastAsia="Times New Roman" w:hAnsi="Arial" w:cs="Arial"/>
          <w:sz w:val="21"/>
          <w:lang w:bidi="ar"/>
        </w:rPr>
      </w:pPr>
      <w:r>
        <w:rPr>
          <w:rFonts w:ascii="Arial" w:eastAsia="Arial" w:hAnsi="Arial" w:cs="Arial"/>
          <w:sz w:val="20"/>
          <w:lang w:bidi="ar"/>
        </w:rPr>
        <w:t>The electrochemical measurements of polymer films were performed using a Shimadzu UV-3600 UV-Vis-NIR spectrophotometer at the voltage applied by the CHI660 constant potential/current electrochemical workstation. The polymer was coated onto an ITO glass substrate. A three-electrode system was established in a quartz domed cell, with the polymer-coated ITO serving as the working electrode, an Ag/AgCl electrode as the reference electrode, and Pt wire as the counter electrode. A 0.1 M sodium chloride solution was used as the supporting electrolyte. The applied bias voltage ranged from</w:t>
      </w:r>
      <w:r>
        <w:rPr>
          <w:rFonts w:ascii="Arial" w:eastAsia="Arial" w:hAnsi="Arial" w:cs="Arial" w:hint="eastAsia"/>
          <w:sz w:val="20"/>
          <w:lang w:bidi="ar"/>
        </w:rPr>
        <w:t xml:space="preserve"> </w:t>
      </w:r>
      <w:r>
        <w:rPr>
          <w:rFonts w:ascii="Arial" w:eastAsia="Arial" w:hAnsi="Arial" w:cs="Arial"/>
          <w:sz w:val="20"/>
          <w:lang w:bidi="ar"/>
        </w:rPr>
        <w:t>−0.6 to 0.6 V. The doping states at different working voltages were analyzed through the absorption spectrum of the UV-V</w:t>
      </w:r>
      <w:r>
        <w:rPr>
          <w:rFonts w:ascii="Arial" w:eastAsia="Arial" w:hAnsi="Arial" w:cs="Arial" w:hint="eastAsia"/>
          <w:sz w:val="20"/>
          <w:lang w:bidi="ar"/>
        </w:rPr>
        <w:t>is</w:t>
      </w:r>
      <w:r>
        <w:rPr>
          <w:rFonts w:ascii="Arial" w:eastAsia="Arial" w:hAnsi="Arial" w:cs="Arial"/>
          <w:sz w:val="20"/>
          <w:lang w:bidi="ar"/>
        </w:rPr>
        <w:t xml:space="preserve">-NIR spectrophotometer. </w:t>
      </w:r>
    </w:p>
    <w:p w14:paraId="5DFD3A71" w14:textId="67F5FBBF" w:rsidR="006967FA" w:rsidRPr="006967FA" w:rsidRDefault="00000000">
      <w:pPr>
        <w:pStyle w:val="ad"/>
        <w:widowControl/>
        <w:spacing w:after="100" w:line="480" w:lineRule="auto"/>
        <w:rPr>
          <w:rFonts w:ascii="Arial" w:hAnsi="Arial" w:cs="Arial"/>
          <w:b/>
          <w:bCs/>
          <w:i/>
          <w:iCs/>
          <w:sz w:val="20"/>
          <w:lang w:bidi="ar"/>
        </w:rPr>
      </w:pPr>
      <w:r w:rsidRPr="006967FA">
        <w:rPr>
          <w:rFonts w:ascii="Arial" w:eastAsia="Arial" w:hAnsi="Arial" w:cs="Arial"/>
          <w:b/>
          <w:bCs/>
          <w:i/>
          <w:iCs/>
          <w:sz w:val="20"/>
          <w:lang w:bidi="ar"/>
        </w:rPr>
        <w:t>Electrochemical impedance spectroscopy (EIS) measurements</w:t>
      </w:r>
    </w:p>
    <w:p w14:paraId="708D003B" w14:textId="22EC0F75" w:rsidR="0023657C" w:rsidRDefault="00000000">
      <w:pPr>
        <w:pStyle w:val="ad"/>
        <w:widowControl/>
        <w:spacing w:after="100" w:line="480" w:lineRule="auto"/>
        <w:rPr>
          <w:rFonts w:ascii="Arial" w:hAnsi="Arial" w:cs="Arial"/>
          <w:sz w:val="20"/>
          <w:lang w:bidi="ar"/>
        </w:rPr>
      </w:pPr>
      <w:r>
        <w:rPr>
          <w:rFonts w:ascii="Arial" w:eastAsia="Arial" w:hAnsi="Arial" w:cs="Arial"/>
          <w:sz w:val="20"/>
          <w:lang w:bidi="ar"/>
        </w:rPr>
        <w:t>EIS tests were performed using the SP-300 electrochemical workstation (</w:t>
      </w:r>
      <w:proofErr w:type="spellStart"/>
      <w:r>
        <w:rPr>
          <w:rFonts w:ascii="Arial" w:eastAsia="Arial" w:hAnsi="Arial" w:cs="Arial"/>
          <w:sz w:val="20"/>
          <w:lang w:bidi="ar"/>
        </w:rPr>
        <w:t>BioLogic</w:t>
      </w:r>
      <w:proofErr w:type="spellEnd"/>
      <w:r>
        <w:rPr>
          <w:rFonts w:ascii="Arial" w:eastAsia="Arial" w:hAnsi="Arial" w:cs="Arial"/>
          <w:sz w:val="20"/>
          <w:lang w:bidi="ar"/>
        </w:rPr>
        <w:t xml:space="preserve"> Scientific Instruments). The polymer film deposited on gold electrodes via photolithography was patterned into square shapes of specified areas. EIS measurements were conducted using polymer-modified gold electrodes as working electrodes, </w:t>
      </w:r>
      <w:r>
        <w:rPr>
          <w:rFonts w:ascii="Arial" w:eastAsia="Arial" w:hAnsi="Arial" w:cs="Arial" w:hint="eastAsia"/>
          <w:sz w:val="20"/>
          <w:lang w:bidi="ar"/>
        </w:rPr>
        <w:t>Ag</w:t>
      </w:r>
      <w:r>
        <w:rPr>
          <w:rFonts w:ascii="Arial" w:eastAsia="Arial" w:hAnsi="Arial" w:cs="Arial"/>
          <w:sz w:val="20"/>
          <w:lang w:bidi="ar"/>
        </w:rPr>
        <w:t xml:space="preserve">/silver chloride particles as reference electrodes, and platinum wires as counter electrodes in 0.1 M sodium chloride solution. The polymer coating was applied to the top of poly(p-xylylene-C) patterned devices, followed by a stripping step to expose gold electrodes with varying active areas. Capacitance measurements of the polymer on gold electrodes of different sizes were obtained through potential-EIS methods, with the DC bias voltage set at the maximum doping level achievable for each polymer. A sine wave voltage with an AC amplitude of 10 mV (RMS) was applied to the WE, and the frequency was scanned from 1 Hz to 100 kHz. The resulting </w:t>
      </w:r>
      <w:r>
        <w:rPr>
          <w:rFonts w:ascii="Arial" w:eastAsia="Arial" w:hAnsi="Arial" w:cs="Arial"/>
          <w:sz w:val="20"/>
          <w:lang w:bidi="ar"/>
        </w:rPr>
        <w:lastRenderedPageBreak/>
        <w:t>Bode plots or Nyquist plots were fitted to equivalent circuits (i.e., Randle circuits Rs (Rp||</w:t>
      </w:r>
      <w:proofErr w:type="spellStart"/>
      <w:r>
        <w:rPr>
          <w:rFonts w:ascii="Arial" w:eastAsia="Arial" w:hAnsi="Arial" w:cs="Arial"/>
          <w:sz w:val="20"/>
          <w:lang w:bidi="ar"/>
        </w:rPr>
        <w:t>Rc</w:t>
      </w:r>
      <w:proofErr w:type="spellEnd"/>
      <w:r>
        <w:rPr>
          <w:rFonts w:ascii="Arial" w:eastAsia="Arial" w:hAnsi="Arial" w:cs="Arial"/>
          <w:sz w:val="20"/>
          <w:lang w:bidi="ar"/>
        </w:rPr>
        <w:t>)) using EC-Lab software. The film thickness was measured in a dry state using a DEKTAK profiler (Bruker). Three independent measurements (sample size n ≥</w:t>
      </w:r>
      <w:r>
        <w:rPr>
          <w:rFonts w:ascii="Arial" w:eastAsia="Arial" w:hAnsi="Arial" w:cs="Arial" w:hint="eastAsia"/>
          <w:sz w:val="20"/>
          <w:lang w:bidi="ar"/>
        </w:rPr>
        <w:t xml:space="preserve"> </w:t>
      </w:r>
      <w:r>
        <w:rPr>
          <w:rFonts w:ascii="Arial" w:eastAsia="Arial" w:hAnsi="Arial" w:cs="Arial"/>
          <w:sz w:val="20"/>
          <w:lang w:bidi="ar"/>
        </w:rPr>
        <w:t>3) were performed for each material, with averages and standard deviations (SD) calculated to summarize the results.</w:t>
      </w:r>
      <w:bookmarkStart w:id="5" w:name="OLE_LINK22"/>
      <w:bookmarkEnd w:id="5"/>
    </w:p>
    <w:p w14:paraId="2BE745A2" w14:textId="2BD32602" w:rsidR="004563D3" w:rsidRDefault="004563D3">
      <w:pPr>
        <w:pStyle w:val="ad"/>
        <w:widowControl/>
        <w:spacing w:after="100" w:line="480" w:lineRule="auto"/>
        <w:rPr>
          <w:rFonts w:ascii="Arial" w:hAnsi="Arial" w:cs="Arial"/>
          <w:sz w:val="20"/>
          <w:lang w:bidi="ar"/>
        </w:rPr>
      </w:pPr>
      <w:r>
        <w:rPr>
          <w:rFonts w:ascii="Arial" w:hAnsi="Arial" w:cs="Arial"/>
          <w:sz w:val="20"/>
          <w:lang w:bidi="ar"/>
        </w:rPr>
        <w:br w:type="page"/>
      </w:r>
    </w:p>
    <w:p w14:paraId="5349305E" w14:textId="4E38D9CB" w:rsidR="00D91720" w:rsidRDefault="00000000">
      <w:pPr>
        <w:numPr>
          <w:ilvl w:val="0"/>
          <w:numId w:val="2"/>
        </w:numPr>
        <w:spacing w:before="200" w:after="100" w:line="480" w:lineRule="auto"/>
        <w:jc w:val="left"/>
        <w:rPr>
          <w:rFonts w:ascii="Arial" w:hAnsi="Arial" w:cs="Arial"/>
          <w:b/>
          <w:bCs/>
          <w:sz w:val="24"/>
          <w:szCs w:val="24"/>
        </w:rPr>
      </w:pPr>
      <w:r>
        <w:rPr>
          <w:rFonts w:ascii="Arial" w:eastAsia="Arial" w:hAnsi="Arial" w:cs="Arial"/>
          <w:b/>
          <w:bCs/>
          <w:sz w:val="24"/>
          <w:szCs w:val="24"/>
        </w:rPr>
        <w:lastRenderedPageBreak/>
        <w:t>Base-catalyzed S</w:t>
      </w:r>
      <w:r>
        <w:rPr>
          <w:rFonts w:ascii="Arial" w:eastAsia="Arial" w:hAnsi="Arial" w:cs="Arial"/>
          <w:b/>
          <w:bCs/>
          <w:sz w:val="24"/>
          <w:szCs w:val="24"/>
          <w:vertAlign w:val="subscript"/>
        </w:rPr>
        <w:t>8</w:t>
      </w:r>
      <w:r>
        <w:rPr>
          <w:rFonts w:ascii="Arial" w:eastAsia="Arial" w:hAnsi="Arial" w:cs="Arial"/>
          <w:b/>
          <w:bCs/>
          <w:sz w:val="24"/>
          <w:szCs w:val="24"/>
        </w:rPr>
        <w:t>-mediated oxidative polymerization of PBFDO</w:t>
      </w:r>
    </w:p>
    <w:p w14:paraId="3C7B1774" w14:textId="77777777" w:rsidR="0023657C" w:rsidRDefault="0023657C" w:rsidP="0023657C">
      <w:pPr>
        <w:spacing w:before="160" w:after="60" w:line="480" w:lineRule="auto"/>
        <w:jc w:val="left"/>
        <w:rPr>
          <w:rFonts w:ascii="Arial" w:hAnsi="Arial" w:cs="Arial"/>
          <w:szCs w:val="21"/>
        </w:rPr>
      </w:pPr>
      <w:r w:rsidRPr="0023657C">
        <w:rPr>
          <w:rFonts w:ascii="Arial" w:eastAsia="Arial" w:hAnsi="Arial" w:cs="Arial"/>
          <w:b/>
          <w:bCs/>
          <w:szCs w:val="21"/>
        </w:rPr>
        <w:t>Supplementary Table 1</w:t>
      </w:r>
      <w:r>
        <w:rPr>
          <w:rFonts w:ascii="Arial" w:eastAsia="Arial" w:hAnsi="Arial" w:cs="Arial"/>
          <w:szCs w:val="21"/>
        </w:rPr>
        <w:t xml:space="preserve"> | Self-condensation of BFDO catalyzed by organic amines in the presence of S</w:t>
      </w:r>
      <w:r>
        <w:rPr>
          <w:rFonts w:ascii="Arial" w:eastAsia="Arial" w:hAnsi="Arial" w:cs="Arial"/>
          <w:szCs w:val="21"/>
          <w:vertAlign w:val="subscript"/>
        </w:rPr>
        <w:t>8</w:t>
      </w:r>
      <w:r>
        <w:rPr>
          <w:rFonts w:ascii="Arial" w:eastAsia="Arial" w:hAnsi="Arial" w:cs="Arial"/>
          <w:szCs w:val="21"/>
        </w:rPr>
        <w:t>.</w:t>
      </w:r>
    </w:p>
    <w:p w14:paraId="593F82BF" w14:textId="77777777" w:rsidR="0023657C" w:rsidRDefault="0023657C" w:rsidP="0023657C">
      <w:pPr>
        <w:spacing w:line="480" w:lineRule="auto"/>
        <w:jc w:val="center"/>
        <w:rPr>
          <w:rFonts w:ascii="Arial" w:hAnsi="Arial" w:cs="Arial"/>
        </w:rPr>
      </w:pPr>
      <w:r>
        <w:rPr>
          <w:rFonts w:ascii="Arial" w:hAnsi="Arial" w:cs="Arial"/>
          <w:noProof/>
        </w:rPr>
        <w:drawing>
          <wp:inline distT="0" distB="0" distL="0" distR="0" wp14:anchorId="40D961DC" wp14:editId="6E8C0F0F">
            <wp:extent cx="5274310" cy="1704975"/>
            <wp:effectExtent l="0" t="0" r="254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7"/>
                    <a:srcRect/>
                    <a:stretch>
                      <a:fillRect/>
                    </a:stretch>
                  </pic:blipFill>
                  <pic:spPr>
                    <a:xfrm>
                      <a:off x="0" y="0"/>
                      <a:ext cx="5274310" cy="1704975"/>
                    </a:xfrm>
                    <a:prstGeom prst="rect">
                      <a:avLst/>
                    </a:prstGeom>
                    <a:noFill/>
                    <a:ln>
                      <a:noFill/>
                    </a:ln>
                  </pic:spPr>
                </pic:pic>
              </a:graphicData>
            </a:graphic>
          </wp:inline>
        </w:drawing>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667"/>
        <w:gridCol w:w="3050"/>
        <w:gridCol w:w="5029"/>
      </w:tblGrid>
      <w:tr w:rsidR="0023657C" w14:paraId="7A3D48DB" w14:textId="77777777" w:rsidTr="0023657C">
        <w:trPr>
          <w:trHeight w:val="452"/>
        </w:trPr>
        <w:tc>
          <w:tcPr>
            <w:tcW w:w="855" w:type="pct"/>
            <w:tcBorders>
              <w:top w:val="nil"/>
              <w:left w:val="nil"/>
              <w:bottom w:val="single" w:sz="8" w:space="0" w:color="000000"/>
              <w:right w:val="nil"/>
            </w:tcBorders>
            <w:tcMar>
              <w:top w:w="54" w:type="dxa"/>
              <w:left w:w="108" w:type="dxa"/>
              <w:bottom w:w="54" w:type="dxa"/>
              <w:right w:w="108" w:type="dxa"/>
            </w:tcMar>
            <w:vAlign w:val="center"/>
          </w:tcPr>
          <w:p w14:paraId="7487CFC5" w14:textId="77777777" w:rsidR="0023657C" w:rsidRDefault="0023657C" w:rsidP="00F77B5A">
            <w:pPr>
              <w:pStyle w:val="ad"/>
              <w:widowControl/>
              <w:spacing w:before="40" w:after="40" w:afterAutospacing="1"/>
              <w:jc w:val="left"/>
              <w:rPr>
                <w:rFonts w:ascii="Arial" w:hAnsi="Arial" w:cs="Arial"/>
                <w:sz w:val="18"/>
                <w:szCs w:val="18"/>
              </w:rPr>
            </w:pPr>
            <w:r>
              <w:rPr>
                <w:rFonts w:ascii="Arial" w:eastAsia="Arial" w:hAnsi="Arial" w:cs="Arial"/>
                <w:b/>
                <w:color w:val="000000"/>
                <w:sz w:val="18"/>
                <w:szCs w:val="18"/>
              </w:rPr>
              <w:t>Entry</w:t>
            </w:r>
          </w:p>
        </w:tc>
        <w:tc>
          <w:tcPr>
            <w:tcW w:w="1565" w:type="pct"/>
            <w:tcBorders>
              <w:top w:val="nil"/>
              <w:left w:val="nil"/>
              <w:bottom w:val="single" w:sz="8" w:space="0" w:color="000000"/>
              <w:right w:val="nil"/>
            </w:tcBorders>
            <w:tcMar>
              <w:top w:w="54" w:type="dxa"/>
              <w:left w:w="108" w:type="dxa"/>
              <w:bottom w:w="54" w:type="dxa"/>
              <w:right w:w="108" w:type="dxa"/>
            </w:tcMar>
            <w:vAlign w:val="center"/>
          </w:tcPr>
          <w:p w14:paraId="193AB879"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b/>
                <w:color w:val="000000"/>
                <w:sz w:val="18"/>
                <w:szCs w:val="18"/>
              </w:rPr>
              <w:t>Cat.</w:t>
            </w:r>
          </w:p>
        </w:tc>
        <w:tc>
          <w:tcPr>
            <w:tcW w:w="2580" w:type="pct"/>
            <w:tcBorders>
              <w:top w:val="nil"/>
              <w:left w:val="nil"/>
              <w:bottom w:val="single" w:sz="8" w:space="0" w:color="000000"/>
              <w:right w:val="nil"/>
            </w:tcBorders>
            <w:tcMar>
              <w:top w:w="54" w:type="dxa"/>
              <w:left w:w="108" w:type="dxa"/>
              <w:bottom w:w="54" w:type="dxa"/>
              <w:right w:w="108" w:type="dxa"/>
            </w:tcMar>
            <w:vAlign w:val="center"/>
          </w:tcPr>
          <w:p w14:paraId="7CC3AFD4"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b/>
                <w:color w:val="000000"/>
                <w:sz w:val="18"/>
                <w:szCs w:val="18"/>
              </w:rPr>
              <w:t>Conductivity</w:t>
            </w:r>
            <w:r>
              <w:rPr>
                <w:rFonts w:ascii="Arial" w:eastAsia="Arial" w:hAnsi="Arial" w:cs="Arial" w:hint="eastAsia"/>
                <w:b/>
                <w:color w:val="000000"/>
                <w:sz w:val="18"/>
                <w:szCs w:val="18"/>
              </w:rPr>
              <w:t xml:space="preserve"> </w:t>
            </w:r>
            <w:r>
              <w:rPr>
                <w:rFonts w:ascii="Arial" w:eastAsia="Arial" w:hAnsi="Arial" w:cs="Arial"/>
                <w:b/>
                <w:color w:val="000000"/>
                <w:sz w:val="18"/>
                <w:szCs w:val="18"/>
              </w:rPr>
              <w:t>(S</w:t>
            </w:r>
            <w:r>
              <w:rPr>
                <w:rFonts w:ascii="Arial" w:eastAsia="Arial" w:hAnsi="Arial" w:cs="Arial" w:hint="eastAsia"/>
                <w:b/>
                <w:color w:val="000000"/>
                <w:sz w:val="18"/>
                <w:szCs w:val="18"/>
              </w:rPr>
              <w:t xml:space="preserve"> </w:t>
            </w:r>
            <w:r>
              <w:rPr>
                <w:rFonts w:ascii="Arial" w:eastAsia="Arial" w:hAnsi="Arial" w:cs="Arial"/>
                <w:b/>
                <w:color w:val="000000"/>
                <w:sz w:val="18"/>
                <w:szCs w:val="18"/>
              </w:rPr>
              <w:t>cm</w:t>
            </w:r>
            <w:r>
              <w:rPr>
                <w:rFonts w:ascii="Arial" w:eastAsia="Arial" w:hAnsi="Arial" w:cs="Arial"/>
                <w:b/>
                <w:color w:val="000000"/>
                <w:sz w:val="18"/>
                <w:szCs w:val="18"/>
                <w:vertAlign w:val="superscript"/>
              </w:rPr>
              <w:t>−1</w:t>
            </w:r>
            <w:r>
              <w:rPr>
                <w:rFonts w:ascii="Arial" w:eastAsia="Arial" w:hAnsi="Arial" w:cs="Arial"/>
                <w:b/>
                <w:color w:val="000000"/>
                <w:sz w:val="18"/>
                <w:szCs w:val="18"/>
              </w:rPr>
              <w:t>)</w:t>
            </w:r>
          </w:p>
        </w:tc>
      </w:tr>
      <w:tr w:rsidR="0023657C" w14:paraId="23FA7012" w14:textId="77777777" w:rsidTr="0023657C">
        <w:trPr>
          <w:trHeight w:val="438"/>
        </w:trPr>
        <w:tc>
          <w:tcPr>
            <w:tcW w:w="855" w:type="pct"/>
            <w:tcBorders>
              <w:top w:val="nil"/>
              <w:left w:val="nil"/>
              <w:bottom w:val="nil"/>
              <w:right w:val="nil"/>
            </w:tcBorders>
            <w:tcMar>
              <w:top w:w="54" w:type="dxa"/>
              <w:left w:w="108" w:type="dxa"/>
              <w:bottom w:w="54" w:type="dxa"/>
              <w:right w:w="108" w:type="dxa"/>
            </w:tcMar>
            <w:vAlign w:val="center"/>
          </w:tcPr>
          <w:p w14:paraId="1C20E8AE" w14:textId="77777777" w:rsidR="0023657C" w:rsidRDefault="0023657C" w:rsidP="00F77B5A">
            <w:pPr>
              <w:pStyle w:val="ad"/>
              <w:widowControl/>
              <w:spacing w:before="40" w:after="40" w:afterAutospacing="1"/>
              <w:jc w:val="left"/>
              <w:rPr>
                <w:rFonts w:ascii="Arial" w:hAnsi="Arial" w:cs="Arial"/>
                <w:sz w:val="18"/>
                <w:szCs w:val="18"/>
              </w:rPr>
            </w:pPr>
            <w:r>
              <w:rPr>
                <w:rFonts w:ascii="Arial" w:eastAsia="Arial" w:hAnsi="Arial" w:cs="Arial"/>
                <w:color w:val="000000"/>
                <w:sz w:val="18"/>
                <w:szCs w:val="18"/>
              </w:rPr>
              <w:t>1</w:t>
            </w:r>
          </w:p>
        </w:tc>
        <w:tc>
          <w:tcPr>
            <w:tcW w:w="1565" w:type="pct"/>
            <w:tcBorders>
              <w:top w:val="nil"/>
              <w:left w:val="nil"/>
              <w:bottom w:val="nil"/>
              <w:right w:val="nil"/>
            </w:tcBorders>
            <w:tcMar>
              <w:top w:w="72" w:type="dxa"/>
              <w:left w:w="144" w:type="dxa"/>
              <w:bottom w:w="72" w:type="dxa"/>
              <w:right w:w="144" w:type="dxa"/>
            </w:tcMar>
            <w:vAlign w:val="center"/>
          </w:tcPr>
          <w:p w14:paraId="358B1D13"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color w:val="000000"/>
                <w:sz w:val="18"/>
                <w:szCs w:val="18"/>
              </w:rPr>
              <w:t>None</w:t>
            </w:r>
          </w:p>
        </w:tc>
        <w:tc>
          <w:tcPr>
            <w:tcW w:w="2580" w:type="pct"/>
            <w:tcBorders>
              <w:top w:val="nil"/>
              <w:left w:val="nil"/>
              <w:bottom w:val="nil"/>
              <w:right w:val="nil"/>
            </w:tcBorders>
            <w:tcMar>
              <w:top w:w="72" w:type="dxa"/>
              <w:left w:w="144" w:type="dxa"/>
              <w:bottom w:w="72" w:type="dxa"/>
              <w:right w:w="144" w:type="dxa"/>
            </w:tcMar>
            <w:vAlign w:val="center"/>
          </w:tcPr>
          <w:p w14:paraId="34E72EC8"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b/>
                <w:bCs/>
                <w:sz w:val="18"/>
                <w:szCs w:val="18"/>
              </w:rPr>
              <w:t>1305.13</w:t>
            </w:r>
            <w:r>
              <w:rPr>
                <w:rFonts w:ascii="Arial" w:eastAsia="Arial" w:hAnsi="Arial" w:cs="Arial" w:hint="eastAsia"/>
                <w:b/>
                <w:bCs/>
                <w:sz w:val="18"/>
                <w:szCs w:val="18"/>
              </w:rPr>
              <w:t xml:space="preserve"> </w:t>
            </w:r>
            <w:r>
              <w:rPr>
                <w:rFonts w:ascii="Arial" w:eastAsia="Arial" w:hAnsi="Arial" w:cs="Arial"/>
                <w:b/>
                <w:bCs/>
                <w:sz w:val="18"/>
                <w:szCs w:val="18"/>
              </w:rPr>
              <w:t>±</w:t>
            </w:r>
            <w:r>
              <w:rPr>
                <w:rFonts w:ascii="Arial" w:eastAsia="Arial" w:hAnsi="Arial" w:cs="Arial" w:hint="eastAsia"/>
                <w:b/>
                <w:bCs/>
                <w:sz w:val="18"/>
                <w:szCs w:val="18"/>
              </w:rPr>
              <w:t xml:space="preserve"> </w:t>
            </w:r>
            <w:r>
              <w:rPr>
                <w:rFonts w:ascii="Arial" w:eastAsia="Arial" w:hAnsi="Arial" w:cs="Arial"/>
                <w:b/>
                <w:bCs/>
                <w:sz w:val="18"/>
                <w:szCs w:val="18"/>
              </w:rPr>
              <w:t>45.79</w:t>
            </w:r>
          </w:p>
        </w:tc>
      </w:tr>
      <w:tr w:rsidR="0023657C" w14:paraId="1356953E" w14:textId="77777777" w:rsidTr="0023657C">
        <w:trPr>
          <w:trHeight w:val="398"/>
        </w:trPr>
        <w:tc>
          <w:tcPr>
            <w:tcW w:w="855" w:type="pct"/>
            <w:tcBorders>
              <w:top w:val="nil"/>
              <w:left w:val="nil"/>
              <w:bottom w:val="nil"/>
              <w:right w:val="nil"/>
            </w:tcBorders>
            <w:tcMar>
              <w:top w:w="54" w:type="dxa"/>
              <w:left w:w="108" w:type="dxa"/>
              <w:bottom w:w="54" w:type="dxa"/>
              <w:right w:w="108" w:type="dxa"/>
            </w:tcMar>
            <w:vAlign w:val="center"/>
          </w:tcPr>
          <w:p w14:paraId="59AA2BF8" w14:textId="77777777" w:rsidR="0023657C" w:rsidRDefault="0023657C" w:rsidP="00F77B5A">
            <w:pPr>
              <w:pStyle w:val="ad"/>
              <w:widowControl/>
              <w:spacing w:before="40" w:after="40" w:afterAutospacing="1"/>
              <w:jc w:val="left"/>
              <w:rPr>
                <w:rFonts w:ascii="Arial" w:hAnsi="Arial" w:cs="Arial"/>
                <w:sz w:val="18"/>
                <w:szCs w:val="18"/>
              </w:rPr>
            </w:pPr>
            <w:r>
              <w:rPr>
                <w:rFonts w:ascii="Arial" w:eastAsia="Arial" w:hAnsi="Arial" w:cs="Arial"/>
                <w:color w:val="000000"/>
                <w:sz w:val="18"/>
                <w:szCs w:val="18"/>
              </w:rPr>
              <w:t>2</w:t>
            </w:r>
          </w:p>
        </w:tc>
        <w:tc>
          <w:tcPr>
            <w:tcW w:w="1565" w:type="pct"/>
            <w:tcBorders>
              <w:top w:val="nil"/>
              <w:left w:val="nil"/>
              <w:bottom w:val="nil"/>
              <w:right w:val="nil"/>
            </w:tcBorders>
            <w:tcMar>
              <w:top w:w="72" w:type="dxa"/>
              <w:left w:w="144" w:type="dxa"/>
              <w:bottom w:w="72" w:type="dxa"/>
              <w:right w:w="144" w:type="dxa"/>
            </w:tcMar>
            <w:vAlign w:val="center"/>
          </w:tcPr>
          <w:p w14:paraId="7065A33B"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color w:val="000000"/>
                <w:sz w:val="18"/>
                <w:szCs w:val="18"/>
              </w:rPr>
              <w:t>DABCO</w:t>
            </w:r>
          </w:p>
        </w:tc>
        <w:tc>
          <w:tcPr>
            <w:tcW w:w="2580" w:type="pct"/>
            <w:tcBorders>
              <w:top w:val="nil"/>
              <w:left w:val="nil"/>
              <w:bottom w:val="nil"/>
              <w:right w:val="nil"/>
            </w:tcBorders>
            <w:tcMar>
              <w:top w:w="72" w:type="dxa"/>
              <w:left w:w="144" w:type="dxa"/>
              <w:bottom w:w="72" w:type="dxa"/>
              <w:right w:w="144" w:type="dxa"/>
            </w:tcMar>
            <w:vAlign w:val="center"/>
          </w:tcPr>
          <w:p w14:paraId="0633FBFC"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color w:val="000000"/>
                <w:sz w:val="18"/>
                <w:szCs w:val="18"/>
              </w:rPr>
              <w:t>738.59</w:t>
            </w:r>
            <w:r>
              <w:rPr>
                <w:rFonts w:ascii="Arial" w:eastAsia="Arial" w:hAnsi="Arial" w:cs="Arial" w:hint="eastAsia"/>
                <w:color w:val="000000"/>
                <w:sz w:val="18"/>
                <w:szCs w:val="18"/>
              </w:rPr>
              <w:t xml:space="preserve"> </w:t>
            </w:r>
            <w:r>
              <w:rPr>
                <w:rFonts w:ascii="Arial" w:eastAsia="Arial" w:hAnsi="Arial" w:cs="Arial"/>
                <w:color w:val="000000"/>
                <w:sz w:val="18"/>
                <w:szCs w:val="18"/>
              </w:rPr>
              <w:t>±</w:t>
            </w:r>
            <w:r>
              <w:rPr>
                <w:rFonts w:ascii="Arial" w:eastAsia="Arial" w:hAnsi="Arial" w:cs="Arial" w:hint="eastAsia"/>
                <w:color w:val="000000"/>
                <w:sz w:val="18"/>
                <w:szCs w:val="18"/>
              </w:rPr>
              <w:t xml:space="preserve"> </w:t>
            </w:r>
            <w:r>
              <w:rPr>
                <w:rFonts w:ascii="Arial" w:eastAsia="Arial" w:hAnsi="Arial" w:cs="Arial"/>
                <w:color w:val="000000"/>
                <w:sz w:val="18"/>
                <w:szCs w:val="18"/>
              </w:rPr>
              <w:t>71.43</w:t>
            </w:r>
          </w:p>
        </w:tc>
      </w:tr>
      <w:tr w:rsidR="0023657C" w14:paraId="4DE4B0E3" w14:textId="77777777" w:rsidTr="0023657C">
        <w:trPr>
          <w:trHeight w:val="104"/>
        </w:trPr>
        <w:tc>
          <w:tcPr>
            <w:tcW w:w="855" w:type="pct"/>
            <w:tcBorders>
              <w:top w:val="nil"/>
              <w:left w:val="nil"/>
              <w:bottom w:val="nil"/>
              <w:right w:val="nil"/>
            </w:tcBorders>
            <w:tcMar>
              <w:top w:w="54" w:type="dxa"/>
              <w:left w:w="108" w:type="dxa"/>
              <w:bottom w:w="54" w:type="dxa"/>
              <w:right w:w="108" w:type="dxa"/>
            </w:tcMar>
            <w:vAlign w:val="center"/>
          </w:tcPr>
          <w:p w14:paraId="7BA822D1" w14:textId="77777777" w:rsidR="0023657C" w:rsidRDefault="0023657C" w:rsidP="00F77B5A">
            <w:pPr>
              <w:pStyle w:val="ad"/>
              <w:widowControl/>
              <w:spacing w:before="40" w:after="40" w:afterAutospacing="1"/>
              <w:jc w:val="left"/>
              <w:rPr>
                <w:rFonts w:ascii="Arial" w:hAnsi="Arial" w:cs="Arial"/>
                <w:sz w:val="18"/>
                <w:szCs w:val="18"/>
              </w:rPr>
            </w:pPr>
            <w:r>
              <w:rPr>
                <w:rFonts w:ascii="Arial" w:eastAsia="Arial" w:hAnsi="Arial" w:cs="Arial"/>
                <w:color w:val="000000"/>
                <w:sz w:val="18"/>
                <w:szCs w:val="18"/>
              </w:rPr>
              <w:t>3</w:t>
            </w:r>
          </w:p>
        </w:tc>
        <w:tc>
          <w:tcPr>
            <w:tcW w:w="1565" w:type="pct"/>
            <w:tcBorders>
              <w:top w:val="nil"/>
              <w:left w:val="nil"/>
              <w:bottom w:val="nil"/>
              <w:right w:val="nil"/>
            </w:tcBorders>
            <w:tcMar>
              <w:top w:w="72" w:type="dxa"/>
              <w:left w:w="144" w:type="dxa"/>
              <w:bottom w:w="72" w:type="dxa"/>
              <w:right w:w="144" w:type="dxa"/>
            </w:tcMar>
            <w:vAlign w:val="center"/>
          </w:tcPr>
          <w:p w14:paraId="7C4CAE13"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color w:val="000000"/>
                <w:sz w:val="18"/>
                <w:szCs w:val="18"/>
              </w:rPr>
              <w:t>pyridine</w:t>
            </w:r>
          </w:p>
        </w:tc>
        <w:tc>
          <w:tcPr>
            <w:tcW w:w="2580" w:type="pct"/>
            <w:tcBorders>
              <w:top w:val="nil"/>
              <w:left w:val="nil"/>
              <w:bottom w:val="nil"/>
              <w:right w:val="nil"/>
            </w:tcBorders>
            <w:tcMar>
              <w:top w:w="40" w:type="dxa"/>
              <w:left w:w="81" w:type="dxa"/>
              <w:bottom w:w="40" w:type="dxa"/>
              <w:right w:w="81" w:type="dxa"/>
            </w:tcMar>
            <w:vAlign w:val="center"/>
          </w:tcPr>
          <w:p w14:paraId="24BEFC60"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color w:val="000000"/>
                <w:sz w:val="18"/>
                <w:szCs w:val="18"/>
              </w:rPr>
              <w:t>525.62</w:t>
            </w:r>
            <w:r>
              <w:rPr>
                <w:rFonts w:ascii="Arial" w:eastAsia="Arial" w:hAnsi="Arial" w:cs="Arial" w:hint="eastAsia"/>
                <w:color w:val="000000"/>
                <w:sz w:val="18"/>
                <w:szCs w:val="18"/>
              </w:rPr>
              <w:t xml:space="preserve"> </w:t>
            </w:r>
            <w:r>
              <w:rPr>
                <w:rFonts w:ascii="Arial" w:eastAsia="Arial" w:hAnsi="Arial" w:cs="Arial"/>
                <w:color w:val="000000"/>
                <w:sz w:val="18"/>
                <w:szCs w:val="18"/>
              </w:rPr>
              <w:t>±</w:t>
            </w:r>
            <w:r>
              <w:rPr>
                <w:rFonts w:ascii="Arial" w:eastAsia="Arial" w:hAnsi="Arial" w:cs="Arial" w:hint="eastAsia"/>
                <w:color w:val="000000"/>
                <w:sz w:val="18"/>
                <w:szCs w:val="18"/>
              </w:rPr>
              <w:t xml:space="preserve"> </w:t>
            </w:r>
            <w:r>
              <w:rPr>
                <w:rFonts w:ascii="Arial" w:eastAsia="Arial" w:hAnsi="Arial" w:cs="Arial"/>
                <w:color w:val="000000"/>
                <w:sz w:val="18"/>
                <w:szCs w:val="18"/>
              </w:rPr>
              <w:t>35.89</w:t>
            </w:r>
          </w:p>
        </w:tc>
      </w:tr>
      <w:tr w:rsidR="0023657C" w14:paraId="237245C3" w14:textId="77777777" w:rsidTr="0023657C">
        <w:trPr>
          <w:trHeight w:val="90"/>
        </w:trPr>
        <w:tc>
          <w:tcPr>
            <w:tcW w:w="855" w:type="pct"/>
            <w:tcBorders>
              <w:top w:val="nil"/>
              <w:left w:val="nil"/>
              <w:bottom w:val="nil"/>
              <w:right w:val="nil"/>
            </w:tcBorders>
            <w:tcMar>
              <w:top w:w="54" w:type="dxa"/>
              <w:left w:w="108" w:type="dxa"/>
              <w:bottom w:w="54" w:type="dxa"/>
              <w:right w:w="108" w:type="dxa"/>
            </w:tcMar>
            <w:vAlign w:val="center"/>
          </w:tcPr>
          <w:p w14:paraId="5962CF47" w14:textId="77777777" w:rsidR="0023657C" w:rsidRDefault="0023657C" w:rsidP="00F77B5A">
            <w:pPr>
              <w:pStyle w:val="ad"/>
              <w:widowControl/>
              <w:spacing w:before="40" w:after="40" w:afterAutospacing="1"/>
              <w:jc w:val="left"/>
              <w:rPr>
                <w:rFonts w:ascii="Arial" w:hAnsi="Arial" w:cs="Arial"/>
                <w:sz w:val="18"/>
                <w:szCs w:val="18"/>
              </w:rPr>
            </w:pPr>
            <w:r>
              <w:rPr>
                <w:rFonts w:ascii="Arial" w:eastAsia="Arial" w:hAnsi="Arial" w:cs="Arial"/>
                <w:color w:val="000000"/>
                <w:sz w:val="18"/>
                <w:szCs w:val="18"/>
              </w:rPr>
              <w:t>4</w:t>
            </w:r>
          </w:p>
        </w:tc>
        <w:tc>
          <w:tcPr>
            <w:tcW w:w="1565" w:type="pct"/>
            <w:tcBorders>
              <w:top w:val="nil"/>
              <w:left w:val="nil"/>
              <w:bottom w:val="nil"/>
              <w:right w:val="nil"/>
            </w:tcBorders>
            <w:tcMar>
              <w:top w:w="72" w:type="dxa"/>
              <w:left w:w="144" w:type="dxa"/>
              <w:bottom w:w="72" w:type="dxa"/>
              <w:right w:w="144" w:type="dxa"/>
            </w:tcMar>
            <w:vAlign w:val="center"/>
          </w:tcPr>
          <w:p w14:paraId="3EB6B654"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color w:val="000000"/>
                <w:sz w:val="18"/>
                <w:szCs w:val="18"/>
              </w:rPr>
              <w:t>TBD</w:t>
            </w:r>
          </w:p>
        </w:tc>
        <w:tc>
          <w:tcPr>
            <w:tcW w:w="2580" w:type="pct"/>
            <w:tcBorders>
              <w:top w:val="nil"/>
              <w:left w:val="nil"/>
              <w:bottom w:val="nil"/>
              <w:right w:val="nil"/>
            </w:tcBorders>
            <w:tcMar>
              <w:top w:w="40" w:type="dxa"/>
              <w:left w:w="81" w:type="dxa"/>
              <w:bottom w:w="40" w:type="dxa"/>
              <w:right w:w="81" w:type="dxa"/>
            </w:tcMar>
            <w:vAlign w:val="center"/>
          </w:tcPr>
          <w:p w14:paraId="027D7EB3"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color w:val="000000"/>
                <w:sz w:val="18"/>
                <w:szCs w:val="18"/>
              </w:rPr>
              <w:t>186.42</w:t>
            </w:r>
            <w:r>
              <w:rPr>
                <w:rFonts w:ascii="Arial" w:eastAsia="Arial" w:hAnsi="Arial" w:cs="Arial" w:hint="eastAsia"/>
                <w:color w:val="000000"/>
                <w:sz w:val="18"/>
                <w:szCs w:val="18"/>
              </w:rPr>
              <w:t xml:space="preserve"> </w:t>
            </w:r>
            <w:r>
              <w:rPr>
                <w:rFonts w:ascii="Arial" w:eastAsia="Arial" w:hAnsi="Arial" w:cs="Arial"/>
                <w:color w:val="000000"/>
                <w:sz w:val="18"/>
                <w:szCs w:val="18"/>
              </w:rPr>
              <w:t>±</w:t>
            </w:r>
            <w:r>
              <w:rPr>
                <w:rFonts w:ascii="Arial" w:eastAsia="Arial" w:hAnsi="Arial" w:cs="Arial" w:hint="eastAsia"/>
                <w:color w:val="000000"/>
                <w:sz w:val="18"/>
                <w:szCs w:val="18"/>
              </w:rPr>
              <w:t xml:space="preserve"> </w:t>
            </w:r>
            <w:r>
              <w:rPr>
                <w:rFonts w:ascii="Arial" w:eastAsia="Arial" w:hAnsi="Arial" w:cs="Arial"/>
                <w:color w:val="000000"/>
                <w:sz w:val="18"/>
                <w:szCs w:val="18"/>
              </w:rPr>
              <w:t>59.89</w:t>
            </w:r>
          </w:p>
        </w:tc>
      </w:tr>
      <w:tr w:rsidR="0023657C" w14:paraId="5FF7AFFA" w14:textId="77777777" w:rsidTr="0023657C">
        <w:trPr>
          <w:trHeight w:val="204"/>
        </w:trPr>
        <w:tc>
          <w:tcPr>
            <w:tcW w:w="855" w:type="pct"/>
            <w:tcBorders>
              <w:top w:val="nil"/>
              <w:left w:val="nil"/>
              <w:bottom w:val="nil"/>
              <w:right w:val="nil"/>
            </w:tcBorders>
            <w:tcMar>
              <w:top w:w="54" w:type="dxa"/>
              <w:left w:w="108" w:type="dxa"/>
              <w:bottom w:w="54" w:type="dxa"/>
              <w:right w:w="108" w:type="dxa"/>
            </w:tcMar>
            <w:vAlign w:val="center"/>
          </w:tcPr>
          <w:p w14:paraId="71EB0E2D" w14:textId="77777777" w:rsidR="0023657C" w:rsidRDefault="0023657C" w:rsidP="00F77B5A">
            <w:pPr>
              <w:pStyle w:val="ad"/>
              <w:widowControl/>
              <w:spacing w:before="40" w:after="40" w:afterAutospacing="1"/>
              <w:jc w:val="left"/>
              <w:rPr>
                <w:rFonts w:ascii="Arial" w:hAnsi="Arial" w:cs="Arial"/>
                <w:sz w:val="18"/>
                <w:szCs w:val="18"/>
              </w:rPr>
            </w:pPr>
            <w:r>
              <w:rPr>
                <w:rFonts w:ascii="Arial" w:eastAsia="Arial" w:hAnsi="Arial" w:cs="Arial"/>
                <w:color w:val="000000"/>
                <w:sz w:val="18"/>
                <w:szCs w:val="18"/>
              </w:rPr>
              <w:t>5</w:t>
            </w:r>
          </w:p>
        </w:tc>
        <w:tc>
          <w:tcPr>
            <w:tcW w:w="1565" w:type="pct"/>
            <w:tcBorders>
              <w:top w:val="nil"/>
              <w:left w:val="nil"/>
              <w:bottom w:val="nil"/>
              <w:right w:val="nil"/>
            </w:tcBorders>
            <w:tcMar>
              <w:top w:w="72" w:type="dxa"/>
              <w:left w:w="144" w:type="dxa"/>
              <w:bottom w:w="72" w:type="dxa"/>
              <w:right w:w="144" w:type="dxa"/>
            </w:tcMar>
            <w:vAlign w:val="center"/>
          </w:tcPr>
          <w:p w14:paraId="618BB800"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color w:val="000000"/>
                <w:sz w:val="18"/>
                <w:szCs w:val="18"/>
              </w:rPr>
              <w:t>DBU</w:t>
            </w:r>
          </w:p>
        </w:tc>
        <w:tc>
          <w:tcPr>
            <w:tcW w:w="2580" w:type="pct"/>
            <w:tcBorders>
              <w:top w:val="nil"/>
              <w:left w:val="nil"/>
              <w:bottom w:val="nil"/>
              <w:right w:val="nil"/>
            </w:tcBorders>
            <w:tcMar>
              <w:top w:w="40" w:type="dxa"/>
              <w:left w:w="81" w:type="dxa"/>
              <w:bottom w:w="40" w:type="dxa"/>
              <w:right w:w="81" w:type="dxa"/>
            </w:tcMar>
            <w:vAlign w:val="center"/>
          </w:tcPr>
          <w:p w14:paraId="481EC851"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color w:val="000000"/>
                <w:sz w:val="18"/>
                <w:szCs w:val="18"/>
              </w:rPr>
              <w:t>156.11</w:t>
            </w:r>
            <w:r>
              <w:rPr>
                <w:rFonts w:ascii="Arial" w:eastAsia="Arial" w:hAnsi="Arial" w:cs="Arial" w:hint="eastAsia"/>
                <w:color w:val="000000"/>
                <w:sz w:val="18"/>
                <w:szCs w:val="18"/>
              </w:rPr>
              <w:t xml:space="preserve"> </w:t>
            </w:r>
            <w:r>
              <w:rPr>
                <w:rFonts w:ascii="Arial" w:eastAsia="Arial" w:hAnsi="Arial" w:cs="Arial"/>
                <w:color w:val="000000"/>
                <w:sz w:val="18"/>
                <w:szCs w:val="18"/>
              </w:rPr>
              <w:t>±</w:t>
            </w:r>
            <w:r>
              <w:rPr>
                <w:rFonts w:ascii="Arial" w:eastAsia="Arial" w:hAnsi="Arial" w:cs="Arial" w:hint="eastAsia"/>
                <w:color w:val="000000"/>
                <w:sz w:val="18"/>
                <w:szCs w:val="18"/>
              </w:rPr>
              <w:t xml:space="preserve"> </w:t>
            </w:r>
            <w:r>
              <w:rPr>
                <w:rFonts w:ascii="Arial" w:eastAsia="Arial" w:hAnsi="Arial" w:cs="Arial"/>
                <w:color w:val="000000"/>
                <w:sz w:val="18"/>
                <w:szCs w:val="18"/>
              </w:rPr>
              <w:t>29.04</w:t>
            </w:r>
          </w:p>
        </w:tc>
      </w:tr>
      <w:tr w:rsidR="0023657C" w14:paraId="7B58E4FA" w14:textId="77777777" w:rsidTr="0023657C">
        <w:trPr>
          <w:trHeight w:val="90"/>
        </w:trPr>
        <w:tc>
          <w:tcPr>
            <w:tcW w:w="855" w:type="pct"/>
            <w:tcBorders>
              <w:top w:val="nil"/>
              <w:left w:val="nil"/>
              <w:bottom w:val="nil"/>
              <w:right w:val="nil"/>
            </w:tcBorders>
            <w:tcMar>
              <w:top w:w="54" w:type="dxa"/>
              <w:left w:w="108" w:type="dxa"/>
              <w:bottom w:w="54" w:type="dxa"/>
              <w:right w:w="108" w:type="dxa"/>
            </w:tcMar>
            <w:vAlign w:val="center"/>
          </w:tcPr>
          <w:p w14:paraId="3C2700E2" w14:textId="77777777" w:rsidR="0023657C" w:rsidRDefault="0023657C" w:rsidP="00F77B5A">
            <w:pPr>
              <w:pStyle w:val="ad"/>
              <w:widowControl/>
              <w:spacing w:before="40" w:after="40" w:afterAutospacing="1"/>
              <w:jc w:val="left"/>
              <w:rPr>
                <w:rFonts w:ascii="Arial" w:hAnsi="Arial" w:cs="Arial"/>
                <w:sz w:val="18"/>
                <w:szCs w:val="18"/>
              </w:rPr>
            </w:pPr>
            <w:r>
              <w:rPr>
                <w:rFonts w:ascii="Arial" w:eastAsia="Arial" w:hAnsi="Arial" w:cs="Arial"/>
                <w:color w:val="000000"/>
                <w:sz w:val="18"/>
                <w:szCs w:val="18"/>
              </w:rPr>
              <w:t>6</w:t>
            </w:r>
          </w:p>
        </w:tc>
        <w:tc>
          <w:tcPr>
            <w:tcW w:w="1565" w:type="pct"/>
            <w:tcBorders>
              <w:top w:val="nil"/>
              <w:left w:val="nil"/>
              <w:bottom w:val="nil"/>
              <w:right w:val="nil"/>
            </w:tcBorders>
            <w:tcMar>
              <w:top w:w="72" w:type="dxa"/>
              <w:left w:w="144" w:type="dxa"/>
              <w:bottom w:w="72" w:type="dxa"/>
              <w:right w:w="144" w:type="dxa"/>
            </w:tcMar>
            <w:vAlign w:val="center"/>
          </w:tcPr>
          <w:p w14:paraId="3F59A9A1"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color w:val="000000"/>
                <w:sz w:val="18"/>
                <w:szCs w:val="18"/>
              </w:rPr>
              <w:t>Et</w:t>
            </w:r>
            <w:r>
              <w:rPr>
                <w:rFonts w:ascii="Arial" w:eastAsia="Arial" w:hAnsi="Arial" w:cs="Arial"/>
                <w:color w:val="000000"/>
                <w:sz w:val="18"/>
                <w:szCs w:val="18"/>
                <w:vertAlign w:val="subscript"/>
              </w:rPr>
              <w:t>3</w:t>
            </w:r>
            <w:r>
              <w:rPr>
                <w:rFonts w:ascii="Arial" w:eastAsia="Arial" w:hAnsi="Arial" w:cs="Arial"/>
                <w:color w:val="000000"/>
                <w:sz w:val="18"/>
                <w:szCs w:val="18"/>
              </w:rPr>
              <w:t>N</w:t>
            </w:r>
          </w:p>
        </w:tc>
        <w:tc>
          <w:tcPr>
            <w:tcW w:w="2580" w:type="pct"/>
            <w:tcBorders>
              <w:top w:val="nil"/>
              <w:left w:val="nil"/>
              <w:bottom w:val="nil"/>
              <w:right w:val="nil"/>
            </w:tcBorders>
            <w:tcMar>
              <w:top w:w="40" w:type="dxa"/>
              <w:left w:w="81" w:type="dxa"/>
              <w:bottom w:w="40" w:type="dxa"/>
              <w:right w:w="81" w:type="dxa"/>
            </w:tcMar>
            <w:vAlign w:val="center"/>
          </w:tcPr>
          <w:p w14:paraId="6DCD62EC"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color w:val="000000"/>
                <w:sz w:val="18"/>
                <w:szCs w:val="18"/>
              </w:rPr>
              <w:t>316.95</w:t>
            </w:r>
            <w:r>
              <w:rPr>
                <w:rFonts w:ascii="Arial" w:eastAsia="Arial" w:hAnsi="Arial" w:cs="Arial" w:hint="eastAsia"/>
                <w:color w:val="000000"/>
                <w:sz w:val="18"/>
                <w:szCs w:val="18"/>
              </w:rPr>
              <w:t xml:space="preserve"> </w:t>
            </w:r>
            <w:r>
              <w:rPr>
                <w:rFonts w:ascii="Arial" w:eastAsia="Arial" w:hAnsi="Arial" w:cs="Arial"/>
                <w:color w:val="000000"/>
                <w:sz w:val="18"/>
                <w:szCs w:val="18"/>
              </w:rPr>
              <w:t>±</w:t>
            </w:r>
            <w:r>
              <w:rPr>
                <w:rFonts w:ascii="Arial" w:eastAsia="Arial" w:hAnsi="Arial" w:cs="Arial" w:hint="eastAsia"/>
                <w:color w:val="000000"/>
                <w:sz w:val="18"/>
                <w:szCs w:val="18"/>
              </w:rPr>
              <w:t xml:space="preserve"> </w:t>
            </w:r>
            <w:r>
              <w:rPr>
                <w:rFonts w:ascii="Arial" w:eastAsia="Arial" w:hAnsi="Arial" w:cs="Arial"/>
                <w:color w:val="000000"/>
                <w:sz w:val="18"/>
                <w:szCs w:val="18"/>
              </w:rPr>
              <w:t>4.94</w:t>
            </w:r>
          </w:p>
        </w:tc>
      </w:tr>
      <w:tr w:rsidR="0023657C" w14:paraId="7DA27B92" w14:textId="77777777" w:rsidTr="0023657C">
        <w:trPr>
          <w:trHeight w:val="320"/>
        </w:trPr>
        <w:tc>
          <w:tcPr>
            <w:tcW w:w="855" w:type="pct"/>
            <w:tcBorders>
              <w:top w:val="nil"/>
              <w:left w:val="nil"/>
              <w:bottom w:val="nil"/>
              <w:right w:val="nil"/>
            </w:tcBorders>
            <w:tcMar>
              <w:top w:w="54" w:type="dxa"/>
              <w:left w:w="108" w:type="dxa"/>
              <w:bottom w:w="54" w:type="dxa"/>
              <w:right w:w="108" w:type="dxa"/>
            </w:tcMar>
            <w:vAlign w:val="center"/>
          </w:tcPr>
          <w:p w14:paraId="1C5544BB" w14:textId="77777777" w:rsidR="0023657C" w:rsidRDefault="0023657C" w:rsidP="00F77B5A">
            <w:pPr>
              <w:pStyle w:val="ad"/>
              <w:widowControl/>
              <w:spacing w:before="40" w:after="40" w:afterAutospacing="1"/>
              <w:jc w:val="left"/>
              <w:rPr>
                <w:rFonts w:ascii="Arial" w:hAnsi="Arial" w:cs="Arial"/>
                <w:sz w:val="18"/>
                <w:szCs w:val="18"/>
              </w:rPr>
            </w:pPr>
            <w:r>
              <w:rPr>
                <w:rFonts w:ascii="Arial" w:eastAsia="Arial" w:hAnsi="Arial" w:cs="Arial"/>
                <w:color w:val="000000"/>
                <w:sz w:val="18"/>
                <w:szCs w:val="18"/>
              </w:rPr>
              <w:t>7</w:t>
            </w:r>
          </w:p>
        </w:tc>
        <w:tc>
          <w:tcPr>
            <w:tcW w:w="1565" w:type="pct"/>
            <w:tcBorders>
              <w:top w:val="nil"/>
              <w:left w:val="nil"/>
              <w:bottom w:val="nil"/>
              <w:right w:val="nil"/>
            </w:tcBorders>
            <w:tcMar>
              <w:top w:w="72" w:type="dxa"/>
              <w:left w:w="144" w:type="dxa"/>
              <w:bottom w:w="72" w:type="dxa"/>
              <w:right w:w="144" w:type="dxa"/>
            </w:tcMar>
            <w:vAlign w:val="center"/>
          </w:tcPr>
          <w:p w14:paraId="0E3A81CB"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color w:val="000000"/>
                <w:sz w:val="18"/>
                <w:szCs w:val="18"/>
              </w:rPr>
              <w:t>DMAP</w:t>
            </w:r>
          </w:p>
        </w:tc>
        <w:tc>
          <w:tcPr>
            <w:tcW w:w="2580" w:type="pct"/>
            <w:tcBorders>
              <w:top w:val="nil"/>
              <w:left w:val="nil"/>
              <w:bottom w:val="nil"/>
              <w:right w:val="nil"/>
            </w:tcBorders>
            <w:tcMar>
              <w:top w:w="40" w:type="dxa"/>
              <w:left w:w="81" w:type="dxa"/>
              <w:bottom w:w="40" w:type="dxa"/>
              <w:right w:w="81" w:type="dxa"/>
            </w:tcMar>
            <w:vAlign w:val="center"/>
          </w:tcPr>
          <w:p w14:paraId="759203A3"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color w:val="000000"/>
                <w:sz w:val="18"/>
                <w:szCs w:val="18"/>
              </w:rPr>
              <w:t>350.13</w:t>
            </w:r>
            <w:r>
              <w:rPr>
                <w:rFonts w:ascii="Arial" w:eastAsia="Arial" w:hAnsi="Arial" w:cs="Arial" w:hint="eastAsia"/>
                <w:color w:val="000000"/>
                <w:sz w:val="18"/>
                <w:szCs w:val="18"/>
              </w:rPr>
              <w:t xml:space="preserve"> </w:t>
            </w:r>
            <w:r>
              <w:rPr>
                <w:rFonts w:ascii="Arial" w:eastAsia="Arial" w:hAnsi="Arial" w:cs="Arial"/>
                <w:color w:val="000000"/>
                <w:sz w:val="18"/>
                <w:szCs w:val="18"/>
              </w:rPr>
              <w:t>±</w:t>
            </w:r>
            <w:r>
              <w:rPr>
                <w:rFonts w:ascii="Arial" w:eastAsia="Arial" w:hAnsi="Arial" w:cs="Arial" w:hint="eastAsia"/>
                <w:color w:val="000000"/>
                <w:sz w:val="18"/>
                <w:szCs w:val="18"/>
              </w:rPr>
              <w:t xml:space="preserve"> </w:t>
            </w:r>
            <w:r>
              <w:rPr>
                <w:rFonts w:ascii="Arial" w:eastAsia="Arial" w:hAnsi="Arial" w:cs="Arial"/>
                <w:color w:val="000000"/>
                <w:sz w:val="18"/>
                <w:szCs w:val="18"/>
              </w:rPr>
              <w:t>16.79</w:t>
            </w:r>
          </w:p>
        </w:tc>
      </w:tr>
      <w:tr w:rsidR="0023657C" w14:paraId="4398EB9B" w14:textId="77777777" w:rsidTr="0023657C">
        <w:trPr>
          <w:trHeight w:val="90"/>
        </w:trPr>
        <w:tc>
          <w:tcPr>
            <w:tcW w:w="855" w:type="pct"/>
            <w:tcBorders>
              <w:top w:val="nil"/>
              <w:left w:val="nil"/>
              <w:bottom w:val="nil"/>
              <w:right w:val="nil"/>
            </w:tcBorders>
            <w:tcMar>
              <w:top w:w="54" w:type="dxa"/>
              <w:left w:w="108" w:type="dxa"/>
              <w:bottom w:w="54" w:type="dxa"/>
              <w:right w:w="108" w:type="dxa"/>
            </w:tcMar>
            <w:vAlign w:val="center"/>
          </w:tcPr>
          <w:p w14:paraId="5D6B9DE0" w14:textId="77777777" w:rsidR="0023657C" w:rsidRDefault="0023657C" w:rsidP="00F77B5A">
            <w:pPr>
              <w:pStyle w:val="ad"/>
              <w:widowControl/>
              <w:spacing w:before="40" w:after="40" w:afterAutospacing="1"/>
              <w:jc w:val="left"/>
              <w:rPr>
                <w:rFonts w:ascii="Arial" w:hAnsi="Arial" w:cs="Arial"/>
                <w:sz w:val="18"/>
                <w:szCs w:val="18"/>
              </w:rPr>
            </w:pPr>
            <w:r>
              <w:rPr>
                <w:rFonts w:ascii="Arial" w:eastAsia="Arial" w:hAnsi="Arial" w:cs="Arial"/>
                <w:color w:val="000000"/>
                <w:sz w:val="18"/>
                <w:szCs w:val="18"/>
              </w:rPr>
              <w:t>8</w:t>
            </w:r>
          </w:p>
        </w:tc>
        <w:tc>
          <w:tcPr>
            <w:tcW w:w="1565" w:type="pct"/>
            <w:tcBorders>
              <w:top w:val="nil"/>
              <w:left w:val="nil"/>
              <w:bottom w:val="nil"/>
              <w:right w:val="nil"/>
            </w:tcBorders>
            <w:tcMar>
              <w:top w:w="72" w:type="dxa"/>
              <w:left w:w="144" w:type="dxa"/>
              <w:bottom w:w="72" w:type="dxa"/>
              <w:right w:w="144" w:type="dxa"/>
            </w:tcMar>
            <w:vAlign w:val="center"/>
          </w:tcPr>
          <w:p w14:paraId="049494BD"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color w:val="000000"/>
                <w:sz w:val="18"/>
                <w:szCs w:val="18"/>
              </w:rPr>
              <w:t>quinuclidine</w:t>
            </w:r>
          </w:p>
        </w:tc>
        <w:tc>
          <w:tcPr>
            <w:tcW w:w="2580" w:type="pct"/>
            <w:tcBorders>
              <w:top w:val="nil"/>
              <w:left w:val="nil"/>
              <w:bottom w:val="nil"/>
              <w:right w:val="nil"/>
            </w:tcBorders>
            <w:tcMar>
              <w:top w:w="40" w:type="dxa"/>
              <w:left w:w="81" w:type="dxa"/>
              <w:bottom w:w="40" w:type="dxa"/>
              <w:right w:w="81" w:type="dxa"/>
            </w:tcMar>
            <w:vAlign w:val="center"/>
          </w:tcPr>
          <w:p w14:paraId="531ABB86"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color w:val="000000"/>
                <w:sz w:val="18"/>
                <w:szCs w:val="18"/>
              </w:rPr>
              <w:t>344.27</w:t>
            </w:r>
            <w:r>
              <w:rPr>
                <w:rFonts w:ascii="Arial" w:eastAsia="Arial" w:hAnsi="Arial" w:cs="Arial" w:hint="eastAsia"/>
                <w:color w:val="000000"/>
                <w:sz w:val="18"/>
                <w:szCs w:val="18"/>
              </w:rPr>
              <w:t xml:space="preserve"> </w:t>
            </w:r>
            <w:r>
              <w:rPr>
                <w:rFonts w:ascii="Arial" w:eastAsia="Arial" w:hAnsi="Arial" w:cs="Arial"/>
                <w:color w:val="000000"/>
                <w:sz w:val="18"/>
                <w:szCs w:val="18"/>
              </w:rPr>
              <w:t>±</w:t>
            </w:r>
            <w:r>
              <w:rPr>
                <w:rFonts w:ascii="Arial" w:eastAsia="Arial" w:hAnsi="Arial" w:cs="Arial" w:hint="eastAsia"/>
                <w:color w:val="000000"/>
                <w:sz w:val="18"/>
                <w:szCs w:val="18"/>
              </w:rPr>
              <w:t xml:space="preserve"> </w:t>
            </w:r>
            <w:r>
              <w:rPr>
                <w:rFonts w:ascii="Arial" w:eastAsia="Arial" w:hAnsi="Arial" w:cs="Arial"/>
                <w:color w:val="000000"/>
                <w:sz w:val="18"/>
                <w:szCs w:val="18"/>
              </w:rPr>
              <w:t>27.50</w:t>
            </w:r>
          </w:p>
        </w:tc>
      </w:tr>
      <w:tr w:rsidR="0023657C" w14:paraId="1A7FD4A7" w14:textId="77777777" w:rsidTr="0023657C">
        <w:trPr>
          <w:trHeight w:val="90"/>
        </w:trPr>
        <w:tc>
          <w:tcPr>
            <w:tcW w:w="855" w:type="pct"/>
            <w:tcBorders>
              <w:top w:val="nil"/>
              <w:left w:val="nil"/>
              <w:bottom w:val="nil"/>
              <w:right w:val="nil"/>
            </w:tcBorders>
            <w:tcMar>
              <w:top w:w="54" w:type="dxa"/>
              <w:left w:w="108" w:type="dxa"/>
              <w:bottom w:w="54" w:type="dxa"/>
              <w:right w:w="108" w:type="dxa"/>
            </w:tcMar>
            <w:vAlign w:val="center"/>
          </w:tcPr>
          <w:p w14:paraId="5C9370AC" w14:textId="77777777" w:rsidR="0023657C" w:rsidRDefault="0023657C" w:rsidP="00F77B5A">
            <w:pPr>
              <w:pStyle w:val="ad"/>
              <w:widowControl/>
              <w:spacing w:before="40" w:after="40" w:afterAutospacing="1"/>
              <w:jc w:val="left"/>
              <w:rPr>
                <w:rFonts w:ascii="Arial" w:hAnsi="Arial" w:cs="Arial"/>
                <w:sz w:val="18"/>
                <w:szCs w:val="18"/>
              </w:rPr>
            </w:pPr>
            <w:r>
              <w:rPr>
                <w:rFonts w:ascii="Arial" w:eastAsia="Arial" w:hAnsi="Arial" w:cs="Arial"/>
                <w:color w:val="000000"/>
                <w:sz w:val="18"/>
                <w:szCs w:val="18"/>
              </w:rPr>
              <w:t>9</w:t>
            </w:r>
          </w:p>
        </w:tc>
        <w:tc>
          <w:tcPr>
            <w:tcW w:w="1565" w:type="pct"/>
            <w:tcBorders>
              <w:top w:val="nil"/>
              <w:left w:val="nil"/>
              <w:bottom w:val="nil"/>
              <w:right w:val="nil"/>
            </w:tcBorders>
            <w:tcMar>
              <w:top w:w="72" w:type="dxa"/>
              <w:left w:w="144" w:type="dxa"/>
              <w:bottom w:w="72" w:type="dxa"/>
              <w:right w:w="144" w:type="dxa"/>
            </w:tcMar>
            <w:vAlign w:val="center"/>
          </w:tcPr>
          <w:p w14:paraId="1F566EBF"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color w:val="000000"/>
                <w:sz w:val="18"/>
                <w:szCs w:val="18"/>
              </w:rPr>
              <w:t>DIPA</w:t>
            </w:r>
          </w:p>
        </w:tc>
        <w:tc>
          <w:tcPr>
            <w:tcW w:w="2580" w:type="pct"/>
            <w:tcBorders>
              <w:top w:val="nil"/>
              <w:left w:val="nil"/>
              <w:bottom w:val="nil"/>
              <w:right w:val="nil"/>
            </w:tcBorders>
            <w:tcMar>
              <w:top w:w="40" w:type="dxa"/>
              <w:left w:w="81" w:type="dxa"/>
              <w:bottom w:w="40" w:type="dxa"/>
              <w:right w:w="81" w:type="dxa"/>
            </w:tcMar>
            <w:vAlign w:val="center"/>
          </w:tcPr>
          <w:p w14:paraId="51E35D51" w14:textId="77777777" w:rsidR="0023657C" w:rsidRDefault="0023657C" w:rsidP="00F77B5A">
            <w:pPr>
              <w:pStyle w:val="ad"/>
              <w:widowControl/>
              <w:spacing w:before="40" w:after="40" w:afterAutospacing="1"/>
              <w:jc w:val="center"/>
              <w:rPr>
                <w:rFonts w:ascii="Arial" w:hAnsi="Arial" w:cs="Arial"/>
                <w:sz w:val="18"/>
                <w:szCs w:val="18"/>
              </w:rPr>
            </w:pPr>
            <w:r>
              <w:rPr>
                <w:rFonts w:ascii="Arial" w:eastAsia="Arial" w:hAnsi="Arial" w:cs="Arial"/>
                <w:color w:val="000000"/>
                <w:sz w:val="18"/>
                <w:szCs w:val="18"/>
              </w:rPr>
              <w:t>406.09</w:t>
            </w:r>
            <w:r>
              <w:rPr>
                <w:rFonts w:ascii="Arial" w:eastAsia="Arial" w:hAnsi="Arial" w:cs="Arial" w:hint="eastAsia"/>
                <w:color w:val="000000"/>
                <w:sz w:val="18"/>
                <w:szCs w:val="18"/>
              </w:rPr>
              <w:t xml:space="preserve"> </w:t>
            </w:r>
            <w:r>
              <w:rPr>
                <w:rFonts w:ascii="Arial" w:eastAsia="Arial" w:hAnsi="Arial" w:cs="Arial"/>
                <w:color w:val="000000"/>
                <w:sz w:val="18"/>
                <w:szCs w:val="18"/>
              </w:rPr>
              <w:t>±</w:t>
            </w:r>
            <w:r>
              <w:rPr>
                <w:rFonts w:ascii="Arial" w:eastAsia="Arial" w:hAnsi="Arial" w:cs="Arial" w:hint="eastAsia"/>
                <w:color w:val="000000"/>
                <w:sz w:val="18"/>
                <w:szCs w:val="18"/>
              </w:rPr>
              <w:t xml:space="preserve"> </w:t>
            </w:r>
            <w:r>
              <w:rPr>
                <w:rFonts w:ascii="Arial" w:eastAsia="Arial" w:hAnsi="Arial" w:cs="Arial"/>
                <w:color w:val="000000"/>
                <w:sz w:val="18"/>
                <w:szCs w:val="18"/>
              </w:rPr>
              <w:t>22.21</w:t>
            </w:r>
          </w:p>
        </w:tc>
      </w:tr>
    </w:tbl>
    <w:p w14:paraId="350DD78C" w14:textId="77777777" w:rsidR="0023657C" w:rsidRDefault="0023657C" w:rsidP="00163EFC">
      <w:pPr>
        <w:spacing w:after="120" w:line="480" w:lineRule="auto"/>
        <w:rPr>
          <w:rFonts w:ascii="Arial" w:hAnsi="Arial" w:cs="Arial"/>
          <w:sz w:val="18"/>
          <w:szCs w:val="18"/>
        </w:rPr>
      </w:pPr>
      <w:r>
        <w:rPr>
          <w:rFonts w:ascii="Arial" w:eastAsia="Arial" w:hAnsi="Arial" w:cs="Arial"/>
          <w:sz w:val="18"/>
          <w:szCs w:val="18"/>
        </w:rPr>
        <w:t xml:space="preserve">[a] All reactions were carried out at a </w:t>
      </w:r>
      <w:proofErr w:type="spellStart"/>
      <w:r>
        <w:rPr>
          <w:rFonts w:ascii="Arial" w:eastAsia="Arial" w:hAnsi="Arial" w:cs="Arial"/>
          <w:sz w:val="18"/>
          <w:szCs w:val="18"/>
        </w:rPr>
        <w:t>BFDO</w:t>
      </w:r>
      <w:proofErr w:type="gramStart"/>
      <w:r>
        <w:rPr>
          <w:rFonts w:ascii="Arial" w:eastAsia="Arial" w:hAnsi="Arial" w:cs="Arial"/>
          <w:sz w:val="18"/>
          <w:szCs w:val="18"/>
        </w:rPr>
        <w:t>:S:amine</w:t>
      </w:r>
      <w:proofErr w:type="spellEnd"/>
      <w:proofErr w:type="gramEnd"/>
      <w:r>
        <w:rPr>
          <w:rFonts w:ascii="Arial" w:eastAsia="Arial" w:hAnsi="Arial" w:cs="Arial"/>
          <w:sz w:val="18"/>
          <w:szCs w:val="18"/>
        </w:rPr>
        <w:t xml:space="preserve"> molar ratio of 1:1:0.1, with a monomer concentration of 10 mg mL</w:t>
      </w:r>
      <w:r>
        <w:rPr>
          <w:rFonts w:ascii="Arial" w:eastAsia="Arial" w:hAnsi="Arial" w:cs="Arial"/>
          <w:sz w:val="18"/>
          <w:szCs w:val="18"/>
          <w:vertAlign w:val="superscript"/>
        </w:rPr>
        <w:t>−1</w:t>
      </w:r>
      <w:r>
        <w:rPr>
          <w:rFonts w:ascii="Arial" w:eastAsia="Arial" w:hAnsi="Arial" w:cs="Arial"/>
          <w:sz w:val="18"/>
          <w:szCs w:val="18"/>
        </w:rPr>
        <w:t xml:space="preserve"> and a reaction time of 6 h at 100 °C.</w:t>
      </w:r>
    </w:p>
    <w:p w14:paraId="6F12D745" w14:textId="77777777" w:rsidR="0023657C" w:rsidRDefault="0023657C" w:rsidP="00163EFC">
      <w:pPr>
        <w:spacing w:after="120" w:line="480" w:lineRule="auto"/>
        <w:rPr>
          <w:rFonts w:ascii="Arial" w:hAnsi="Arial" w:cs="Arial"/>
          <w:sz w:val="18"/>
          <w:szCs w:val="18"/>
        </w:rPr>
      </w:pPr>
      <w:r>
        <w:rPr>
          <w:rFonts w:ascii="Arial" w:eastAsia="Arial" w:hAnsi="Arial" w:cs="Arial"/>
          <w:sz w:val="18"/>
          <w:szCs w:val="18"/>
        </w:rPr>
        <w:t xml:space="preserve">[b] </w:t>
      </w:r>
      <w:proofErr w:type="gramStart"/>
      <w:r>
        <w:rPr>
          <w:rFonts w:ascii="Arial" w:eastAsia="Arial" w:hAnsi="Arial" w:cs="Arial"/>
          <w:sz w:val="18"/>
          <w:szCs w:val="18"/>
        </w:rPr>
        <w:t>The</w:t>
      </w:r>
      <w:proofErr w:type="gramEnd"/>
      <w:r>
        <w:rPr>
          <w:rFonts w:ascii="Arial" w:eastAsia="Arial" w:hAnsi="Arial" w:cs="Arial"/>
          <w:sz w:val="18"/>
          <w:szCs w:val="18"/>
        </w:rPr>
        <w:t xml:space="preserve"> resulting polymer solutions were dialyzed in DMSO for 3 days to remove low-molecular-weight residues prior to measurement; conductivities were determined using the four-probe method. This purification step applies only to the screening experiments in Supplementary Table 1; the standard protocol requires no dialysis (see Table 1). Note that the conditions in Supplementary Table 1 (10 mg mL−1, 100 °C, 6 h, with dialysis) differ from the optimized conditions in Table 1 of the main text (5–10 mg mL−1, 100–150 °C, no dialysis); the two data sets are therefore not directly comparable.</w:t>
      </w:r>
    </w:p>
    <w:p w14:paraId="39D1775E" w14:textId="77777777" w:rsidR="00D91720" w:rsidRDefault="00000000">
      <w:pPr>
        <w:spacing w:line="480" w:lineRule="auto"/>
        <w:jc w:val="center"/>
        <w:rPr>
          <w:rFonts w:ascii="Arial" w:hAnsi="Arial" w:cs="Arial"/>
        </w:rPr>
      </w:pPr>
      <w:r>
        <w:rPr>
          <w:noProof/>
        </w:rPr>
        <w:lastRenderedPageBreak/>
        <w:drawing>
          <wp:inline distT="0" distB="0" distL="0" distR="0" wp14:anchorId="30FC378A" wp14:editId="56EB6E71">
            <wp:extent cx="4162425" cy="3459480"/>
            <wp:effectExtent l="0" t="0" r="0" b="0"/>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pic:cNvPicPr>
                      <a:picLocks noChangeAspect="1"/>
                    </pic:cNvPicPr>
                  </pic:nvPicPr>
                  <pic:blipFill>
                    <a:blip r:embed="rId8"/>
                    <a:stretch>
                      <a:fillRect/>
                    </a:stretch>
                  </pic:blipFill>
                  <pic:spPr>
                    <a:xfrm>
                      <a:off x="0" y="0"/>
                      <a:ext cx="4162425" cy="3459480"/>
                    </a:xfrm>
                    <a:prstGeom prst="rect">
                      <a:avLst/>
                    </a:prstGeom>
                  </pic:spPr>
                </pic:pic>
              </a:graphicData>
            </a:graphic>
          </wp:inline>
        </w:drawing>
      </w:r>
    </w:p>
    <w:p w14:paraId="33DD163C" w14:textId="77777777" w:rsidR="00D91720" w:rsidRDefault="00000000">
      <w:pPr>
        <w:snapToGrid w:val="0"/>
        <w:spacing w:before="160" w:after="60" w:line="480" w:lineRule="auto"/>
        <w:jc w:val="left"/>
        <w:rPr>
          <w:rFonts w:ascii="Arial" w:hAnsi="Arial" w:cs="Arial"/>
          <w:bCs/>
          <w:szCs w:val="21"/>
        </w:rPr>
      </w:pPr>
      <w:r w:rsidRPr="0023657C">
        <w:rPr>
          <w:rFonts w:ascii="Arial" w:eastAsia="Arial" w:hAnsi="Arial" w:cs="Arial"/>
          <w:b/>
          <w:bCs/>
          <w:szCs w:val="21"/>
        </w:rPr>
        <w:t>Supplementary Fig. 1</w:t>
      </w:r>
      <w:r>
        <w:rPr>
          <w:rFonts w:ascii="Arial" w:eastAsia="Arial" w:hAnsi="Arial" w:cs="Arial"/>
          <w:szCs w:val="21"/>
        </w:rPr>
        <w:t xml:space="preserve"> | UV-Vis-NIR absorption spectrum of organic amine catalyzing BFDO in the presence of S</w:t>
      </w:r>
      <w:r>
        <w:rPr>
          <w:rFonts w:ascii="Arial" w:eastAsia="Arial" w:hAnsi="Arial" w:cs="Arial"/>
          <w:szCs w:val="21"/>
          <w:vertAlign w:val="subscript"/>
        </w:rPr>
        <w:t>8</w:t>
      </w:r>
      <w:r>
        <w:rPr>
          <w:rFonts w:ascii="Arial" w:eastAsia="Arial" w:hAnsi="Arial" w:cs="Arial"/>
          <w:szCs w:val="21"/>
        </w:rPr>
        <w:t xml:space="preserve"> (polymerization conditions: 10 mg mL</w:t>
      </w:r>
      <w:r>
        <w:rPr>
          <w:rFonts w:ascii="Arial" w:eastAsia="Arial" w:hAnsi="Arial" w:cs="Arial"/>
          <w:szCs w:val="21"/>
          <w:vertAlign w:val="superscript"/>
        </w:rPr>
        <w:t>−1</w:t>
      </w:r>
      <w:r>
        <w:rPr>
          <w:rFonts w:ascii="Arial" w:eastAsia="Arial" w:hAnsi="Arial" w:cs="Arial"/>
          <w:szCs w:val="21"/>
        </w:rPr>
        <w:t xml:space="preserve">, </w:t>
      </w:r>
      <w:proofErr w:type="spellStart"/>
      <w:r>
        <w:rPr>
          <w:rFonts w:ascii="Arial" w:eastAsia="Arial" w:hAnsi="Arial" w:cs="Arial"/>
          <w:szCs w:val="21"/>
        </w:rPr>
        <w:t>BFDO</w:t>
      </w:r>
      <w:proofErr w:type="gramStart"/>
      <w:r>
        <w:rPr>
          <w:rFonts w:ascii="Arial" w:eastAsia="Arial" w:hAnsi="Arial" w:cs="Arial"/>
          <w:szCs w:val="21"/>
        </w:rPr>
        <w:t>:S:amine</w:t>
      </w:r>
      <w:proofErr w:type="spellEnd"/>
      <w:proofErr w:type="gramEnd"/>
      <w:r>
        <w:rPr>
          <w:rFonts w:ascii="Arial" w:eastAsia="Arial" w:hAnsi="Arial" w:cs="Arial"/>
          <w:szCs w:val="21"/>
        </w:rPr>
        <w:t xml:space="preserve"> = 1:1:0.1, 100 </w:t>
      </w:r>
      <w:r>
        <w:rPr>
          <w:rFonts w:ascii="Arial" w:eastAsia="Arial" w:hAnsi="Arial" w:cs="Arial"/>
          <w:color w:val="000000" w:themeColor="text1"/>
          <w:szCs w:val="21"/>
        </w:rPr>
        <w:t>°C</w:t>
      </w:r>
      <w:r>
        <w:rPr>
          <w:rFonts w:ascii="Arial" w:eastAsia="Arial" w:hAnsi="Arial" w:cs="Arial"/>
          <w:szCs w:val="21"/>
        </w:rPr>
        <w:t xml:space="preserve"> heated for 6 h).</w:t>
      </w:r>
      <w:bookmarkStart w:id="6" w:name="OLE_LINK24"/>
      <w:bookmarkEnd w:id="6"/>
    </w:p>
    <w:p w14:paraId="78334505" w14:textId="77777777" w:rsidR="00D91720" w:rsidRDefault="00000000">
      <w:pPr>
        <w:spacing w:before="160" w:after="60" w:line="480" w:lineRule="auto"/>
        <w:jc w:val="left"/>
        <w:rPr>
          <w:rFonts w:ascii="Arial" w:hAnsi="Arial" w:cs="Arial"/>
          <w:szCs w:val="21"/>
        </w:rPr>
      </w:pPr>
      <w:r w:rsidRPr="0023657C">
        <w:rPr>
          <w:rFonts w:ascii="Arial" w:eastAsia="Arial" w:hAnsi="Arial" w:cs="Arial"/>
          <w:b/>
          <w:bCs/>
          <w:szCs w:val="21"/>
        </w:rPr>
        <w:t xml:space="preserve">Supplementary Table 2 </w:t>
      </w:r>
      <w:r>
        <w:rPr>
          <w:rFonts w:ascii="Arial" w:eastAsia="Arial" w:hAnsi="Arial" w:cs="Arial"/>
          <w:szCs w:val="21"/>
        </w:rPr>
        <w:t>| The conversion rates of BFD and CCD, along with the residual rate of BF, were obtained through the GC-MS internal standard method.</w:t>
      </w:r>
    </w:p>
    <w:p w14:paraId="542B0F56" w14:textId="77777777" w:rsidR="00D91720" w:rsidRDefault="00000000" w:rsidP="0023657C">
      <w:pPr>
        <w:spacing w:before="160" w:after="60" w:line="480" w:lineRule="auto"/>
        <w:rPr>
          <w:rFonts w:ascii="Arial" w:hAnsi="Arial" w:cs="Arial"/>
          <w:szCs w:val="21"/>
        </w:rPr>
      </w:pPr>
      <w:r>
        <w:t>Formation of the chromeno[4,3-</w:t>
      </w:r>
      <w:proofErr w:type="gramStart"/>
      <w:r>
        <w:t>c]chromene</w:t>
      </w:r>
      <w:proofErr w:type="gramEnd"/>
      <w:r>
        <w:t xml:space="preserve">-5,11-dione (CCD) isomer. The primary oxidative coupling product of the BF model substrate is the </w:t>
      </w:r>
      <w:proofErr w:type="spellStart"/>
      <w:r>
        <w:t>isoxindigo</w:t>
      </w:r>
      <w:proofErr w:type="spellEnd"/>
      <w:r>
        <w:t xml:space="preserve">-type dimer BFD. Under basic conditions, deprotonation at the acidic bridgehead C–H opens the </w:t>
      </w:r>
      <w:proofErr w:type="gramStart"/>
      <w:r>
        <w:t>α,β</w:t>
      </w:r>
      <w:proofErr w:type="gramEnd"/>
      <w:r>
        <w:t>-unsaturated lactone, and a 6π-electrocyclic ring closure followed by re-</w:t>
      </w:r>
      <w:proofErr w:type="spellStart"/>
      <w:r>
        <w:t>aromatisation</w:t>
      </w:r>
      <w:proofErr w:type="spellEnd"/>
      <w:r>
        <w:t xml:space="preserve"> fuses the two </w:t>
      </w:r>
      <w:proofErr w:type="spellStart"/>
      <w:r>
        <w:t>benzofuranone</w:t>
      </w:r>
      <w:proofErr w:type="spellEnd"/>
      <w:r>
        <w:t xml:space="preserve"> units into the planar </w:t>
      </w:r>
      <w:proofErr w:type="spellStart"/>
      <w:r>
        <w:t>dibenzonaphthyrone</w:t>
      </w:r>
      <w:proofErr w:type="spellEnd"/>
      <w:r>
        <w:t xml:space="preserve"> core of CCD. The controls in Supplementary Table 2 reveal two contrasting effects of DABCO. First, DABCO accelerates monomer consumption: the residual BF after 24 h at 60 °C drops from 70.8% without base to 7.5% with DABCO, and at 100 °C from 39.4% to 0.4%. Second, the same additive diverts the reaction towards the undesired isomer: with DABCO the CCD fraction rises from 29.4% (24 h, 60 °C) to 88.6% (24 h, 100 °C), whereas without base it stays below 1.5% even after 24 h. Because a CCD unit replaces the alternating single/double-bond pattern of the BFD-type repeat unit with a fused, bond-</w:t>
      </w:r>
      <w:proofErr w:type="spellStart"/>
      <w:r>
        <w:t>delocalised</w:t>
      </w:r>
      <w:proofErr w:type="spellEnd"/>
      <w:r>
        <w:t xml:space="preserve"> aromatic core, it interrupts the quinoidal conjugation path and acts as a charge-transport defect. Base-</w:t>
      </w:r>
      <w:proofErr w:type="spellStart"/>
      <w:r>
        <w:t>catalysed</w:t>
      </w:r>
      <w:proofErr w:type="spellEnd"/>
      <w:r>
        <w:t xml:space="preserve"> routes therefore convert the monomer faster but </w:t>
      </w:r>
      <w:r>
        <w:lastRenderedPageBreak/>
        <w:t>accumulate CCD defects, whereas the base-free, sulfur-only protocol keeps the backbone dominated by BFD-type units and delivers the highest conductivity (2059 S cm−1; Table 1).</w:t>
      </w:r>
    </w:p>
    <w:p w14:paraId="61EBBBF6" w14:textId="77777777" w:rsidR="00D91720" w:rsidRDefault="00000000">
      <w:pPr>
        <w:jc w:val="center"/>
        <w:rPr>
          <w:rFonts w:ascii="Arial" w:hAnsi="Arial" w:cs="Arial"/>
        </w:rPr>
      </w:pPr>
      <w:r>
        <w:rPr>
          <w:noProof/>
        </w:rPr>
        <w:drawing>
          <wp:inline distT="0" distB="0" distL="114300" distR="114300" wp14:anchorId="5641DC8E" wp14:editId="37B70DCD">
            <wp:extent cx="4841875" cy="1043940"/>
            <wp:effectExtent l="0" t="0" r="4445" b="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9"/>
                    <a:stretch>
                      <a:fillRect/>
                    </a:stretch>
                  </pic:blipFill>
                  <pic:spPr>
                    <a:xfrm>
                      <a:off x="0" y="0"/>
                      <a:ext cx="4841875" cy="1043940"/>
                    </a:xfrm>
                    <a:prstGeom prst="rect">
                      <a:avLst/>
                    </a:prstGeom>
                    <a:noFill/>
                    <a:ln>
                      <a:noFill/>
                    </a:ln>
                  </pic:spPr>
                </pic:pic>
              </a:graphicData>
            </a:graphic>
          </wp:inline>
        </w:drawing>
      </w:r>
    </w:p>
    <w:tbl>
      <w:tblPr>
        <w:tblStyle w:val="a7"/>
        <w:tblpPr w:leftFromText="180" w:rightFromText="180" w:vertAnchor="text" w:horzAnchor="page" w:tblpXSpec="center" w:tblpY="18"/>
        <w:tblOverlap w:val="never"/>
        <w:tblW w:w="5000" w:type="pct"/>
        <w:jc w:val="center"/>
        <w:tblBorders>
          <w:top w:val="nil"/>
          <w:left w:val="nil"/>
          <w:bottom w:val="nil"/>
          <w:right w:val="nil"/>
          <w:insideH w:val="nil"/>
          <w:insideV w:val="nil"/>
        </w:tblBorders>
        <w:tblLook w:val="04A0" w:firstRow="1" w:lastRow="0" w:firstColumn="1" w:lastColumn="0" w:noHBand="0" w:noVBand="1"/>
      </w:tblPr>
      <w:tblGrid>
        <w:gridCol w:w="878"/>
        <w:gridCol w:w="1821"/>
        <w:gridCol w:w="737"/>
        <w:gridCol w:w="1842"/>
        <w:gridCol w:w="1468"/>
        <w:gridCol w:w="1464"/>
        <w:gridCol w:w="1536"/>
      </w:tblGrid>
      <w:tr w:rsidR="00D91720" w14:paraId="19998D3A" w14:textId="77777777">
        <w:trPr>
          <w:trHeight w:val="339"/>
          <w:jc w:val="center"/>
        </w:trPr>
        <w:tc>
          <w:tcPr>
            <w:tcW w:w="450" w:type="pct"/>
            <w:tcBorders>
              <w:top w:val="nil"/>
              <w:left w:val="nil"/>
              <w:bottom w:val="single" w:sz="8" w:space="0" w:color="000000"/>
              <w:right w:val="nil"/>
            </w:tcBorders>
            <w:vAlign w:val="center"/>
          </w:tcPr>
          <w:p w14:paraId="2B96C2FB" w14:textId="77777777" w:rsidR="00D91720" w:rsidRDefault="00000000">
            <w:pPr>
              <w:spacing w:before="40" w:after="40"/>
              <w:jc w:val="left"/>
              <w:rPr>
                <w:rFonts w:ascii="Arial" w:hAnsi="Arial" w:cs="Arial"/>
                <w:b/>
                <w:bCs/>
              </w:rPr>
            </w:pPr>
            <w:bookmarkStart w:id="7" w:name="OLE_LINK11"/>
            <w:r>
              <w:rPr>
                <w:rFonts w:ascii="Arial" w:eastAsia="Arial" w:hAnsi="Arial" w:cs="Arial"/>
                <w:b/>
                <w:bCs/>
                <w:sz w:val="18"/>
              </w:rPr>
              <w:t>Time</w:t>
            </w:r>
          </w:p>
        </w:tc>
        <w:tc>
          <w:tcPr>
            <w:tcW w:w="934" w:type="pct"/>
            <w:tcBorders>
              <w:top w:val="nil"/>
              <w:left w:val="nil"/>
              <w:bottom w:val="single" w:sz="8" w:space="0" w:color="000000"/>
              <w:right w:val="nil"/>
            </w:tcBorders>
            <w:vAlign w:val="center"/>
          </w:tcPr>
          <w:p w14:paraId="51C2DF44" w14:textId="77777777" w:rsidR="00D91720" w:rsidRDefault="00000000">
            <w:pPr>
              <w:spacing w:before="40" w:after="40"/>
              <w:jc w:val="center"/>
              <w:rPr>
                <w:rFonts w:ascii="Arial" w:hAnsi="Arial" w:cs="Arial"/>
                <w:b/>
                <w:bCs/>
              </w:rPr>
            </w:pPr>
            <w:r>
              <w:rPr>
                <w:rFonts w:ascii="Arial" w:eastAsia="Arial" w:hAnsi="Arial" w:cs="Arial"/>
                <w:b/>
                <w:bCs/>
                <w:sz w:val="18"/>
              </w:rPr>
              <w:t>Temperature</w:t>
            </w:r>
          </w:p>
        </w:tc>
        <w:tc>
          <w:tcPr>
            <w:tcW w:w="378" w:type="pct"/>
            <w:tcBorders>
              <w:top w:val="nil"/>
              <w:left w:val="nil"/>
              <w:bottom w:val="single" w:sz="8" w:space="0" w:color="000000"/>
              <w:right w:val="nil"/>
            </w:tcBorders>
            <w:vAlign w:val="center"/>
          </w:tcPr>
          <w:p w14:paraId="3BFC0381" w14:textId="77777777" w:rsidR="00D91720" w:rsidRDefault="00000000">
            <w:pPr>
              <w:spacing w:before="40" w:after="40"/>
              <w:jc w:val="center"/>
              <w:rPr>
                <w:rFonts w:ascii="Arial" w:hAnsi="Arial" w:cs="Arial"/>
                <w:b/>
                <w:bCs/>
              </w:rPr>
            </w:pPr>
            <w:r>
              <w:rPr>
                <w:rFonts w:ascii="Arial" w:eastAsia="Arial" w:hAnsi="Arial" w:cs="Arial"/>
                <w:b/>
                <w:bCs/>
                <w:sz w:val="18"/>
              </w:rPr>
              <w:t>S</w:t>
            </w:r>
            <w:r>
              <w:rPr>
                <w:rFonts w:ascii="Arial" w:eastAsia="Arial" w:hAnsi="Arial" w:cs="Arial"/>
                <w:b/>
                <w:bCs/>
                <w:sz w:val="18"/>
                <w:vertAlign w:val="subscript"/>
              </w:rPr>
              <w:t>8</w:t>
            </w:r>
            <w:r>
              <w:rPr>
                <w:rFonts w:ascii="Arial" w:eastAsia="Arial" w:hAnsi="Arial" w:cs="Arial"/>
                <w:b/>
                <w:bCs/>
                <w:sz w:val="18"/>
              </w:rPr>
              <w:t xml:space="preserve"> (eq. S)</w:t>
            </w:r>
          </w:p>
        </w:tc>
        <w:tc>
          <w:tcPr>
            <w:tcW w:w="945" w:type="pct"/>
            <w:tcBorders>
              <w:top w:val="nil"/>
              <w:left w:val="nil"/>
              <w:bottom w:val="single" w:sz="8" w:space="0" w:color="000000"/>
              <w:right w:val="nil"/>
            </w:tcBorders>
            <w:vAlign w:val="center"/>
          </w:tcPr>
          <w:p w14:paraId="4E1F307F" w14:textId="77777777" w:rsidR="00D91720" w:rsidRDefault="00000000">
            <w:pPr>
              <w:spacing w:before="40" w:after="40"/>
              <w:jc w:val="center"/>
              <w:rPr>
                <w:rFonts w:ascii="Arial" w:hAnsi="Arial" w:cs="Arial"/>
                <w:b/>
                <w:bCs/>
              </w:rPr>
            </w:pPr>
            <w:r>
              <w:rPr>
                <w:rFonts w:ascii="Arial" w:eastAsia="Arial" w:hAnsi="Arial" w:cs="Arial"/>
                <w:b/>
                <w:bCs/>
                <w:sz w:val="18"/>
              </w:rPr>
              <w:t>DABCO</w:t>
            </w:r>
          </w:p>
        </w:tc>
        <w:tc>
          <w:tcPr>
            <w:tcW w:w="753" w:type="pct"/>
            <w:tcBorders>
              <w:top w:val="nil"/>
              <w:left w:val="nil"/>
              <w:bottom w:val="single" w:sz="8" w:space="0" w:color="000000"/>
              <w:right w:val="nil"/>
            </w:tcBorders>
            <w:vAlign w:val="center"/>
          </w:tcPr>
          <w:p w14:paraId="1D9460AA" w14:textId="77777777" w:rsidR="00D91720" w:rsidRDefault="00000000">
            <w:pPr>
              <w:spacing w:before="40" w:after="40"/>
              <w:jc w:val="center"/>
              <w:rPr>
                <w:rFonts w:ascii="Arial" w:hAnsi="Arial" w:cs="Arial"/>
                <w:b/>
                <w:bCs/>
              </w:rPr>
            </w:pPr>
            <w:r>
              <w:rPr>
                <w:rFonts w:ascii="Arial" w:eastAsia="Arial" w:hAnsi="Arial" w:cs="Arial"/>
                <w:b/>
                <w:bCs/>
                <w:sz w:val="18"/>
              </w:rPr>
              <w:t>BFD Yield (%)</w:t>
            </w:r>
          </w:p>
        </w:tc>
        <w:tc>
          <w:tcPr>
            <w:tcW w:w="751" w:type="pct"/>
            <w:tcBorders>
              <w:top w:val="nil"/>
              <w:left w:val="nil"/>
              <w:bottom w:val="single" w:sz="8" w:space="0" w:color="000000"/>
              <w:right w:val="nil"/>
            </w:tcBorders>
            <w:vAlign w:val="center"/>
          </w:tcPr>
          <w:p w14:paraId="604D1C25" w14:textId="77777777" w:rsidR="00D91720" w:rsidRDefault="00000000">
            <w:pPr>
              <w:spacing w:before="40" w:after="40"/>
              <w:jc w:val="center"/>
              <w:rPr>
                <w:rFonts w:ascii="Arial" w:hAnsi="Arial" w:cs="Arial"/>
                <w:b/>
                <w:bCs/>
              </w:rPr>
            </w:pPr>
            <w:r>
              <w:rPr>
                <w:rFonts w:ascii="Arial" w:eastAsia="Arial" w:hAnsi="Arial" w:cs="Arial"/>
                <w:b/>
                <w:bCs/>
                <w:sz w:val="18"/>
              </w:rPr>
              <w:t>CCD Yield (%)</w:t>
            </w:r>
          </w:p>
        </w:tc>
        <w:tc>
          <w:tcPr>
            <w:tcW w:w="788" w:type="pct"/>
            <w:tcBorders>
              <w:top w:val="nil"/>
              <w:left w:val="nil"/>
              <w:bottom w:val="single" w:sz="8" w:space="0" w:color="000000"/>
              <w:right w:val="nil"/>
            </w:tcBorders>
            <w:vAlign w:val="center"/>
          </w:tcPr>
          <w:p w14:paraId="093D8EBD" w14:textId="77777777" w:rsidR="00D91720" w:rsidRDefault="00000000">
            <w:pPr>
              <w:spacing w:before="40" w:after="40"/>
              <w:jc w:val="center"/>
              <w:rPr>
                <w:rFonts w:ascii="Arial" w:hAnsi="Arial" w:cs="Arial"/>
                <w:b/>
                <w:bCs/>
              </w:rPr>
            </w:pPr>
            <w:r>
              <w:rPr>
                <w:rFonts w:ascii="Arial" w:eastAsia="Arial" w:hAnsi="Arial" w:cs="Arial"/>
                <w:b/>
                <w:bCs/>
                <w:sz w:val="18"/>
              </w:rPr>
              <w:t>BF Remaining (%)</w:t>
            </w:r>
          </w:p>
        </w:tc>
      </w:tr>
      <w:tr w:rsidR="00D91720" w14:paraId="3857DCAB" w14:textId="77777777">
        <w:trPr>
          <w:trHeight w:val="339"/>
          <w:jc w:val="center"/>
        </w:trPr>
        <w:tc>
          <w:tcPr>
            <w:tcW w:w="450" w:type="pct"/>
            <w:tcBorders>
              <w:top w:val="nil"/>
              <w:left w:val="nil"/>
              <w:bottom w:val="nil"/>
              <w:right w:val="nil"/>
            </w:tcBorders>
            <w:vAlign w:val="center"/>
          </w:tcPr>
          <w:p w14:paraId="32CBB620" w14:textId="77777777" w:rsidR="00D91720" w:rsidRDefault="00000000">
            <w:pPr>
              <w:spacing w:before="40" w:after="40"/>
              <w:jc w:val="left"/>
              <w:rPr>
                <w:rFonts w:ascii="Arial" w:hAnsi="Arial" w:cs="Arial"/>
              </w:rPr>
            </w:pPr>
            <w:r>
              <w:rPr>
                <w:rFonts w:ascii="Arial" w:eastAsia="Arial" w:hAnsi="Arial" w:cs="Arial"/>
                <w:sz w:val="18"/>
              </w:rPr>
              <w:t>24 h</w:t>
            </w:r>
          </w:p>
        </w:tc>
        <w:tc>
          <w:tcPr>
            <w:tcW w:w="934" w:type="pct"/>
            <w:vMerge w:val="restart"/>
            <w:tcBorders>
              <w:top w:val="nil"/>
              <w:left w:val="nil"/>
              <w:bottom w:val="nil"/>
              <w:right w:val="nil"/>
            </w:tcBorders>
            <w:vAlign w:val="center"/>
          </w:tcPr>
          <w:p w14:paraId="4C16AB1D" w14:textId="77777777" w:rsidR="00D91720" w:rsidRDefault="00000000">
            <w:pPr>
              <w:spacing w:before="40" w:after="40"/>
              <w:jc w:val="center"/>
              <w:rPr>
                <w:rFonts w:ascii="Arial" w:hAnsi="Arial" w:cs="Arial"/>
              </w:rPr>
            </w:pPr>
            <w:r>
              <w:rPr>
                <w:rFonts w:ascii="Arial" w:eastAsia="Arial" w:hAnsi="Arial" w:cs="Arial"/>
                <w:sz w:val="18"/>
              </w:rPr>
              <w:t xml:space="preserve">60 </w:t>
            </w:r>
            <w:r>
              <w:rPr>
                <w:rFonts w:ascii="Arial" w:eastAsia="Arial" w:hAnsi="Arial" w:cs="Arial"/>
                <w:sz w:val="18"/>
                <w:szCs w:val="21"/>
              </w:rPr>
              <w:t>°C</w:t>
            </w:r>
          </w:p>
        </w:tc>
        <w:tc>
          <w:tcPr>
            <w:tcW w:w="378" w:type="pct"/>
            <w:tcBorders>
              <w:top w:val="nil"/>
              <w:left w:val="nil"/>
              <w:bottom w:val="nil"/>
              <w:right w:val="nil"/>
            </w:tcBorders>
            <w:vAlign w:val="center"/>
          </w:tcPr>
          <w:p w14:paraId="1CAF47F0" w14:textId="77777777" w:rsidR="00D91720" w:rsidRDefault="00000000">
            <w:pPr>
              <w:spacing w:before="40" w:after="40"/>
              <w:jc w:val="center"/>
              <w:rPr>
                <w:rFonts w:ascii="Arial" w:hAnsi="Arial" w:cs="Arial"/>
                <w:sz w:val="18"/>
                <w:szCs w:val="18"/>
              </w:rPr>
            </w:pPr>
            <w:r>
              <w:rPr>
                <w:rFonts w:ascii="Arial" w:eastAsia="Arial" w:hAnsi="Arial" w:cs="Arial"/>
                <w:sz w:val="18"/>
                <w:szCs w:val="18"/>
              </w:rPr>
              <w:t>1</w:t>
            </w:r>
          </w:p>
        </w:tc>
        <w:tc>
          <w:tcPr>
            <w:tcW w:w="945" w:type="pct"/>
            <w:tcBorders>
              <w:top w:val="nil"/>
              <w:left w:val="nil"/>
              <w:bottom w:val="nil"/>
              <w:right w:val="nil"/>
            </w:tcBorders>
            <w:vAlign w:val="center"/>
          </w:tcPr>
          <w:p w14:paraId="0B6771D8" w14:textId="77777777" w:rsidR="00D91720" w:rsidRDefault="00000000">
            <w:pPr>
              <w:spacing w:before="40" w:after="40"/>
              <w:jc w:val="center"/>
              <w:rPr>
                <w:rFonts w:ascii="Arial" w:hAnsi="Arial" w:cs="Arial"/>
              </w:rPr>
            </w:pPr>
            <w:r>
              <w:rPr>
                <w:rFonts w:ascii="Arial" w:eastAsia="Arial" w:hAnsi="Arial" w:cs="Arial"/>
                <w:sz w:val="18"/>
                <w:szCs w:val="18"/>
              </w:rPr>
              <w:t>With DABCO</w:t>
            </w:r>
          </w:p>
        </w:tc>
        <w:tc>
          <w:tcPr>
            <w:tcW w:w="753" w:type="pct"/>
            <w:tcBorders>
              <w:top w:val="nil"/>
              <w:left w:val="nil"/>
              <w:bottom w:val="nil"/>
              <w:right w:val="nil"/>
            </w:tcBorders>
            <w:vAlign w:val="center"/>
          </w:tcPr>
          <w:p w14:paraId="1A873307" w14:textId="77777777" w:rsidR="00D91720" w:rsidRDefault="00000000">
            <w:pPr>
              <w:widowControl/>
              <w:spacing w:before="40" w:after="40"/>
              <w:jc w:val="center"/>
              <w:textAlignment w:val="center"/>
              <w:rPr>
                <w:rFonts w:ascii="Arial" w:hAnsi="Arial" w:cs="Arial"/>
              </w:rPr>
            </w:pPr>
            <w:r>
              <w:rPr>
                <w:rFonts w:ascii="Arial" w:eastAsia="Arial" w:hAnsi="Arial" w:cs="Arial"/>
                <w:color w:val="000000"/>
                <w:kern w:val="0"/>
                <w:sz w:val="18"/>
                <w:lang w:bidi="ar"/>
              </w:rPr>
              <w:t>63.10</w:t>
            </w:r>
          </w:p>
        </w:tc>
        <w:tc>
          <w:tcPr>
            <w:tcW w:w="751" w:type="pct"/>
            <w:tcBorders>
              <w:top w:val="nil"/>
              <w:left w:val="nil"/>
              <w:bottom w:val="nil"/>
              <w:right w:val="nil"/>
            </w:tcBorders>
            <w:vAlign w:val="center"/>
          </w:tcPr>
          <w:p w14:paraId="4FBD58ED" w14:textId="77777777" w:rsidR="00D91720" w:rsidRDefault="00000000">
            <w:pPr>
              <w:widowControl/>
              <w:spacing w:before="40" w:after="40"/>
              <w:jc w:val="center"/>
              <w:textAlignment w:val="center"/>
              <w:rPr>
                <w:rFonts w:ascii="Arial" w:hAnsi="Arial" w:cs="Arial"/>
              </w:rPr>
            </w:pPr>
            <w:r>
              <w:rPr>
                <w:rFonts w:ascii="Arial" w:eastAsia="Arial" w:hAnsi="Arial" w:cs="Arial"/>
                <w:color w:val="000000"/>
                <w:kern w:val="0"/>
                <w:sz w:val="18"/>
                <w:lang w:bidi="ar"/>
              </w:rPr>
              <w:t>29.43</w:t>
            </w:r>
          </w:p>
        </w:tc>
        <w:tc>
          <w:tcPr>
            <w:tcW w:w="788" w:type="pct"/>
            <w:tcBorders>
              <w:top w:val="nil"/>
              <w:left w:val="nil"/>
              <w:bottom w:val="nil"/>
              <w:right w:val="nil"/>
            </w:tcBorders>
            <w:vAlign w:val="center"/>
          </w:tcPr>
          <w:p w14:paraId="2E095D95" w14:textId="77777777" w:rsidR="00D91720" w:rsidRDefault="00000000">
            <w:pPr>
              <w:widowControl/>
              <w:spacing w:before="40" w:after="40"/>
              <w:jc w:val="center"/>
              <w:textAlignment w:val="center"/>
              <w:rPr>
                <w:rFonts w:ascii="Arial" w:hAnsi="Arial" w:cs="Arial"/>
              </w:rPr>
            </w:pPr>
            <w:r>
              <w:rPr>
                <w:rFonts w:ascii="Arial" w:eastAsia="Arial" w:hAnsi="Arial" w:cs="Arial"/>
                <w:color w:val="000000"/>
                <w:kern w:val="0"/>
                <w:sz w:val="18"/>
                <w:lang w:bidi="ar"/>
              </w:rPr>
              <w:t>7.47</w:t>
            </w:r>
          </w:p>
        </w:tc>
      </w:tr>
      <w:tr w:rsidR="00D91720" w14:paraId="19381ABA" w14:textId="77777777">
        <w:trPr>
          <w:trHeight w:val="339"/>
          <w:jc w:val="center"/>
        </w:trPr>
        <w:tc>
          <w:tcPr>
            <w:tcW w:w="450" w:type="pct"/>
            <w:tcBorders>
              <w:top w:val="nil"/>
              <w:left w:val="nil"/>
              <w:bottom w:val="nil"/>
              <w:right w:val="nil"/>
            </w:tcBorders>
            <w:vAlign w:val="center"/>
          </w:tcPr>
          <w:p w14:paraId="1DB96729" w14:textId="77777777" w:rsidR="00D91720" w:rsidRDefault="00000000">
            <w:pPr>
              <w:spacing w:before="40" w:after="40"/>
              <w:jc w:val="left"/>
              <w:rPr>
                <w:rFonts w:ascii="Arial" w:hAnsi="Arial" w:cs="Arial"/>
              </w:rPr>
            </w:pPr>
            <w:r>
              <w:rPr>
                <w:rFonts w:ascii="Arial" w:eastAsia="Arial" w:hAnsi="Arial" w:cs="Arial"/>
                <w:sz w:val="18"/>
              </w:rPr>
              <w:t>24 h</w:t>
            </w:r>
          </w:p>
        </w:tc>
        <w:tc>
          <w:tcPr>
            <w:tcW w:w="934" w:type="pct"/>
            <w:vMerge/>
            <w:tcBorders>
              <w:top w:val="nil"/>
              <w:left w:val="nil"/>
              <w:bottom w:val="single" w:sz="4" w:space="0" w:color="auto"/>
              <w:right w:val="nil"/>
              <w:tl2br w:val="nil"/>
              <w:tr2bl w:val="nil"/>
            </w:tcBorders>
            <w:vAlign w:val="center"/>
          </w:tcPr>
          <w:p w14:paraId="6CB75DF8" w14:textId="77777777" w:rsidR="00D91720" w:rsidRDefault="00D91720">
            <w:pPr>
              <w:jc w:val="center"/>
              <w:rPr>
                <w:rFonts w:ascii="Arial" w:hAnsi="Arial" w:cs="Arial"/>
              </w:rPr>
            </w:pPr>
          </w:p>
        </w:tc>
        <w:tc>
          <w:tcPr>
            <w:tcW w:w="378" w:type="pct"/>
            <w:tcBorders>
              <w:top w:val="nil"/>
              <w:left w:val="nil"/>
              <w:bottom w:val="nil"/>
              <w:right w:val="nil"/>
            </w:tcBorders>
            <w:vAlign w:val="center"/>
          </w:tcPr>
          <w:p w14:paraId="519CD746" w14:textId="77777777" w:rsidR="00D91720" w:rsidRDefault="00000000">
            <w:pPr>
              <w:spacing w:before="40" w:after="40"/>
              <w:jc w:val="center"/>
              <w:rPr>
                <w:rFonts w:ascii="Arial" w:hAnsi="Arial" w:cs="Arial"/>
                <w:sz w:val="18"/>
                <w:szCs w:val="18"/>
              </w:rPr>
            </w:pPr>
            <w:r>
              <w:rPr>
                <w:rFonts w:ascii="Arial" w:eastAsia="Arial" w:hAnsi="Arial" w:cs="Arial"/>
                <w:sz w:val="18"/>
                <w:szCs w:val="18"/>
              </w:rPr>
              <w:t>1</w:t>
            </w:r>
          </w:p>
        </w:tc>
        <w:tc>
          <w:tcPr>
            <w:tcW w:w="945" w:type="pct"/>
            <w:tcBorders>
              <w:top w:val="nil"/>
              <w:left w:val="nil"/>
              <w:bottom w:val="nil"/>
              <w:right w:val="nil"/>
            </w:tcBorders>
            <w:vAlign w:val="center"/>
          </w:tcPr>
          <w:p w14:paraId="08FB6CBA" w14:textId="77777777" w:rsidR="00D91720" w:rsidRDefault="00000000">
            <w:pPr>
              <w:spacing w:before="40" w:after="40"/>
              <w:jc w:val="center"/>
              <w:rPr>
                <w:rFonts w:ascii="Arial" w:hAnsi="Arial" w:cs="Arial"/>
              </w:rPr>
            </w:pPr>
            <w:r>
              <w:rPr>
                <w:rFonts w:ascii="Arial" w:eastAsia="Arial" w:hAnsi="Arial" w:cs="Arial"/>
                <w:sz w:val="18"/>
                <w:szCs w:val="18"/>
              </w:rPr>
              <w:t>Without DABCO</w:t>
            </w:r>
          </w:p>
        </w:tc>
        <w:tc>
          <w:tcPr>
            <w:tcW w:w="753" w:type="pct"/>
            <w:tcBorders>
              <w:top w:val="nil"/>
              <w:left w:val="nil"/>
              <w:bottom w:val="nil"/>
              <w:right w:val="nil"/>
            </w:tcBorders>
            <w:vAlign w:val="center"/>
          </w:tcPr>
          <w:p w14:paraId="3086DC4F" w14:textId="77777777" w:rsidR="00D91720" w:rsidRDefault="00000000">
            <w:pPr>
              <w:widowControl/>
              <w:spacing w:before="40" w:after="40"/>
              <w:jc w:val="center"/>
              <w:textAlignment w:val="center"/>
              <w:rPr>
                <w:rFonts w:ascii="Arial" w:hAnsi="Arial" w:cs="Arial"/>
              </w:rPr>
            </w:pPr>
            <w:r>
              <w:rPr>
                <w:rFonts w:ascii="Arial" w:eastAsia="Arial" w:hAnsi="Arial" w:cs="Arial"/>
                <w:color w:val="000000"/>
                <w:kern w:val="0"/>
                <w:sz w:val="18"/>
                <w:lang w:bidi="ar"/>
              </w:rPr>
              <w:t>29.21</w:t>
            </w:r>
          </w:p>
        </w:tc>
        <w:tc>
          <w:tcPr>
            <w:tcW w:w="751" w:type="pct"/>
            <w:tcBorders>
              <w:top w:val="nil"/>
              <w:left w:val="nil"/>
              <w:bottom w:val="nil"/>
              <w:right w:val="nil"/>
            </w:tcBorders>
            <w:vAlign w:val="center"/>
          </w:tcPr>
          <w:p w14:paraId="40BE9A24" w14:textId="77777777" w:rsidR="00D91720" w:rsidRDefault="00000000">
            <w:pPr>
              <w:widowControl/>
              <w:spacing w:before="40" w:after="40"/>
              <w:jc w:val="center"/>
              <w:textAlignment w:val="center"/>
              <w:rPr>
                <w:rFonts w:ascii="Arial" w:hAnsi="Arial" w:cs="Arial"/>
              </w:rPr>
            </w:pPr>
            <w:r>
              <w:rPr>
                <w:rFonts w:ascii="Arial" w:eastAsia="Arial" w:hAnsi="Arial" w:cs="Arial"/>
                <w:color w:val="000000"/>
                <w:kern w:val="0"/>
                <w:sz w:val="18"/>
                <w:lang w:bidi="ar"/>
              </w:rPr>
              <w:t>0.02</w:t>
            </w:r>
          </w:p>
        </w:tc>
        <w:tc>
          <w:tcPr>
            <w:tcW w:w="788" w:type="pct"/>
            <w:tcBorders>
              <w:top w:val="nil"/>
              <w:left w:val="nil"/>
              <w:bottom w:val="nil"/>
              <w:right w:val="nil"/>
            </w:tcBorders>
            <w:vAlign w:val="center"/>
          </w:tcPr>
          <w:p w14:paraId="6B2C2FF1" w14:textId="77777777" w:rsidR="00D91720" w:rsidRDefault="00000000">
            <w:pPr>
              <w:widowControl/>
              <w:spacing w:before="40" w:after="40"/>
              <w:jc w:val="center"/>
              <w:textAlignment w:val="center"/>
              <w:rPr>
                <w:rFonts w:ascii="Arial" w:hAnsi="Arial" w:cs="Arial"/>
              </w:rPr>
            </w:pPr>
            <w:r>
              <w:rPr>
                <w:rFonts w:ascii="Arial" w:eastAsia="Arial" w:hAnsi="Arial" w:cs="Arial"/>
                <w:color w:val="000000"/>
                <w:kern w:val="0"/>
                <w:sz w:val="18"/>
                <w:lang w:bidi="ar"/>
              </w:rPr>
              <w:t>70.77</w:t>
            </w:r>
          </w:p>
        </w:tc>
      </w:tr>
      <w:tr w:rsidR="00D91720" w14:paraId="55FD0A2A" w14:textId="77777777">
        <w:trPr>
          <w:trHeight w:val="339"/>
          <w:jc w:val="center"/>
        </w:trPr>
        <w:tc>
          <w:tcPr>
            <w:tcW w:w="450" w:type="pct"/>
            <w:tcBorders>
              <w:top w:val="nil"/>
              <w:left w:val="nil"/>
              <w:bottom w:val="nil"/>
              <w:right w:val="nil"/>
            </w:tcBorders>
            <w:vAlign w:val="center"/>
          </w:tcPr>
          <w:p w14:paraId="186613E2" w14:textId="77777777" w:rsidR="00D91720" w:rsidRDefault="00000000">
            <w:pPr>
              <w:spacing w:before="40" w:after="40"/>
              <w:jc w:val="left"/>
              <w:rPr>
                <w:rFonts w:ascii="Arial" w:hAnsi="Arial" w:cs="Arial"/>
                <w:szCs w:val="24"/>
              </w:rPr>
            </w:pPr>
            <w:r>
              <w:rPr>
                <w:rFonts w:ascii="Arial" w:eastAsia="Arial" w:hAnsi="Arial" w:cs="Arial"/>
                <w:sz w:val="18"/>
              </w:rPr>
              <w:t>5 h</w:t>
            </w:r>
          </w:p>
        </w:tc>
        <w:tc>
          <w:tcPr>
            <w:tcW w:w="934" w:type="pct"/>
            <w:vMerge w:val="restart"/>
            <w:tcBorders>
              <w:top w:val="nil"/>
              <w:left w:val="nil"/>
              <w:bottom w:val="nil"/>
              <w:right w:val="nil"/>
            </w:tcBorders>
            <w:vAlign w:val="center"/>
          </w:tcPr>
          <w:p w14:paraId="1F15956D" w14:textId="77777777" w:rsidR="00D91720" w:rsidRDefault="00000000">
            <w:pPr>
              <w:spacing w:before="40" w:after="40"/>
              <w:jc w:val="center"/>
              <w:rPr>
                <w:rFonts w:ascii="Arial" w:hAnsi="Arial" w:cs="Arial"/>
              </w:rPr>
            </w:pPr>
            <w:r>
              <w:rPr>
                <w:rFonts w:ascii="Arial" w:eastAsia="Arial" w:hAnsi="Arial" w:cs="Arial"/>
                <w:sz w:val="18"/>
              </w:rPr>
              <w:t xml:space="preserve">100 </w:t>
            </w:r>
            <w:r>
              <w:rPr>
                <w:rFonts w:ascii="Arial" w:eastAsia="Arial" w:hAnsi="Arial" w:cs="Arial"/>
                <w:sz w:val="18"/>
                <w:szCs w:val="21"/>
              </w:rPr>
              <w:t>°C</w:t>
            </w:r>
          </w:p>
        </w:tc>
        <w:tc>
          <w:tcPr>
            <w:tcW w:w="378" w:type="pct"/>
            <w:tcBorders>
              <w:top w:val="nil"/>
              <w:left w:val="nil"/>
              <w:bottom w:val="nil"/>
              <w:right w:val="nil"/>
            </w:tcBorders>
            <w:vAlign w:val="center"/>
          </w:tcPr>
          <w:p w14:paraId="1A1245A6" w14:textId="77777777" w:rsidR="00D91720" w:rsidRDefault="00000000">
            <w:pPr>
              <w:spacing w:before="40" w:after="40"/>
              <w:jc w:val="center"/>
              <w:rPr>
                <w:rFonts w:ascii="Arial" w:hAnsi="Arial" w:cs="Arial"/>
                <w:sz w:val="18"/>
                <w:szCs w:val="18"/>
              </w:rPr>
            </w:pPr>
            <w:r>
              <w:rPr>
                <w:rFonts w:ascii="Arial" w:eastAsia="Arial" w:hAnsi="Arial" w:cs="Arial"/>
                <w:sz w:val="18"/>
                <w:szCs w:val="18"/>
              </w:rPr>
              <w:t>1</w:t>
            </w:r>
          </w:p>
        </w:tc>
        <w:tc>
          <w:tcPr>
            <w:tcW w:w="945" w:type="pct"/>
            <w:tcBorders>
              <w:top w:val="nil"/>
              <w:left w:val="nil"/>
              <w:bottom w:val="nil"/>
              <w:right w:val="nil"/>
            </w:tcBorders>
            <w:vAlign w:val="center"/>
          </w:tcPr>
          <w:p w14:paraId="4A06BCFB" w14:textId="77777777" w:rsidR="00D91720" w:rsidRDefault="00000000">
            <w:pPr>
              <w:spacing w:before="40" w:after="40"/>
              <w:jc w:val="center"/>
              <w:rPr>
                <w:rFonts w:ascii="Arial" w:hAnsi="Arial" w:cs="Arial"/>
                <w:szCs w:val="24"/>
              </w:rPr>
            </w:pPr>
            <w:r>
              <w:rPr>
                <w:rFonts w:ascii="Arial" w:eastAsia="Arial" w:hAnsi="Arial" w:cs="Arial"/>
                <w:sz w:val="18"/>
                <w:szCs w:val="18"/>
              </w:rPr>
              <w:t>With DABCO</w:t>
            </w:r>
          </w:p>
        </w:tc>
        <w:tc>
          <w:tcPr>
            <w:tcW w:w="753" w:type="pct"/>
            <w:tcBorders>
              <w:top w:val="nil"/>
              <w:left w:val="nil"/>
              <w:bottom w:val="nil"/>
              <w:right w:val="nil"/>
            </w:tcBorders>
            <w:vAlign w:val="center"/>
          </w:tcPr>
          <w:p w14:paraId="7F8CD48D" w14:textId="77777777" w:rsidR="00D91720" w:rsidRDefault="00000000">
            <w:pPr>
              <w:widowControl/>
              <w:spacing w:before="40" w:after="40"/>
              <w:jc w:val="center"/>
              <w:textAlignment w:val="center"/>
              <w:rPr>
                <w:rFonts w:ascii="Arial" w:hAnsi="Arial" w:cs="Arial"/>
              </w:rPr>
            </w:pPr>
            <w:r>
              <w:rPr>
                <w:rFonts w:ascii="Arial" w:eastAsia="Arial" w:hAnsi="Arial" w:cs="Arial"/>
                <w:color w:val="000000"/>
                <w:kern w:val="0"/>
                <w:sz w:val="18"/>
                <w:lang w:bidi="ar"/>
              </w:rPr>
              <w:t>33.80</w:t>
            </w:r>
          </w:p>
        </w:tc>
        <w:tc>
          <w:tcPr>
            <w:tcW w:w="751" w:type="pct"/>
            <w:tcBorders>
              <w:top w:val="nil"/>
              <w:left w:val="nil"/>
              <w:bottom w:val="nil"/>
              <w:right w:val="nil"/>
            </w:tcBorders>
            <w:vAlign w:val="center"/>
          </w:tcPr>
          <w:p w14:paraId="58C33097" w14:textId="77777777" w:rsidR="00D91720" w:rsidRDefault="00000000">
            <w:pPr>
              <w:widowControl/>
              <w:spacing w:before="40" w:after="40"/>
              <w:jc w:val="center"/>
              <w:textAlignment w:val="center"/>
              <w:rPr>
                <w:rFonts w:ascii="Arial" w:hAnsi="Arial" w:cs="Arial"/>
              </w:rPr>
            </w:pPr>
            <w:r>
              <w:rPr>
                <w:rFonts w:ascii="Arial" w:eastAsia="Arial" w:hAnsi="Arial" w:cs="Arial"/>
                <w:color w:val="000000"/>
                <w:kern w:val="0"/>
                <w:sz w:val="18"/>
                <w:lang w:bidi="ar"/>
              </w:rPr>
              <w:t>56.15</w:t>
            </w:r>
          </w:p>
        </w:tc>
        <w:tc>
          <w:tcPr>
            <w:tcW w:w="788" w:type="pct"/>
            <w:tcBorders>
              <w:top w:val="nil"/>
              <w:left w:val="nil"/>
              <w:bottom w:val="nil"/>
              <w:right w:val="nil"/>
            </w:tcBorders>
            <w:vAlign w:val="center"/>
          </w:tcPr>
          <w:p w14:paraId="532BE500" w14:textId="77777777" w:rsidR="00D91720" w:rsidRDefault="00000000">
            <w:pPr>
              <w:widowControl/>
              <w:spacing w:before="40" w:after="40"/>
              <w:jc w:val="center"/>
              <w:textAlignment w:val="center"/>
              <w:rPr>
                <w:rFonts w:ascii="Arial" w:hAnsi="Arial" w:cs="Arial"/>
              </w:rPr>
            </w:pPr>
            <w:r>
              <w:rPr>
                <w:rFonts w:ascii="Arial" w:eastAsia="Arial" w:hAnsi="Arial" w:cs="Arial"/>
                <w:color w:val="000000"/>
                <w:kern w:val="0"/>
                <w:sz w:val="18"/>
                <w:lang w:bidi="ar"/>
              </w:rPr>
              <w:t>10.06</w:t>
            </w:r>
          </w:p>
        </w:tc>
      </w:tr>
      <w:tr w:rsidR="00D91720" w14:paraId="75CEE975" w14:textId="77777777">
        <w:trPr>
          <w:trHeight w:val="339"/>
          <w:jc w:val="center"/>
        </w:trPr>
        <w:tc>
          <w:tcPr>
            <w:tcW w:w="450" w:type="pct"/>
            <w:tcBorders>
              <w:top w:val="nil"/>
              <w:left w:val="nil"/>
              <w:bottom w:val="nil"/>
              <w:right w:val="nil"/>
            </w:tcBorders>
            <w:vAlign w:val="center"/>
          </w:tcPr>
          <w:p w14:paraId="677BCCF0" w14:textId="77777777" w:rsidR="00D91720" w:rsidRDefault="00000000">
            <w:pPr>
              <w:spacing w:before="40" w:after="40"/>
              <w:jc w:val="left"/>
              <w:rPr>
                <w:rFonts w:ascii="Arial" w:hAnsi="Arial" w:cs="Arial"/>
                <w:szCs w:val="24"/>
              </w:rPr>
            </w:pPr>
            <w:r>
              <w:rPr>
                <w:rFonts w:ascii="Arial" w:eastAsia="Arial" w:hAnsi="Arial" w:cs="Arial"/>
                <w:sz w:val="18"/>
              </w:rPr>
              <w:t>5 h</w:t>
            </w:r>
          </w:p>
        </w:tc>
        <w:tc>
          <w:tcPr>
            <w:tcW w:w="934" w:type="pct"/>
            <w:vMerge/>
            <w:tcBorders>
              <w:top w:val="nil"/>
              <w:left w:val="nil"/>
              <w:bottom w:val="nil"/>
              <w:right w:val="nil"/>
              <w:tl2br w:val="nil"/>
              <w:tr2bl w:val="nil"/>
            </w:tcBorders>
            <w:vAlign w:val="center"/>
          </w:tcPr>
          <w:p w14:paraId="137211AB" w14:textId="77777777" w:rsidR="00D91720" w:rsidRDefault="00D91720">
            <w:pPr>
              <w:jc w:val="center"/>
              <w:rPr>
                <w:rFonts w:ascii="Arial" w:hAnsi="Arial" w:cs="Arial"/>
              </w:rPr>
            </w:pPr>
          </w:p>
        </w:tc>
        <w:tc>
          <w:tcPr>
            <w:tcW w:w="378" w:type="pct"/>
            <w:tcBorders>
              <w:top w:val="nil"/>
              <w:left w:val="nil"/>
              <w:bottom w:val="nil"/>
              <w:right w:val="nil"/>
            </w:tcBorders>
            <w:vAlign w:val="center"/>
          </w:tcPr>
          <w:p w14:paraId="1A1C97FA" w14:textId="77777777" w:rsidR="00D91720" w:rsidRDefault="00000000">
            <w:pPr>
              <w:spacing w:before="40" w:after="40"/>
              <w:jc w:val="center"/>
              <w:rPr>
                <w:rFonts w:ascii="Arial" w:hAnsi="Arial" w:cs="Arial"/>
                <w:sz w:val="18"/>
                <w:szCs w:val="18"/>
              </w:rPr>
            </w:pPr>
            <w:r>
              <w:rPr>
                <w:rFonts w:ascii="Arial" w:eastAsia="Arial" w:hAnsi="Arial" w:cs="Arial"/>
                <w:sz w:val="18"/>
                <w:szCs w:val="18"/>
              </w:rPr>
              <w:t>1</w:t>
            </w:r>
          </w:p>
        </w:tc>
        <w:tc>
          <w:tcPr>
            <w:tcW w:w="945" w:type="pct"/>
            <w:tcBorders>
              <w:top w:val="nil"/>
              <w:left w:val="nil"/>
              <w:bottom w:val="nil"/>
              <w:right w:val="nil"/>
            </w:tcBorders>
            <w:vAlign w:val="center"/>
          </w:tcPr>
          <w:p w14:paraId="55FF16E7" w14:textId="77777777" w:rsidR="00D91720" w:rsidRDefault="00000000">
            <w:pPr>
              <w:spacing w:before="40" w:after="40"/>
              <w:jc w:val="center"/>
              <w:rPr>
                <w:rFonts w:ascii="Arial" w:hAnsi="Arial" w:cs="Arial"/>
                <w:szCs w:val="24"/>
              </w:rPr>
            </w:pPr>
            <w:r>
              <w:rPr>
                <w:rFonts w:ascii="Arial" w:eastAsia="Arial" w:hAnsi="Arial" w:cs="Arial"/>
                <w:sz w:val="18"/>
                <w:szCs w:val="18"/>
              </w:rPr>
              <w:t>Without DABCO</w:t>
            </w:r>
          </w:p>
        </w:tc>
        <w:tc>
          <w:tcPr>
            <w:tcW w:w="753" w:type="pct"/>
            <w:tcBorders>
              <w:top w:val="nil"/>
              <w:left w:val="nil"/>
              <w:bottom w:val="nil"/>
              <w:right w:val="nil"/>
            </w:tcBorders>
            <w:vAlign w:val="center"/>
          </w:tcPr>
          <w:p w14:paraId="361E87E4" w14:textId="77777777" w:rsidR="00D91720" w:rsidRDefault="00000000">
            <w:pPr>
              <w:widowControl/>
              <w:spacing w:before="40" w:after="40"/>
              <w:jc w:val="center"/>
              <w:textAlignment w:val="center"/>
              <w:rPr>
                <w:rFonts w:ascii="Arial" w:hAnsi="Arial" w:cs="Arial"/>
              </w:rPr>
            </w:pPr>
            <w:r>
              <w:rPr>
                <w:rFonts w:ascii="Arial" w:eastAsia="Arial" w:hAnsi="Arial" w:cs="Arial"/>
                <w:color w:val="000000"/>
                <w:kern w:val="0"/>
                <w:sz w:val="18"/>
                <w:lang w:bidi="ar"/>
              </w:rPr>
              <w:t>41.08</w:t>
            </w:r>
          </w:p>
        </w:tc>
        <w:tc>
          <w:tcPr>
            <w:tcW w:w="751" w:type="pct"/>
            <w:tcBorders>
              <w:top w:val="nil"/>
              <w:left w:val="nil"/>
              <w:bottom w:val="nil"/>
              <w:right w:val="nil"/>
            </w:tcBorders>
            <w:vAlign w:val="center"/>
          </w:tcPr>
          <w:p w14:paraId="4C5005DA" w14:textId="77777777" w:rsidR="00D91720" w:rsidRDefault="00000000">
            <w:pPr>
              <w:widowControl/>
              <w:spacing w:before="40" w:after="40"/>
              <w:jc w:val="center"/>
              <w:textAlignment w:val="center"/>
              <w:rPr>
                <w:rFonts w:ascii="Arial" w:hAnsi="Arial" w:cs="Arial"/>
              </w:rPr>
            </w:pPr>
            <w:r>
              <w:rPr>
                <w:rFonts w:ascii="Arial" w:eastAsia="Arial" w:hAnsi="Arial" w:cs="Arial"/>
                <w:color w:val="000000"/>
                <w:kern w:val="0"/>
                <w:sz w:val="18"/>
                <w:lang w:bidi="ar"/>
              </w:rPr>
              <w:t>1.47</w:t>
            </w:r>
          </w:p>
        </w:tc>
        <w:tc>
          <w:tcPr>
            <w:tcW w:w="788" w:type="pct"/>
            <w:tcBorders>
              <w:top w:val="nil"/>
              <w:left w:val="nil"/>
              <w:bottom w:val="nil"/>
              <w:right w:val="nil"/>
            </w:tcBorders>
            <w:vAlign w:val="center"/>
          </w:tcPr>
          <w:p w14:paraId="34FD55BC" w14:textId="77777777" w:rsidR="00D91720" w:rsidRDefault="00000000">
            <w:pPr>
              <w:widowControl/>
              <w:spacing w:before="40" w:after="40"/>
              <w:jc w:val="center"/>
              <w:textAlignment w:val="center"/>
              <w:rPr>
                <w:rFonts w:ascii="Arial" w:hAnsi="Arial" w:cs="Arial"/>
              </w:rPr>
            </w:pPr>
            <w:r>
              <w:rPr>
                <w:rFonts w:ascii="Arial" w:eastAsia="Arial" w:hAnsi="Arial" w:cs="Arial"/>
                <w:color w:val="000000"/>
                <w:kern w:val="0"/>
                <w:sz w:val="18"/>
                <w:lang w:bidi="ar"/>
              </w:rPr>
              <w:t>57.46</w:t>
            </w:r>
          </w:p>
        </w:tc>
      </w:tr>
      <w:tr w:rsidR="00D91720" w14:paraId="1EAF3D53" w14:textId="77777777">
        <w:trPr>
          <w:trHeight w:val="339"/>
          <w:jc w:val="center"/>
        </w:trPr>
        <w:tc>
          <w:tcPr>
            <w:tcW w:w="450" w:type="pct"/>
            <w:tcBorders>
              <w:top w:val="nil"/>
              <w:left w:val="nil"/>
              <w:bottom w:val="nil"/>
              <w:right w:val="nil"/>
            </w:tcBorders>
            <w:vAlign w:val="center"/>
          </w:tcPr>
          <w:p w14:paraId="1DDF1761" w14:textId="77777777" w:rsidR="00D91720" w:rsidRDefault="00000000">
            <w:pPr>
              <w:spacing w:before="40" w:after="40"/>
              <w:jc w:val="left"/>
              <w:rPr>
                <w:rFonts w:ascii="Arial" w:hAnsi="Arial" w:cs="Arial"/>
                <w:szCs w:val="24"/>
              </w:rPr>
            </w:pPr>
            <w:r>
              <w:rPr>
                <w:rFonts w:ascii="Arial" w:eastAsia="Arial" w:hAnsi="Arial" w:cs="Arial"/>
                <w:sz w:val="18"/>
              </w:rPr>
              <w:t>24 h</w:t>
            </w:r>
          </w:p>
        </w:tc>
        <w:tc>
          <w:tcPr>
            <w:tcW w:w="934" w:type="pct"/>
            <w:vMerge/>
            <w:tcBorders>
              <w:top w:val="nil"/>
              <w:left w:val="nil"/>
              <w:bottom w:val="nil"/>
              <w:right w:val="nil"/>
              <w:tl2br w:val="nil"/>
              <w:tr2bl w:val="nil"/>
            </w:tcBorders>
            <w:vAlign w:val="center"/>
          </w:tcPr>
          <w:p w14:paraId="1290B10B" w14:textId="77777777" w:rsidR="00D91720" w:rsidRDefault="00D91720">
            <w:pPr>
              <w:jc w:val="center"/>
              <w:rPr>
                <w:rFonts w:ascii="Arial" w:hAnsi="Arial" w:cs="Arial"/>
              </w:rPr>
            </w:pPr>
          </w:p>
        </w:tc>
        <w:tc>
          <w:tcPr>
            <w:tcW w:w="378" w:type="pct"/>
            <w:tcBorders>
              <w:top w:val="nil"/>
              <w:left w:val="nil"/>
              <w:bottom w:val="nil"/>
              <w:right w:val="nil"/>
            </w:tcBorders>
            <w:vAlign w:val="center"/>
          </w:tcPr>
          <w:p w14:paraId="53E4AD70" w14:textId="77777777" w:rsidR="00D91720" w:rsidRDefault="00000000">
            <w:pPr>
              <w:spacing w:before="40" w:after="40"/>
              <w:jc w:val="center"/>
              <w:rPr>
                <w:rFonts w:ascii="Arial" w:hAnsi="Arial" w:cs="Arial"/>
                <w:sz w:val="18"/>
                <w:szCs w:val="18"/>
              </w:rPr>
            </w:pPr>
            <w:r>
              <w:rPr>
                <w:rFonts w:ascii="Arial" w:eastAsia="Arial" w:hAnsi="Arial" w:cs="Arial"/>
                <w:sz w:val="18"/>
                <w:szCs w:val="18"/>
              </w:rPr>
              <w:t>1</w:t>
            </w:r>
          </w:p>
        </w:tc>
        <w:tc>
          <w:tcPr>
            <w:tcW w:w="945" w:type="pct"/>
            <w:tcBorders>
              <w:top w:val="nil"/>
              <w:left w:val="nil"/>
              <w:bottom w:val="nil"/>
              <w:right w:val="nil"/>
            </w:tcBorders>
            <w:vAlign w:val="center"/>
          </w:tcPr>
          <w:p w14:paraId="06DE959B" w14:textId="77777777" w:rsidR="00D91720" w:rsidRDefault="00000000">
            <w:pPr>
              <w:spacing w:before="40" w:after="40"/>
              <w:jc w:val="center"/>
              <w:rPr>
                <w:rFonts w:ascii="Arial" w:hAnsi="Arial" w:cs="Arial"/>
                <w:szCs w:val="24"/>
              </w:rPr>
            </w:pPr>
            <w:r>
              <w:rPr>
                <w:rFonts w:ascii="Arial" w:eastAsia="Arial" w:hAnsi="Arial" w:cs="Arial"/>
                <w:sz w:val="18"/>
                <w:szCs w:val="18"/>
              </w:rPr>
              <w:t>With DABCO</w:t>
            </w:r>
          </w:p>
        </w:tc>
        <w:tc>
          <w:tcPr>
            <w:tcW w:w="753" w:type="pct"/>
            <w:tcBorders>
              <w:top w:val="nil"/>
              <w:left w:val="nil"/>
              <w:bottom w:val="nil"/>
              <w:right w:val="nil"/>
            </w:tcBorders>
            <w:vAlign w:val="center"/>
          </w:tcPr>
          <w:p w14:paraId="241E0EB6" w14:textId="77777777" w:rsidR="00D91720" w:rsidRDefault="00000000">
            <w:pPr>
              <w:widowControl/>
              <w:spacing w:before="40" w:after="40"/>
              <w:jc w:val="center"/>
              <w:textAlignment w:val="center"/>
              <w:rPr>
                <w:rFonts w:ascii="Arial" w:hAnsi="Arial" w:cs="Arial"/>
              </w:rPr>
            </w:pPr>
            <w:r>
              <w:rPr>
                <w:rFonts w:ascii="Arial" w:eastAsia="Arial" w:hAnsi="Arial" w:cs="Arial"/>
                <w:color w:val="000000"/>
                <w:kern w:val="0"/>
                <w:sz w:val="18"/>
                <w:lang w:bidi="ar"/>
              </w:rPr>
              <w:t>10.99</w:t>
            </w:r>
          </w:p>
        </w:tc>
        <w:tc>
          <w:tcPr>
            <w:tcW w:w="751" w:type="pct"/>
            <w:tcBorders>
              <w:top w:val="nil"/>
              <w:left w:val="nil"/>
              <w:bottom w:val="nil"/>
              <w:right w:val="nil"/>
            </w:tcBorders>
            <w:vAlign w:val="center"/>
          </w:tcPr>
          <w:p w14:paraId="302726D2" w14:textId="77777777" w:rsidR="00D91720" w:rsidRDefault="00000000">
            <w:pPr>
              <w:widowControl/>
              <w:spacing w:before="40" w:after="40"/>
              <w:jc w:val="center"/>
              <w:textAlignment w:val="center"/>
              <w:rPr>
                <w:rFonts w:ascii="Arial" w:eastAsia="等线" w:hAnsi="Arial" w:cs="Arial"/>
                <w:color w:val="000000"/>
                <w:kern w:val="0"/>
                <w:sz w:val="22"/>
                <w:lang w:bidi="ar"/>
              </w:rPr>
            </w:pPr>
            <w:r>
              <w:rPr>
                <w:rFonts w:ascii="Arial" w:eastAsia="Arial" w:hAnsi="Arial" w:cs="Arial"/>
                <w:color w:val="000000"/>
                <w:kern w:val="0"/>
                <w:sz w:val="18"/>
                <w:lang w:bidi="ar"/>
              </w:rPr>
              <w:t>88.57</w:t>
            </w:r>
          </w:p>
        </w:tc>
        <w:tc>
          <w:tcPr>
            <w:tcW w:w="788" w:type="pct"/>
            <w:tcBorders>
              <w:top w:val="nil"/>
              <w:left w:val="nil"/>
              <w:bottom w:val="nil"/>
              <w:right w:val="nil"/>
            </w:tcBorders>
            <w:vAlign w:val="center"/>
          </w:tcPr>
          <w:p w14:paraId="690923CC" w14:textId="77777777" w:rsidR="00D91720" w:rsidRDefault="00000000">
            <w:pPr>
              <w:widowControl/>
              <w:spacing w:before="40" w:after="40"/>
              <w:jc w:val="center"/>
              <w:textAlignment w:val="center"/>
              <w:rPr>
                <w:rFonts w:ascii="Arial" w:hAnsi="Arial" w:cs="Arial"/>
              </w:rPr>
            </w:pPr>
            <w:r>
              <w:rPr>
                <w:rFonts w:ascii="Arial" w:eastAsia="Arial" w:hAnsi="Arial" w:cs="Arial"/>
                <w:color w:val="000000"/>
                <w:kern w:val="0"/>
                <w:sz w:val="18"/>
                <w:lang w:bidi="ar"/>
              </w:rPr>
              <w:t>0.44</w:t>
            </w:r>
          </w:p>
        </w:tc>
      </w:tr>
      <w:tr w:rsidR="00D91720" w14:paraId="1630104B" w14:textId="77777777">
        <w:trPr>
          <w:trHeight w:val="339"/>
          <w:jc w:val="center"/>
        </w:trPr>
        <w:tc>
          <w:tcPr>
            <w:tcW w:w="450" w:type="pct"/>
            <w:tcBorders>
              <w:top w:val="nil"/>
              <w:left w:val="nil"/>
              <w:bottom w:val="nil"/>
              <w:right w:val="nil"/>
            </w:tcBorders>
            <w:vAlign w:val="center"/>
          </w:tcPr>
          <w:p w14:paraId="43D0686D" w14:textId="77777777" w:rsidR="00D91720" w:rsidRDefault="00000000">
            <w:pPr>
              <w:spacing w:before="40" w:after="40"/>
              <w:jc w:val="left"/>
              <w:rPr>
                <w:rFonts w:ascii="Arial" w:hAnsi="Arial" w:cs="Arial"/>
                <w:szCs w:val="24"/>
              </w:rPr>
            </w:pPr>
            <w:r>
              <w:rPr>
                <w:rFonts w:ascii="Arial" w:eastAsia="Arial" w:hAnsi="Arial" w:cs="Arial"/>
                <w:sz w:val="18"/>
              </w:rPr>
              <w:t>24 h</w:t>
            </w:r>
          </w:p>
        </w:tc>
        <w:tc>
          <w:tcPr>
            <w:tcW w:w="934" w:type="pct"/>
            <w:vMerge/>
            <w:tcBorders>
              <w:top w:val="nil"/>
              <w:left w:val="nil"/>
              <w:bottom w:val="single" w:sz="12" w:space="0" w:color="000000"/>
              <w:right w:val="nil"/>
              <w:tl2br w:val="nil"/>
              <w:tr2bl w:val="nil"/>
            </w:tcBorders>
            <w:vAlign w:val="center"/>
          </w:tcPr>
          <w:p w14:paraId="2D42FE2F" w14:textId="77777777" w:rsidR="00D91720" w:rsidRDefault="00D91720">
            <w:pPr>
              <w:jc w:val="center"/>
              <w:rPr>
                <w:rFonts w:ascii="Arial" w:hAnsi="Arial" w:cs="Arial"/>
              </w:rPr>
            </w:pPr>
          </w:p>
        </w:tc>
        <w:tc>
          <w:tcPr>
            <w:tcW w:w="378" w:type="pct"/>
            <w:tcBorders>
              <w:top w:val="nil"/>
              <w:left w:val="nil"/>
              <w:bottom w:val="nil"/>
              <w:right w:val="nil"/>
            </w:tcBorders>
            <w:vAlign w:val="center"/>
          </w:tcPr>
          <w:p w14:paraId="7E1E09B7" w14:textId="77777777" w:rsidR="00D91720" w:rsidRDefault="00000000">
            <w:pPr>
              <w:spacing w:before="40" w:after="40"/>
              <w:jc w:val="center"/>
              <w:rPr>
                <w:rFonts w:ascii="Arial" w:hAnsi="Arial" w:cs="Arial"/>
                <w:sz w:val="18"/>
                <w:szCs w:val="18"/>
              </w:rPr>
            </w:pPr>
            <w:r>
              <w:rPr>
                <w:rFonts w:ascii="Arial" w:eastAsia="Arial" w:hAnsi="Arial" w:cs="Arial"/>
                <w:sz w:val="18"/>
                <w:szCs w:val="18"/>
              </w:rPr>
              <w:t>1</w:t>
            </w:r>
          </w:p>
        </w:tc>
        <w:tc>
          <w:tcPr>
            <w:tcW w:w="945" w:type="pct"/>
            <w:tcBorders>
              <w:top w:val="nil"/>
              <w:left w:val="nil"/>
              <w:bottom w:val="nil"/>
              <w:right w:val="nil"/>
            </w:tcBorders>
            <w:vAlign w:val="center"/>
          </w:tcPr>
          <w:p w14:paraId="6167BDF8" w14:textId="77777777" w:rsidR="00D91720" w:rsidRDefault="00000000">
            <w:pPr>
              <w:spacing w:before="40" w:after="40"/>
              <w:jc w:val="center"/>
              <w:rPr>
                <w:rFonts w:ascii="Arial" w:hAnsi="Arial" w:cs="Arial"/>
                <w:szCs w:val="24"/>
              </w:rPr>
            </w:pPr>
            <w:r>
              <w:rPr>
                <w:rFonts w:ascii="Arial" w:eastAsia="Arial" w:hAnsi="Arial" w:cs="Arial"/>
                <w:sz w:val="18"/>
                <w:szCs w:val="18"/>
              </w:rPr>
              <w:t>Without DABCO</w:t>
            </w:r>
          </w:p>
        </w:tc>
        <w:tc>
          <w:tcPr>
            <w:tcW w:w="753" w:type="pct"/>
            <w:tcBorders>
              <w:top w:val="nil"/>
              <w:left w:val="nil"/>
              <w:bottom w:val="nil"/>
              <w:right w:val="nil"/>
            </w:tcBorders>
            <w:vAlign w:val="center"/>
          </w:tcPr>
          <w:p w14:paraId="63EFC31C" w14:textId="77777777" w:rsidR="00D91720" w:rsidRDefault="00000000">
            <w:pPr>
              <w:widowControl/>
              <w:spacing w:before="40" w:after="40"/>
              <w:jc w:val="center"/>
              <w:textAlignment w:val="center"/>
              <w:rPr>
                <w:rFonts w:ascii="Arial" w:hAnsi="Arial" w:cs="Arial"/>
              </w:rPr>
            </w:pPr>
            <w:r>
              <w:rPr>
                <w:rFonts w:ascii="Arial" w:eastAsia="Arial" w:hAnsi="Arial" w:cs="Arial"/>
                <w:color w:val="000000"/>
                <w:kern w:val="0"/>
                <w:sz w:val="18"/>
                <w:lang w:bidi="ar"/>
              </w:rPr>
              <w:t>59.72</w:t>
            </w:r>
          </w:p>
        </w:tc>
        <w:tc>
          <w:tcPr>
            <w:tcW w:w="751" w:type="pct"/>
            <w:tcBorders>
              <w:top w:val="nil"/>
              <w:left w:val="nil"/>
              <w:bottom w:val="nil"/>
              <w:right w:val="nil"/>
            </w:tcBorders>
            <w:vAlign w:val="center"/>
          </w:tcPr>
          <w:p w14:paraId="001CF838" w14:textId="77777777" w:rsidR="00D91720" w:rsidRDefault="00000000">
            <w:pPr>
              <w:widowControl/>
              <w:spacing w:before="40" w:after="40"/>
              <w:jc w:val="center"/>
              <w:textAlignment w:val="center"/>
              <w:rPr>
                <w:rFonts w:ascii="Arial" w:hAnsi="Arial" w:cs="Arial"/>
              </w:rPr>
            </w:pPr>
            <w:r>
              <w:rPr>
                <w:rFonts w:ascii="Arial" w:eastAsia="Arial" w:hAnsi="Arial" w:cs="Arial"/>
                <w:color w:val="000000"/>
                <w:kern w:val="0"/>
                <w:sz w:val="18"/>
                <w:lang w:bidi="ar"/>
              </w:rPr>
              <w:t>0.88</w:t>
            </w:r>
          </w:p>
        </w:tc>
        <w:tc>
          <w:tcPr>
            <w:tcW w:w="788" w:type="pct"/>
            <w:tcBorders>
              <w:top w:val="nil"/>
              <w:left w:val="nil"/>
              <w:bottom w:val="nil"/>
              <w:right w:val="nil"/>
            </w:tcBorders>
            <w:vAlign w:val="center"/>
          </w:tcPr>
          <w:p w14:paraId="726B3729" w14:textId="77777777" w:rsidR="00D91720" w:rsidRDefault="00000000">
            <w:pPr>
              <w:widowControl/>
              <w:spacing w:before="40" w:after="40"/>
              <w:jc w:val="center"/>
              <w:textAlignment w:val="center"/>
              <w:rPr>
                <w:rFonts w:ascii="Arial" w:hAnsi="Arial" w:cs="Arial"/>
              </w:rPr>
            </w:pPr>
            <w:r>
              <w:rPr>
                <w:rFonts w:ascii="Arial" w:eastAsia="Arial" w:hAnsi="Arial" w:cs="Arial"/>
                <w:color w:val="000000"/>
                <w:kern w:val="0"/>
                <w:sz w:val="18"/>
                <w:lang w:bidi="ar"/>
              </w:rPr>
              <w:t>39.40</w:t>
            </w:r>
          </w:p>
        </w:tc>
      </w:tr>
      <w:bookmarkEnd w:id="7"/>
    </w:tbl>
    <w:p w14:paraId="320D0224" w14:textId="77777777" w:rsidR="004563D3" w:rsidRDefault="004563D3">
      <w:pPr>
        <w:spacing w:line="480" w:lineRule="auto"/>
        <w:rPr>
          <w:rFonts w:ascii="Arial" w:hAnsi="Arial" w:cs="Arial"/>
        </w:rPr>
      </w:pPr>
      <w:r>
        <w:rPr>
          <w:rFonts w:ascii="Arial" w:hAnsi="Arial" w:cs="Arial"/>
        </w:rPr>
        <w:br w:type="page"/>
      </w:r>
    </w:p>
    <w:p w14:paraId="5715D5BE" w14:textId="12475B8F" w:rsidR="00D91720" w:rsidRPr="004563D3" w:rsidRDefault="00000000" w:rsidP="004563D3">
      <w:pPr>
        <w:pStyle w:val="ab"/>
        <w:numPr>
          <w:ilvl w:val="0"/>
          <w:numId w:val="2"/>
        </w:numPr>
        <w:spacing w:line="480" w:lineRule="auto"/>
        <w:ind w:firstLineChars="0" w:firstLine="0"/>
        <w:rPr>
          <w:rFonts w:ascii="Arial" w:hAnsi="Arial" w:cs="Arial"/>
          <w:b/>
          <w:bCs/>
          <w:sz w:val="24"/>
          <w:szCs w:val="24"/>
        </w:rPr>
      </w:pPr>
      <w:r>
        <w:rPr>
          <w:noProof/>
        </w:rPr>
        <w:lastRenderedPageBreak/>
        <w:drawing>
          <wp:anchor distT="0" distB="0" distL="114300" distR="114300" simplePos="0" relativeHeight="251659264" behindDoc="0" locked="0" layoutInCell="1" allowOverlap="1" wp14:anchorId="04993FA0" wp14:editId="062AA1EA">
            <wp:simplePos x="0" y="0"/>
            <wp:positionH relativeFrom="column">
              <wp:posOffset>7508875</wp:posOffset>
            </wp:positionH>
            <wp:positionV relativeFrom="paragraph">
              <wp:posOffset>0</wp:posOffset>
            </wp:positionV>
            <wp:extent cx="2175510" cy="2208530"/>
            <wp:effectExtent l="0" t="0" r="3810" b="1270"/>
            <wp:wrapNone/>
            <wp:docPr id="1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pic:cNvPicPr>
                      <a:picLocks noChangeAspect="1"/>
                    </pic:cNvPicPr>
                  </pic:nvPicPr>
                  <pic:blipFill>
                    <a:blip r:embed="rId10"/>
                    <a:stretch>
                      <a:fillRect/>
                    </a:stretch>
                  </pic:blipFill>
                  <pic:spPr>
                    <a:xfrm>
                      <a:off x="0" y="0"/>
                      <a:ext cx="2175510" cy="2208530"/>
                    </a:xfrm>
                    <a:prstGeom prst="rect">
                      <a:avLst/>
                    </a:prstGeom>
                  </pic:spPr>
                </pic:pic>
              </a:graphicData>
            </a:graphic>
          </wp:anchor>
        </w:drawing>
      </w:r>
      <w:bookmarkStart w:id="8" w:name="OLE_LINK12"/>
      <w:r w:rsidRPr="004563D3">
        <w:rPr>
          <w:rFonts w:ascii="Arial" w:eastAsia="Arial" w:hAnsi="Arial" w:cs="Arial"/>
          <w:b/>
          <w:bCs/>
          <w:sz w:val="24"/>
          <w:szCs w:val="24"/>
        </w:rPr>
        <w:t>Optimization of conditions for S</w:t>
      </w:r>
      <w:r w:rsidRPr="004563D3">
        <w:rPr>
          <w:rFonts w:ascii="Arial" w:eastAsia="Arial" w:hAnsi="Arial" w:cs="Arial"/>
          <w:b/>
          <w:bCs/>
          <w:sz w:val="24"/>
          <w:szCs w:val="24"/>
          <w:vertAlign w:val="subscript"/>
        </w:rPr>
        <w:t>8</w:t>
      </w:r>
      <w:r w:rsidRPr="004563D3">
        <w:rPr>
          <w:rFonts w:ascii="Arial" w:eastAsia="Arial" w:hAnsi="Arial" w:cs="Arial"/>
          <w:b/>
          <w:bCs/>
          <w:sz w:val="24"/>
          <w:szCs w:val="24"/>
        </w:rPr>
        <w:t>-mediated polymerization</w:t>
      </w:r>
    </w:p>
    <w:bookmarkEnd w:id="8"/>
    <w:p w14:paraId="7BB5B44F" w14:textId="77777777" w:rsidR="00D91720" w:rsidRDefault="00000000">
      <w:pPr>
        <w:spacing w:after="100" w:line="480" w:lineRule="auto"/>
        <w:ind w:firstLineChars="200" w:firstLine="400"/>
        <w:rPr>
          <w:rFonts w:ascii="Arial" w:hAnsi="Arial" w:cs="Arial"/>
          <w:szCs w:val="21"/>
        </w:rPr>
      </w:pPr>
      <w:r>
        <w:rPr>
          <w:rFonts w:ascii="Arial" w:eastAsia="Arial" w:hAnsi="Arial" w:cs="Arial"/>
          <w:szCs w:val="21"/>
        </w:rPr>
        <w:t xml:space="preserve">To optimize polymerization conditions and monitor the process, </w:t>
      </w:r>
      <w:r>
        <w:rPr>
          <w:rFonts w:ascii="Arial" w:eastAsia="Arial" w:hAnsi="Arial" w:cs="Arial"/>
          <w:szCs w:val="21"/>
          <w:vertAlign w:val="superscript"/>
        </w:rPr>
        <w:t>1</w:t>
      </w:r>
      <w:r>
        <w:rPr>
          <w:rFonts w:ascii="Arial" w:eastAsia="Arial" w:hAnsi="Arial" w:cs="Arial"/>
          <w:szCs w:val="21"/>
        </w:rPr>
        <w:t>H-NMR spectra were recorded over time during polymerization. TMB (1,3,5-trimethoxybenzene), an inert compound that does not affect polymerization, was used as a standard to quantitatively determine monomer conversion rates. The BFDO monomer conversion rate was calculated using NMR integrals with TMB as the reference.</w:t>
      </w:r>
    </w:p>
    <w:p w14:paraId="18AEA550" w14:textId="7F08B41E" w:rsidR="004563D3" w:rsidRDefault="00000000" w:rsidP="004563D3">
      <w:pPr>
        <w:spacing w:line="480" w:lineRule="auto"/>
        <w:ind w:firstLineChars="200" w:firstLine="400"/>
        <w:rPr>
          <w:rFonts w:ascii="Arial" w:hAnsi="Arial" w:cs="Arial"/>
          <w:szCs w:val="21"/>
        </w:rPr>
      </w:pPr>
      <w:r>
        <w:rPr>
          <w:rFonts w:ascii="Arial" w:eastAsia="Arial" w:hAnsi="Arial" w:cs="Arial"/>
          <w:szCs w:val="21"/>
        </w:rPr>
        <w:t xml:space="preserve">General procedure for </w:t>
      </w:r>
      <w:r>
        <w:rPr>
          <w:rFonts w:ascii="Arial" w:eastAsia="Arial" w:hAnsi="Arial" w:cs="Arial"/>
          <w:szCs w:val="21"/>
          <w:vertAlign w:val="superscript"/>
        </w:rPr>
        <w:t>1</w:t>
      </w:r>
      <w:r>
        <w:rPr>
          <w:rFonts w:ascii="Arial" w:eastAsia="Arial" w:hAnsi="Arial" w:cs="Arial"/>
          <w:szCs w:val="21"/>
        </w:rPr>
        <w:t>H NMR characterization of polymerization reactions: BFDO monomer (50 mg, 5 mg mL</w:t>
      </w:r>
      <w:r>
        <w:rPr>
          <w:rFonts w:ascii="Arial" w:eastAsia="Arial" w:hAnsi="Arial" w:cs="Arial"/>
          <w:szCs w:val="21"/>
          <w:vertAlign w:val="superscript"/>
        </w:rPr>
        <w:t>−1</w:t>
      </w:r>
      <w:r>
        <w:rPr>
          <w:rFonts w:ascii="Arial" w:eastAsia="Arial" w:hAnsi="Arial" w:cs="Arial"/>
          <w:szCs w:val="21"/>
        </w:rPr>
        <w:t>–10 mg mL</w:t>
      </w:r>
      <w:r>
        <w:rPr>
          <w:rFonts w:ascii="Arial" w:eastAsia="Arial" w:hAnsi="Arial" w:cs="Arial"/>
          <w:szCs w:val="21"/>
          <w:vertAlign w:val="superscript"/>
        </w:rPr>
        <w:t>−1</w:t>
      </w:r>
      <w:r>
        <w:rPr>
          <w:rFonts w:ascii="Arial" w:eastAsia="Arial" w:hAnsi="Arial" w:cs="Arial"/>
          <w:szCs w:val="21"/>
        </w:rPr>
        <w:t>), S</w:t>
      </w:r>
      <w:r>
        <w:rPr>
          <w:rFonts w:ascii="Arial" w:eastAsia="Arial" w:hAnsi="Arial" w:cs="Arial"/>
          <w:szCs w:val="21"/>
          <w:vertAlign w:val="subscript"/>
        </w:rPr>
        <w:t>8</w:t>
      </w:r>
      <w:r>
        <w:rPr>
          <w:rFonts w:ascii="Arial" w:eastAsia="Arial" w:hAnsi="Arial" w:cs="Arial"/>
          <w:szCs w:val="21"/>
        </w:rPr>
        <w:t xml:space="preserve"> (0.1–2 eq. S), and 1,3,5-trimethoxybenzene (TMB, 10 mg) were thoroughly dissolved in DMSO-</w:t>
      </w:r>
      <w:r>
        <w:rPr>
          <w:rFonts w:ascii="Arial" w:eastAsia="Arial" w:hAnsi="Arial" w:cs="Arial"/>
          <w:i/>
          <w:iCs/>
          <w:szCs w:val="21"/>
        </w:rPr>
        <w:t>d</w:t>
      </w:r>
      <w:r>
        <w:rPr>
          <w:rFonts w:ascii="Arial" w:eastAsia="Arial" w:hAnsi="Arial" w:cs="Arial"/>
          <w:i/>
          <w:iCs/>
          <w:szCs w:val="21"/>
          <w:vertAlign w:val="subscript"/>
        </w:rPr>
        <w:t>6</w:t>
      </w:r>
      <w:r>
        <w:rPr>
          <w:rFonts w:ascii="Arial" w:eastAsia="Arial" w:hAnsi="Arial" w:cs="Arial"/>
          <w:szCs w:val="21"/>
        </w:rPr>
        <w:t xml:space="preserve"> under 100–150 °C and nitrogen atmosphere. The mixture was stirred continuously for several hours until gel formation or complete monomer conversion was achieved. During this period, 500 </w:t>
      </w:r>
      <w:proofErr w:type="spellStart"/>
      <w:r>
        <w:rPr>
          <w:rFonts w:ascii="Arial" w:eastAsia="Arial" w:hAnsi="Arial" w:cs="Arial"/>
          <w:szCs w:val="21"/>
        </w:rPr>
        <w:t>μL</w:t>
      </w:r>
      <w:proofErr w:type="spellEnd"/>
      <w:r>
        <w:rPr>
          <w:rFonts w:ascii="Arial" w:eastAsia="Arial" w:hAnsi="Arial" w:cs="Arial"/>
          <w:szCs w:val="21"/>
        </w:rPr>
        <w:t xml:space="preserve"> of the mixture was loaded into NMR tubes and </w:t>
      </w:r>
      <w:r>
        <w:rPr>
          <w:rFonts w:ascii="Arial" w:eastAsia="Arial" w:hAnsi="Arial" w:cs="Arial"/>
          <w:szCs w:val="21"/>
          <w:vertAlign w:val="superscript"/>
        </w:rPr>
        <w:t>1</w:t>
      </w:r>
      <w:r>
        <w:rPr>
          <w:rFonts w:ascii="Arial" w:eastAsia="Arial" w:hAnsi="Arial" w:cs="Arial"/>
          <w:szCs w:val="21"/>
        </w:rPr>
        <w:t>H-NMR spectra were recorded at different polymerization intervals. The BFDO monomer conversion rate was calculated using NMR integrals in the aromatic region with TMB as the reference</w:t>
      </w:r>
      <w:r>
        <w:rPr>
          <w:rFonts w:ascii="Arial" w:eastAsia="Arial" w:hAnsi="Arial" w:cs="Arial"/>
          <w:szCs w:val="21"/>
        </w:rPr>
        <w:fldChar w:fldCharType="begin"/>
      </w:r>
      <w:r>
        <w:rPr>
          <w:rFonts w:ascii="Arial" w:eastAsia="Arial" w:hAnsi="Arial" w:cs="Arial"/>
          <w:szCs w:val="21"/>
        </w:rPr>
        <w:instrText xml:space="preserve"> ADDIN EN.CITE &lt;EndNote&gt;&lt;Cite&gt;&lt;Author&gt;Liu&lt;/Author&gt;&lt;Year&gt;2025&lt;/Year&gt;&lt;RecNum&gt;14&lt;/RecNum&gt;&lt;DisplayText&gt;&lt;style face="superscript"&gt;[1]&lt;/style&gt;&lt;/DisplayText&gt;&lt;record&gt;&lt;rec-number&gt;14&lt;/rec-number&gt;&lt;foreign-keys&gt;&lt;key app="EN" db-id="9r505xwvq2zsspe29ropxarbpdv50aaf9ets" timestamp="1765091320"&gt;14&lt;/key&gt;&lt;/foreign-keys&gt;&lt;ref-type name="Journal Article"&gt;17&lt;/ref-type&gt;&lt;contributors&gt;&lt;authors&gt;&lt;author&gt;Liu, Guangchao&lt;/author&gt;&lt;author&gt;Pal, Uttam&lt;/author&gt;&lt;author&gt;Samal, Sanket&lt;/author&gt;&lt;author&gt;Espenship, Michael F.&lt;/author&gt;&lt;author&gt;Li,</w:instrText>
      </w:r>
      <w:r>
        <w:rPr>
          <w:rFonts w:ascii="Arial" w:eastAsia="Arial" w:hAnsi="Arial" w:cs="Arial" w:hint="eastAsia"/>
          <w:szCs w:val="21"/>
        </w:rPr>
        <w:instrText xml:space="preserve"> Yuanhe&lt;/author&gt;&lt;author&gt;Lee, Won‐June&lt;/author&gt;&lt;author&gt;Ogunfowora, Lawal Adewale&lt;/author&gt;&lt;author&gt;You, Liyan&lt;/author&gt;&lt;author&gt;Laskin, Julia&lt;/author&gt;&lt;author&gt;Mei, Jianguo&lt;/author&gt;&lt;/authors&gt;&lt;/contributors&gt;&lt;titles&gt;&lt;title&gt;Catalytic Polymerization of N‐Doped Poly(benzodifurandione) (n‐PBDF) Using Parts Per Million (ppm) Levels of Molybdenum Trioxide&lt;/title&gt;&lt;secondary-title&gt;Angewandte Chemie International Edition&lt;/secondary-title&gt;&lt;/titles&gt;&lt;periodical&gt;&lt;full-title&gt;Angewandte Chemie International Edition&lt;/full-title&gt;&lt;</w:instrText>
      </w:r>
      <w:r>
        <w:rPr>
          <w:rFonts w:ascii="Arial" w:eastAsia="Arial" w:hAnsi="Arial" w:cs="Arial"/>
          <w:szCs w:val="21"/>
        </w:rPr>
        <w:instrText>/periodical&gt;&lt;pages&gt; e202510411&lt;/pages&gt;&lt;volume&gt;64&lt;/volume&gt;&lt;number&gt;36&lt;/number&gt;&lt;dates&gt;&lt;year&gt;2025&lt;/year&gt;&lt;/dates&gt;&lt;isbn&gt;1433-7851&amp;#xD;1521-3773&lt;/isbn&gt;&lt;urls&gt;&lt;/urls&gt;&lt;electronic-resource-num&gt;10.1002/anie.202510411&lt;/electronic-resource-num&gt;&lt;/record&gt;&lt;/Cite&gt;&lt;/EndNote&gt;</w:instrText>
      </w:r>
      <w:r>
        <w:rPr>
          <w:rFonts w:ascii="Arial" w:eastAsia="Arial" w:hAnsi="Arial" w:cs="Arial"/>
          <w:szCs w:val="21"/>
        </w:rPr>
        <w:fldChar w:fldCharType="separate"/>
      </w:r>
      <w:r>
        <w:rPr>
          <w:rFonts w:ascii="Arial" w:eastAsia="Arial" w:hAnsi="Arial" w:cs="Arial"/>
          <w:noProof/>
          <w:szCs w:val="21"/>
          <w:vertAlign w:val="superscript"/>
        </w:rPr>
        <w:t>[1]</w:t>
      </w:r>
      <w:r>
        <w:rPr>
          <w:rFonts w:ascii="Arial" w:eastAsia="Arial" w:hAnsi="Arial" w:cs="Arial"/>
          <w:szCs w:val="21"/>
        </w:rPr>
        <w:fldChar w:fldCharType="end"/>
      </w:r>
      <w:r>
        <w:rPr>
          <w:rFonts w:ascii="Arial" w:eastAsia="Arial" w:hAnsi="Arial" w:cs="Arial"/>
          <w:szCs w:val="21"/>
        </w:rPr>
        <w:t xml:space="preserve">. Results are shown in </w:t>
      </w:r>
      <w:r>
        <w:rPr>
          <w:rFonts w:ascii="Arial" w:eastAsia="Arial" w:hAnsi="Arial" w:cs="Arial"/>
          <w:b/>
          <w:bCs/>
          <w:szCs w:val="21"/>
        </w:rPr>
        <w:t>Supplementary Figs. 2–11</w:t>
      </w:r>
      <w:r>
        <w:rPr>
          <w:rFonts w:ascii="Arial" w:eastAsia="Arial" w:hAnsi="Arial" w:cs="Arial"/>
          <w:szCs w:val="21"/>
        </w:rPr>
        <w:t>.</w:t>
      </w:r>
    </w:p>
    <w:p w14:paraId="7F0AD942" w14:textId="77777777" w:rsidR="004563D3" w:rsidRPr="004563D3" w:rsidRDefault="004563D3" w:rsidP="004563D3">
      <w:pPr>
        <w:spacing w:line="480" w:lineRule="auto"/>
        <w:ind w:firstLineChars="200" w:firstLine="400"/>
        <w:rPr>
          <w:rFonts w:ascii="Arial" w:hAnsi="Arial" w:cs="Arial"/>
          <w:szCs w:val="21"/>
        </w:rPr>
      </w:pPr>
    </w:p>
    <w:p w14:paraId="642F4822" w14:textId="77777777" w:rsidR="00D91720" w:rsidRDefault="00000000" w:rsidP="00AC4439">
      <w:pPr>
        <w:spacing w:line="480" w:lineRule="auto"/>
        <w:jc w:val="center"/>
        <w:rPr>
          <w:rFonts w:ascii="Arial" w:hAnsi="Arial" w:cs="Arial"/>
          <w:szCs w:val="21"/>
        </w:rPr>
      </w:pPr>
      <w:r>
        <w:rPr>
          <w:noProof/>
        </w:rPr>
        <w:drawing>
          <wp:inline distT="0" distB="0" distL="114300" distR="114300" wp14:anchorId="2C9237BF" wp14:editId="00715489">
            <wp:extent cx="5270500" cy="3944620"/>
            <wp:effectExtent l="0" t="0" r="0" b="2540"/>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11"/>
                    <a:stretch>
                      <a:fillRect/>
                    </a:stretch>
                  </pic:blipFill>
                  <pic:spPr>
                    <a:xfrm>
                      <a:off x="0" y="0"/>
                      <a:ext cx="5270500" cy="3944620"/>
                    </a:xfrm>
                    <a:prstGeom prst="rect">
                      <a:avLst/>
                    </a:prstGeom>
                    <a:noFill/>
                    <a:ln>
                      <a:noFill/>
                    </a:ln>
                  </pic:spPr>
                </pic:pic>
              </a:graphicData>
            </a:graphic>
          </wp:inline>
        </w:drawing>
      </w:r>
    </w:p>
    <w:p w14:paraId="04EF1D57" w14:textId="77777777" w:rsidR="00D91720" w:rsidRDefault="00000000">
      <w:pPr>
        <w:spacing w:before="160" w:after="60" w:line="480" w:lineRule="auto"/>
        <w:jc w:val="left"/>
        <w:rPr>
          <w:rFonts w:ascii="Arial" w:hAnsi="Arial" w:cs="Arial"/>
          <w:szCs w:val="21"/>
        </w:rPr>
      </w:pPr>
      <w:r>
        <w:rPr>
          <w:rFonts w:ascii="Arial" w:eastAsia="Arial" w:hAnsi="Arial" w:cs="Arial"/>
          <w:b/>
          <w:bCs/>
          <w:szCs w:val="21"/>
        </w:rPr>
        <w:lastRenderedPageBreak/>
        <w:t>Supplementary Fig. 2</w:t>
      </w:r>
      <w:r>
        <w:rPr>
          <w:rFonts w:ascii="Arial" w:eastAsia="Arial" w:hAnsi="Arial" w:cs="Arial"/>
          <w:szCs w:val="21"/>
        </w:rPr>
        <w:t xml:space="preserve"> | </w:t>
      </w:r>
      <w:r>
        <w:rPr>
          <w:rFonts w:ascii="Arial" w:eastAsia="Arial" w:hAnsi="Arial" w:cs="Arial"/>
          <w:szCs w:val="21"/>
          <w:vertAlign w:val="superscript"/>
        </w:rPr>
        <w:t>1</w:t>
      </w:r>
      <w:r>
        <w:rPr>
          <w:rFonts w:ascii="Arial" w:eastAsia="Arial" w:hAnsi="Arial" w:cs="Arial"/>
          <w:szCs w:val="21"/>
        </w:rPr>
        <w:t>H NMR spectrum of polymerization of BFDO (5 mg mL</w:t>
      </w:r>
      <w:r>
        <w:rPr>
          <w:rFonts w:ascii="Arial" w:eastAsia="Arial" w:hAnsi="Arial" w:cs="Arial"/>
          <w:szCs w:val="21"/>
          <w:vertAlign w:val="superscript"/>
        </w:rPr>
        <w:t>−1</w:t>
      </w:r>
      <w:r>
        <w:rPr>
          <w:rFonts w:ascii="Arial" w:eastAsia="Arial" w:hAnsi="Arial" w:cs="Arial"/>
          <w:szCs w:val="21"/>
        </w:rPr>
        <w:t>) with S</w:t>
      </w:r>
      <w:r>
        <w:rPr>
          <w:rFonts w:ascii="Arial" w:eastAsia="Arial" w:hAnsi="Arial" w:cs="Arial"/>
          <w:szCs w:val="21"/>
          <w:vertAlign w:val="subscript"/>
        </w:rPr>
        <w:t>8</w:t>
      </w:r>
      <w:r>
        <w:rPr>
          <w:rFonts w:ascii="Arial" w:eastAsia="Arial" w:hAnsi="Arial" w:cs="Arial"/>
          <w:szCs w:val="21"/>
        </w:rPr>
        <w:t xml:space="preserve"> (1 eq. S) in DMSO-</w:t>
      </w:r>
      <w:r>
        <w:rPr>
          <w:rFonts w:ascii="Arial" w:eastAsia="Arial" w:hAnsi="Arial" w:cs="Arial"/>
          <w:i/>
          <w:szCs w:val="21"/>
        </w:rPr>
        <w:t>d</w:t>
      </w:r>
      <w:r>
        <w:rPr>
          <w:rFonts w:ascii="Arial" w:eastAsia="Arial" w:hAnsi="Arial" w:cs="Arial"/>
          <w:i/>
          <w:szCs w:val="21"/>
          <w:vertAlign w:val="subscript"/>
        </w:rPr>
        <w:t>6</w:t>
      </w:r>
      <w:r>
        <w:rPr>
          <w:rFonts w:ascii="Arial" w:eastAsia="Arial" w:hAnsi="Arial" w:cs="Arial"/>
          <w:szCs w:val="21"/>
        </w:rPr>
        <w:t xml:space="preserve"> at 100 °C for different time under nitrogen. TMB was used as a reference.</w:t>
      </w:r>
    </w:p>
    <w:p w14:paraId="6445560A" w14:textId="77777777" w:rsidR="00D91720" w:rsidRDefault="00D91720">
      <w:pPr>
        <w:spacing w:line="480" w:lineRule="auto"/>
      </w:pPr>
    </w:p>
    <w:p w14:paraId="5302A9C1" w14:textId="77777777" w:rsidR="00D91720" w:rsidRDefault="00000000" w:rsidP="00AC4439">
      <w:pPr>
        <w:spacing w:line="480" w:lineRule="auto"/>
        <w:jc w:val="center"/>
      </w:pPr>
      <w:r>
        <w:rPr>
          <w:noProof/>
        </w:rPr>
        <w:drawing>
          <wp:inline distT="0" distB="0" distL="114300" distR="114300" wp14:anchorId="16C4BD73" wp14:editId="14A4A8AB">
            <wp:extent cx="5270500" cy="3961765"/>
            <wp:effectExtent l="0" t="0" r="0" b="635"/>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12"/>
                    <a:stretch>
                      <a:fillRect/>
                    </a:stretch>
                  </pic:blipFill>
                  <pic:spPr>
                    <a:xfrm>
                      <a:off x="0" y="0"/>
                      <a:ext cx="5270500" cy="3961765"/>
                    </a:xfrm>
                    <a:prstGeom prst="rect">
                      <a:avLst/>
                    </a:prstGeom>
                    <a:noFill/>
                    <a:ln>
                      <a:noFill/>
                    </a:ln>
                  </pic:spPr>
                </pic:pic>
              </a:graphicData>
            </a:graphic>
          </wp:inline>
        </w:drawing>
      </w:r>
    </w:p>
    <w:p w14:paraId="28372F13" w14:textId="77777777" w:rsidR="00D91720" w:rsidRDefault="00000000">
      <w:pPr>
        <w:spacing w:before="160" w:after="60" w:line="480" w:lineRule="auto"/>
        <w:jc w:val="left"/>
        <w:rPr>
          <w:rFonts w:ascii="Arial" w:hAnsi="Arial" w:cs="Arial"/>
          <w:szCs w:val="21"/>
        </w:rPr>
      </w:pPr>
      <w:r>
        <w:rPr>
          <w:rFonts w:ascii="Arial" w:eastAsia="Arial" w:hAnsi="Arial" w:cs="Arial"/>
          <w:b/>
          <w:bCs/>
          <w:szCs w:val="21"/>
        </w:rPr>
        <w:t>Supplementary Fig. 3</w:t>
      </w:r>
      <w:r>
        <w:rPr>
          <w:rFonts w:ascii="Arial" w:eastAsia="Arial" w:hAnsi="Arial" w:cs="Arial"/>
          <w:szCs w:val="21"/>
        </w:rPr>
        <w:t xml:space="preserve"> | </w:t>
      </w:r>
      <w:r>
        <w:rPr>
          <w:rFonts w:ascii="Arial" w:eastAsia="Arial" w:hAnsi="Arial" w:cs="Arial"/>
          <w:szCs w:val="21"/>
          <w:vertAlign w:val="superscript"/>
        </w:rPr>
        <w:t>1</w:t>
      </w:r>
      <w:r>
        <w:rPr>
          <w:rFonts w:ascii="Arial" w:eastAsia="Arial" w:hAnsi="Arial" w:cs="Arial"/>
          <w:szCs w:val="21"/>
        </w:rPr>
        <w:t>H NMR spectrum of polymerization of BFDO (5 mg mL</w:t>
      </w:r>
      <w:r>
        <w:rPr>
          <w:rFonts w:ascii="Arial" w:eastAsia="Arial" w:hAnsi="Arial" w:cs="Arial"/>
          <w:szCs w:val="21"/>
          <w:vertAlign w:val="superscript"/>
        </w:rPr>
        <w:t>−1</w:t>
      </w:r>
      <w:r>
        <w:rPr>
          <w:rFonts w:ascii="Arial" w:eastAsia="Arial" w:hAnsi="Arial" w:cs="Arial"/>
          <w:szCs w:val="21"/>
        </w:rPr>
        <w:t>) with S</w:t>
      </w:r>
      <w:r>
        <w:rPr>
          <w:rFonts w:ascii="Arial" w:eastAsia="Arial" w:hAnsi="Arial" w:cs="Arial"/>
          <w:szCs w:val="21"/>
          <w:vertAlign w:val="subscript"/>
        </w:rPr>
        <w:t>8</w:t>
      </w:r>
      <w:r>
        <w:rPr>
          <w:rFonts w:ascii="Arial" w:eastAsia="Arial" w:hAnsi="Arial" w:cs="Arial"/>
          <w:szCs w:val="21"/>
        </w:rPr>
        <w:t xml:space="preserve"> (1 eq. S) in DMSO-</w:t>
      </w:r>
      <w:r>
        <w:rPr>
          <w:rFonts w:ascii="Arial" w:eastAsia="Arial" w:hAnsi="Arial" w:cs="Arial"/>
          <w:i/>
          <w:szCs w:val="21"/>
        </w:rPr>
        <w:t>d</w:t>
      </w:r>
      <w:r>
        <w:rPr>
          <w:rFonts w:ascii="Arial" w:eastAsia="Arial" w:hAnsi="Arial" w:cs="Arial"/>
          <w:i/>
          <w:szCs w:val="21"/>
          <w:vertAlign w:val="subscript"/>
        </w:rPr>
        <w:t>6</w:t>
      </w:r>
      <w:r>
        <w:rPr>
          <w:rFonts w:ascii="Arial" w:eastAsia="Arial" w:hAnsi="Arial" w:cs="Arial"/>
          <w:szCs w:val="21"/>
        </w:rPr>
        <w:t xml:space="preserve"> at 120 °C for different time under nitrogen. TMB was used as a reference.</w:t>
      </w:r>
    </w:p>
    <w:p w14:paraId="6815BD33" w14:textId="77777777" w:rsidR="00D91720" w:rsidRDefault="00D91720">
      <w:pPr>
        <w:spacing w:line="480" w:lineRule="auto"/>
        <w:rPr>
          <w:rFonts w:ascii="Arial" w:hAnsi="Arial" w:cs="Arial"/>
          <w:szCs w:val="21"/>
        </w:rPr>
      </w:pPr>
    </w:p>
    <w:p w14:paraId="25082A71" w14:textId="77777777" w:rsidR="00D91720" w:rsidRDefault="00000000" w:rsidP="00AC4439">
      <w:pPr>
        <w:spacing w:line="480" w:lineRule="auto"/>
        <w:jc w:val="center"/>
        <w:rPr>
          <w:rFonts w:ascii="Arial" w:hAnsi="Arial" w:cs="Arial"/>
        </w:rPr>
      </w:pPr>
      <w:r>
        <w:rPr>
          <w:noProof/>
        </w:rPr>
        <w:lastRenderedPageBreak/>
        <w:drawing>
          <wp:inline distT="0" distB="0" distL="114300" distR="114300" wp14:anchorId="0BE75678" wp14:editId="44ECE71D">
            <wp:extent cx="5270500" cy="3804285"/>
            <wp:effectExtent l="0" t="0" r="0" b="5715"/>
            <wp:docPr id="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5"/>
                    <pic:cNvPicPr>
                      <a:picLocks noChangeAspect="1"/>
                    </pic:cNvPicPr>
                  </pic:nvPicPr>
                  <pic:blipFill>
                    <a:blip r:embed="rId13"/>
                    <a:stretch>
                      <a:fillRect/>
                    </a:stretch>
                  </pic:blipFill>
                  <pic:spPr>
                    <a:xfrm>
                      <a:off x="0" y="0"/>
                      <a:ext cx="5270500" cy="3804285"/>
                    </a:xfrm>
                    <a:prstGeom prst="rect">
                      <a:avLst/>
                    </a:prstGeom>
                    <a:noFill/>
                    <a:ln>
                      <a:noFill/>
                    </a:ln>
                  </pic:spPr>
                </pic:pic>
              </a:graphicData>
            </a:graphic>
          </wp:inline>
        </w:drawing>
      </w:r>
    </w:p>
    <w:p w14:paraId="4550ED85" w14:textId="77777777" w:rsidR="00D91720" w:rsidRDefault="00000000">
      <w:pPr>
        <w:spacing w:before="160" w:after="60" w:line="480" w:lineRule="auto"/>
        <w:jc w:val="left"/>
        <w:rPr>
          <w:rFonts w:ascii="Arial" w:hAnsi="Arial" w:cs="Arial"/>
          <w:szCs w:val="21"/>
        </w:rPr>
      </w:pPr>
      <w:r>
        <w:rPr>
          <w:rFonts w:ascii="Arial" w:eastAsia="Arial" w:hAnsi="Arial" w:cs="Arial"/>
          <w:b/>
          <w:bCs/>
          <w:szCs w:val="21"/>
        </w:rPr>
        <w:t>Supplementary Fig. 4</w:t>
      </w:r>
      <w:r>
        <w:rPr>
          <w:rFonts w:ascii="Arial" w:eastAsia="Arial" w:hAnsi="Arial" w:cs="Arial"/>
          <w:szCs w:val="21"/>
        </w:rPr>
        <w:t xml:space="preserve"> | </w:t>
      </w:r>
      <w:r>
        <w:rPr>
          <w:rFonts w:ascii="Arial" w:eastAsia="Arial" w:hAnsi="Arial" w:cs="Arial"/>
          <w:szCs w:val="21"/>
          <w:vertAlign w:val="superscript"/>
        </w:rPr>
        <w:t>1</w:t>
      </w:r>
      <w:r>
        <w:rPr>
          <w:rFonts w:ascii="Arial" w:eastAsia="Arial" w:hAnsi="Arial" w:cs="Arial"/>
          <w:szCs w:val="21"/>
        </w:rPr>
        <w:t>H NMR spectrum of polymerization of BFDO (5 mg mL</w:t>
      </w:r>
      <w:r>
        <w:rPr>
          <w:rFonts w:ascii="Arial" w:eastAsia="Arial" w:hAnsi="Arial" w:cs="Arial"/>
          <w:szCs w:val="21"/>
          <w:vertAlign w:val="superscript"/>
        </w:rPr>
        <w:t>−1</w:t>
      </w:r>
      <w:r>
        <w:rPr>
          <w:rFonts w:ascii="Arial" w:eastAsia="Arial" w:hAnsi="Arial" w:cs="Arial"/>
          <w:szCs w:val="21"/>
        </w:rPr>
        <w:t>) with S</w:t>
      </w:r>
      <w:r>
        <w:rPr>
          <w:rFonts w:ascii="Arial" w:eastAsia="Arial" w:hAnsi="Arial" w:cs="Arial"/>
          <w:szCs w:val="21"/>
          <w:vertAlign w:val="subscript"/>
        </w:rPr>
        <w:t>8</w:t>
      </w:r>
      <w:r>
        <w:rPr>
          <w:rFonts w:ascii="Arial" w:eastAsia="Arial" w:hAnsi="Arial" w:cs="Arial"/>
          <w:szCs w:val="21"/>
        </w:rPr>
        <w:t xml:space="preserve"> (1 eq. S) in DMSO-</w:t>
      </w:r>
      <w:r>
        <w:rPr>
          <w:rFonts w:ascii="Arial" w:eastAsia="Arial" w:hAnsi="Arial" w:cs="Arial"/>
          <w:i/>
          <w:szCs w:val="21"/>
        </w:rPr>
        <w:t>d</w:t>
      </w:r>
      <w:r>
        <w:rPr>
          <w:rFonts w:ascii="Arial" w:eastAsia="Arial" w:hAnsi="Arial" w:cs="Arial"/>
          <w:i/>
          <w:szCs w:val="21"/>
          <w:vertAlign w:val="subscript"/>
        </w:rPr>
        <w:t>6</w:t>
      </w:r>
      <w:r>
        <w:rPr>
          <w:rFonts w:ascii="Arial" w:eastAsia="Arial" w:hAnsi="Arial" w:cs="Arial"/>
          <w:szCs w:val="21"/>
        </w:rPr>
        <w:t xml:space="preserve"> at 150 °C for different time under nitrogen. TMB was used as a reference.</w:t>
      </w:r>
    </w:p>
    <w:p w14:paraId="4CB4D132" w14:textId="77777777" w:rsidR="00D91720" w:rsidRDefault="00D91720">
      <w:pPr>
        <w:spacing w:line="480" w:lineRule="auto"/>
        <w:rPr>
          <w:rFonts w:ascii="Arial" w:hAnsi="Arial" w:cs="Arial"/>
          <w:szCs w:val="21"/>
        </w:rPr>
      </w:pPr>
    </w:p>
    <w:p w14:paraId="4FCA48C0" w14:textId="77777777" w:rsidR="00D91720" w:rsidRDefault="00000000">
      <w:pPr>
        <w:spacing w:line="480" w:lineRule="auto"/>
        <w:jc w:val="center"/>
        <w:rPr>
          <w:rFonts w:ascii="Arial" w:hAnsi="Arial" w:cs="Arial"/>
          <w:szCs w:val="21"/>
        </w:rPr>
      </w:pPr>
      <w:r>
        <w:rPr>
          <w:noProof/>
        </w:rPr>
        <w:drawing>
          <wp:inline distT="0" distB="0" distL="114300" distR="114300" wp14:anchorId="4F6B177E" wp14:editId="5A7117BC">
            <wp:extent cx="5773420" cy="1930400"/>
            <wp:effectExtent l="0" t="0" r="0" b="0"/>
            <wp:docPr id="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6"/>
                    <pic:cNvPicPr>
                      <a:picLocks noChangeAspect="1"/>
                    </pic:cNvPicPr>
                  </pic:nvPicPr>
                  <pic:blipFill>
                    <a:blip r:embed="rId14"/>
                    <a:stretch>
                      <a:fillRect/>
                    </a:stretch>
                  </pic:blipFill>
                  <pic:spPr>
                    <a:xfrm>
                      <a:off x="0" y="0"/>
                      <a:ext cx="5773420" cy="1930400"/>
                    </a:xfrm>
                    <a:prstGeom prst="rect">
                      <a:avLst/>
                    </a:prstGeom>
                    <a:noFill/>
                    <a:ln>
                      <a:noFill/>
                    </a:ln>
                  </pic:spPr>
                </pic:pic>
              </a:graphicData>
            </a:graphic>
          </wp:inline>
        </w:drawing>
      </w:r>
    </w:p>
    <w:p w14:paraId="1E55C292" w14:textId="77777777" w:rsidR="00D91720" w:rsidRDefault="00000000">
      <w:pPr>
        <w:spacing w:before="160" w:after="60" w:line="480" w:lineRule="auto"/>
        <w:jc w:val="left"/>
        <w:rPr>
          <w:rFonts w:ascii="Arial" w:hAnsi="Arial" w:cs="Arial"/>
          <w:szCs w:val="21"/>
        </w:rPr>
      </w:pPr>
      <w:r>
        <w:rPr>
          <w:rFonts w:ascii="Arial" w:eastAsia="Arial" w:hAnsi="Arial" w:cs="Arial"/>
          <w:b/>
          <w:bCs/>
          <w:szCs w:val="21"/>
        </w:rPr>
        <w:t xml:space="preserve">Supplementary Fig. 5 </w:t>
      </w:r>
      <w:r>
        <w:rPr>
          <w:rFonts w:ascii="Arial" w:eastAsia="Arial" w:hAnsi="Arial" w:cs="Arial"/>
          <w:szCs w:val="21"/>
        </w:rPr>
        <w:t>| Plots of monomer conversions with times under different temperature. (a) 100 °C (b) 120 °C (c) 150 °C (Polymerization conditions: 5 mg mL</w:t>
      </w:r>
      <w:r>
        <w:rPr>
          <w:rFonts w:ascii="Arial" w:eastAsia="Arial" w:hAnsi="Arial" w:cs="Arial"/>
          <w:szCs w:val="21"/>
          <w:vertAlign w:val="superscript"/>
        </w:rPr>
        <w:t>−1</w:t>
      </w:r>
      <w:r>
        <w:rPr>
          <w:rFonts w:ascii="Arial" w:eastAsia="Arial" w:hAnsi="Arial" w:cs="Arial"/>
          <w:szCs w:val="21"/>
        </w:rPr>
        <w:t>, 1 eq. S)</w:t>
      </w:r>
    </w:p>
    <w:p w14:paraId="5B162631" w14:textId="77777777" w:rsidR="00D91720" w:rsidRDefault="00D91720">
      <w:pPr>
        <w:spacing w:line="480" w:lineRule="auto"/>
        <w:rPr>
          <w:rFonts w:ascii="Arial" w:hAnsi="Arial" w:cs="Arial"/>
          <w:szCs w:val="21"/>
        </w:rPr>
      </w:pPr>
    </w:p>
    <w:p w14:paraId="7BC406C1" w14:textId="77777777" w:rsidR="00D91720" w:rsidRDefault="00000000">
      <w:pPr>
        <w:spacing w:line="480" w:lineRule="auto"/>
        <w:jc w:val="center"/>
        <w:rPr>
          <w:rFonts w:ascii="Arial" w:hAnsi="Arial" w:cs="Arial"/>
          <w:szCs w:val="21"/>
        </w:rPr>
      </w:pPr>
      <w:r>
        <w:rPr>
          <w:noProof/>
        </w:rPr>
        <w:lastRenderedPageBreak/>
        <w:drawing>
          <wp:inline distT="0" distB="0" distL="114300" distR="114300" wp14:anchorId="3FA874C4" wp14:editId="3C946B81">
            <wp:extent cx="5400000" cy="3887610"/>
            <wp:effectExtent l="0" t="0" r="0" b="0"/>
            <wp:docPr id="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pic:cNvPicPr>
                      <a:picLocks noChangeAspect="1"/>
                    </pic:cNvPicPr>
                  </pic:nvPicPr>
                  <pic:blipFill>
                    <a:blip r:embed="rId15"/>
                    <a:stretch>
                      <a:fillRect/>
                    </a:stretch>
                  </pic:blipFill>
                  <pic:spPr>
                    <a:xfrm>
                      <a:off x="0" y="0"/>
                      <a:ext cx="5400000" cy="3887610"/>
                    </a:xfrm>
                    <a:prstGeom prst="rect">
                      <a:avLst/>
                    </a:prstGeom>
                    <a:noFill/>
                    <a:ln>
                      <a:noFill/>
                    </a:ln>
                  </pic:spPr>
                </pic:pic>
              </a:graphicData>
            </a:graphic>
          </wp:inline>
        </w:drawing>
      </w:r>
    </w:p>
    <w:p w14:paraId="2A441BF7" w14:textId="77777777" w:rsidR="00D91720" w:rsidRDefault="00000000">
      <w:pPr>
        <w:spacing w:before="160" w:after="60" w:line="480" w:lineRule="auto"/>
        <w:jc w:val="left"/>
        <w:rPr>
          <w:rFonts w:ascii="Arial" w:hAnsi="Arial" w:cs="Arial"/>
          <w:szCs w:val="21"/>
        </w:rPr>
      </w:pPr>
      <w:r>
        <w:rPr>
          <w:rFonts w:ascii="Arial" w:eastAsia="Arial" w:hAnsi="Arial" w:cs="Arial"/>
          <w:b/>
          <w:bCs/>
          <w:szCs w:val="21"/>
        </w:rPr>
        <w:t>Supplementary Fig. 6</w:t>
      </w:r>
      <w:r>
        <w:rPr>
          <w:rFonts w:ascii="Arial" w:eastAsia="Arial" w:hAnsi="Arial" w:cs="Arial"/>
          <w:szCs w:val="21"/>
        </w:rPr>
        <w:t xml:space="preserve"> | </w:t>
      </w:r>
      <w:r>
        <w:rPr>
          <w:rFonts w:ascii="Arial" w:eastAsia="Arial" w:hAnsi="Arial" w:cs="Arial"/>
          <w:szCs w:val="21"/>
          <w:vertAlign w:val="superscript"/>
        </w:rPr>
        <w:t>1</w:t>
      </w:r>
      <w:r>
        <w:rPr>
          <w:rFonts w:ascii="Arial" w:eastAsia="Arial" w:hAnsi="Arial" w:cs="Arial"/>
          <w:szCs w:val="21"/>
        </w:rPr>
        <w:t>H NMR spectrum of polymerization of BFDO (10 mg mL</w:t>
      </w:r>
      <w:r>
        <w:rPr>
          <w:rFonts w:ascii="Arial" w:eastAsia="Arial" w:hAnsi="Arial" w:cs="Arial"/>
          <w:szCs w:val="21"/>
          <w:vertAlign w:val="superscript"/>
        </w:rPr>
        <w:t>−1</w:t>
      </w:r>
      <w:r>
        <w:rPr>
          <w:rFonts w:ascii="Arial" w:eastAsia="Arial" w:hAnsi="Arial" w:cs="Arial"/>
          <w:szCs w:val="21"/>
        </w:rPr>
        <w:t>) with S</w:t>
      </w:r>
      <w:r>
        <w:rPr>
          <w:rFonts w:ascii="Arial" w:eastAsia="Arial" w:hAnsi="Arial" w:cs="Arial"/>
          <w:szCs w:val="21"/>
          <w:vertAlign w:val="subscript"/>
        </w:rPr>
        <w:t>8</w:t>
      </w:r>
      <w:r>
        <w:rPr>
          <w:rFonts w:ascii="Arial" w:eastAsia="Arial" w:hAnsi="Arial" w:cs="Arial"/>
          <w:szCs w:val="21"/>
        </w:rPr>
        <w:t xml:space="preserve"> (1 eq. S) in DMSO-</w:t>
      </w:r>
      <w:r>
        <w:rPr>
          <w:rFonts w:ascii="Arial" w:eastAsia="Arial" w:hAnsi="Arial" w:cs="Arial"/>
          <w:i/>
          <w:szCs w:val="21"/>
        </w:rPr>
        <w:t>d</w:t>
      </w:r>
      <w:r>
        <w:rPr>
          <w:rFonts w:ascii="Arial" w:eastAsia="Arial" w:hAnsi="Arial" w:cs="Arial"/>
          <w:i/>
          <w:szCs w:val="21"/>
          <w:vertAlign w:val="subscript"/>
        </w:rPr>
        <w:t>6</w:t>
      </w:r>
      <w:r>
        <w:rPr>
          <w:rFonts w:ascii="Arial" w:eastAsia="Arial" w:hAnsi="Arial" w:cs="Arial"/>
          <w:szCs w:val="21"/>
        </w:rPr>
        <w:t xml:space="preserve"> at 120 °C for different time under nitrogen. TMB was used as a reference. The reaction mixture formed gel after 5 hours.</w:t>
      </w:r>
    </w:p>
    <w:p w14:paraId="11F1A455" w14:textId="77777777" w:rsidR="00D91720" w:rsidRDefault="00D91720">
      <w:pPr>
        <w:spacing w:line="480" w:lineRule="auto"/>
        <w:rPr>
          <w:rFonts w:ascii="Arial" w:hAnsi="Arial" w:cs="Arial"/>
        </w:rPr>
      </w:pPr>
    </w:p>
    <w:p w14:paraId="7E39FCEF" w14:textId="77777777" w:rsidR="00D91720" w:rsidRDefault="00000000">
      <w:pPr>
        <w:spacing w:line="480" w:lineRule="auto"/>
        <w:jc w:val="center"/>
        <w:rPr>
          <w:rFonts w:ascii="Arial" w:hAnsi="Arial" w:cs="Arial"/>
        </w:rPr>
      </w:pPr>
      <w:r>
        <w:rPr>
          <w:noProof/>
        </w:rPr>
        <w:lastRenderedPageBreak/>
        <w:drawing>
          <wp:inline distT="0" distB="0" distL="114300" distR="114300" wp14:anchorId="24ED07B6" wp14:editId="344D8E69">
            <wp:extent cx="5400000" cy="4262747"/>
            <wp:effectExtent l="0" t="0" r="0" b="5080"/>
            <wp:docPr id="3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8"/>
                    <pic:cNvPicPr>
                      <a:picLocks noChangeAspect="1"/>
                    </pic:cNvPicPr>
                  </pic:nvPicPr>
                  <pic:blipFill>
                    <a:blip r:embed="rId16"/>
                    <a:stretch>
                      <a:fillRect/>
                    </a:stretch>
                  </pic:blipFill>
                  <pic:spPr>
                    <a:xfrm>
                      <a:off x="0" y="0"/>
                      <a:ext cx="5400000" cy="4262747"/>
                    </a:xfrm>
                    <a:prstGeom prst="rect">
                      <a:avLst/>
                    </a:prstGeom>
                    <a:noFill/>
                    <a:ln>
                      <a:noFill/>
                    </a:ln>
                  </pic:spPr>
                </pic:pic>
              </a:graphicData>
            </a:graphic>
          </wp:inline>
        </w:drawing>
      </w:r>
    </w:p>
    <w:p w14:paraId="11A95589" w14:textId="77777777" w:rsidR="00D91720" w:rsidRDefault="00000000">
      <w:pPr>
        <w:spacing w:before="160" w:after="60" w:line="480" w:lineRule="auto"/>
        <w:jc w:val="left"/>
        <w:rPr>
          <w:rFonts w:ascii="Arial" w:hAnsi="Arial" w:cs="Arial"/>
          <w:szCs w:val="21"/>
        </w:rPr>
      </w:pPr>
      <w:r>
        <w:rPr>
          <w:rFonts w:ascii="Arial" w:eastAsia="Arial" w:hAnsi="Arial" w:cs="Arial"/>
          <w:b/>
          <w:bCs/>
          <w:szCs w:val="21"/>
        </w:rPr>
        <w:t xml:space="preserve">Supplementary Fig. 7 </w:t>
      </w:r>
      <w:r>
        <w:rPr>
          <w:rFonts w:ascii="Arial" w:eastAsia="Arial" w:hAnsi="Arial" w:cs="Arial"/>
          <w:szCs w:val="21"/>
        </w:rPr>
        <w:t xml:space="preserve">| </w:t>
      </w:r>
      <w:r>
        <w:rPr>
          <w:rFonts w:ascii="Arial" w:eastAsia="Arial" w:hAnsi="Arial" w:cs="Arial"/>
          <w:szCs w:val="21"/>
          <w:vertAlign w:val="superscript"/>
        </w:rPr>
        <w:t>1</w:t>
      </w:r>
      <w:r>
        <w:rPr>
          <w:rFonts w:ascii="Arial" w:eastAsia="Arial" w:hAnsi="Arial" w:cs="Arial"/>
          <w:szCs w:val="21"/>
        </w:rPr>
        <w:t>H NMR spectrum of polymerization of BFDO (10 mg mL</w:t>
      </w:r>
      <w:r>
        <w:rPr>
          <w:rFonts w:ascii="Arial" w:eastAsia="Arial" w:hAnsi="Arial" w:cs="Arial"/>
          <w:szCs w:val="21"/>
          <w:vertAlign w:val="superscript"/>
        </w:rPr>
        <w:t>−1</w:t>
      </w:r>
      <w:r>
        <w:rPr>
          <w:rFonts w:ascii="Arial" w:eastAsia="Arial" w:hAnsi="Arial" w:cs="Arial"/>
          <w:szCs w:val="21"/>
        </w:rPr>
        <w:t>) with S</w:t>
      </w:r>
      <w:r>
        <w:rPr>
          <w:rFonts w:ascii="Arial" w:eastAsia="Arial" w:hAnsi="Arial" w:cs="Arial"/>
          <w:szCs w:val="21"/>
          <w:vertAlign w:val="subscript"/>
        </w:rPr>
        <w:t>8</w:t>
      </w:r>
      <w:r>
        <w:rPr>
          <w:rFonts w:ascii="Arial" w:eastAsia="Arial" w:hAnsi="Arial" w:cs="Arial"/>
          <w:szCs w:val="21"/>
        </w:rPr>
        <w:t xml:space="preserve"> (0.1 eq. S) in DMSO-</w:t>
      </w:r>
      <w:r>
        <w:rPr>
          <w:rFonts w:ascii="Arial" w:eastAsia="Arial" w:hAnsi="Arial" w:cs="Arial"/>
          <w:i/>
          <w:szCs w:val="21"/>
        </w:rPr>
        <w:t>d</w:t>
      </w:r>
      <w:r>
        <w:rPr>
          <w:rFonts w:ascii="Arial" w:eastAsia="Arial" w:hAnsi="Arial" w:cs="Arial"/>
          <w:i/>
          <w:szCs w:val="21"/>
          <w:vertAlign w:val="subscript"/>
        </w:rPr>
        <w:t>6</w:t>
      </w:r>
      <w:r>
        <w:rPr>
          <w:rFonts w:ascii="Arial" w:eastAsia="Arial" w:hAnsi="Arial" w:cs="Arial"/>
          <w:szCs w:val="21"/>
        </w:rPr>
        <w:t xml:space="preserve"> at 120 °C for different time under nitrogen. TMB was used as a reference. The reaction mixture formed gel after 12 hours.</w:t>
      </w:r>
    </w:p>
    <w:p w14:paraId="28433439" w14:textId="77777777" w:rsidR="00D91720" w:rsidRDefault="00D91720">
      <w:pPr>
        <w:spacing w:line="480" w:lineRule="auto"/>
        <w:rPr>
          <w:rFonts w:ascii="Arial" w:hAnsi="Arial" w:cs="Arial"/>
          <w:szCs w:val="21"/>
        </w:rPr>
      </w:pPr>
    </w:p>
    <w:p w14:paraId="3537452D" w14:textId="77777777" w:rsidR="00D91720" w:rsidRDefault="00000000" w:rsidP="00AC4439">
      <w:pPr>
        <w:spacing w:line="480" w:lineRule="auto"/>
        <w:jc w:val="center"/>
        <w:rPr>
          <w:rFonts w:ascii="Arial" w:hAnsi="Arial" w:cs="Arial"/>
          <w:szCs w:val="21"/>
        </w:rPr>
      </w:pPr>
      <w:r>
        <w:rPr>
          <w:noProof/>
        </w:rPr>
        <w:lastRenderedPageBreak/>
        <w:drawing>
          <wp:inline distT="0" distB="0" distL="114300" distR="114300" wp14:anchorId="1E5D1BF4" wp14:editId="75060FE4">
            <wp:extent cx="5400000" cy="3898663"/>
            <wp:effectExtent l="0" t="0" r="0" b="6985"/>
            <wp:docPr id="3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pic:cNvPicPr>
                      <a:picLocks noChangeAspect="1"/>
                    </pic:cNvPicPr>
                  </pic:nvPicPr>
                  <pic:blipFill>
                    <a:blip r:embed="rId17"/>
                    <a:stretch>
                      <a:fillRect/>
                    </a:stretch>
                  </pic:blipFill>
                  <pic:spPr>
                    <a:xfrm>
                      <a:off x="0" y="0"/>
                      <a:ext cx="5400000" cy="3898663"/>
                    </a:xfrm>
                    <a:prstGeom prst="rect">
                      <a:avLst/>
                    </a:prstGeom>
                    <a:noFill/>
                    <a:ln>
                      <a:noFill/>
                    </a:ln>
                  </pic:spPr>
                </pic:pic>
              </a:graphicData>
            </a:graphic>
          </wp:inline>
        </w:drawing>
      </w:r>
    </w:p>
    <w:p w14:paraId="24659A5A" w14:textId="77777777" w:rsidR="00D91720" w:rsidRDefault="00000000">
      <w:pPr>
        <w:spacing w:before="160" w:after="60" w:line="480" w:lineRule="auto"/>
        <w:jc w:val="left"/>
        <w:rPr>
          <w:rFonts w:ascii="Arial" w:hAnsi="Arial" w:cs="Arial"/>
          <w:szCs w:val="21"/>
        </w:rPr>
      </w:pPr>
      <w:r>
        <w:rPr>
          <w:rFonts w:ascii="Arial" w:eastAsia="Arial" w:hAnsi="Arial" w:cs="Arial"/>
          <w:b/>
          <w:bCs/>
          <w:szCs w:val="21"/>
        </w:rPr>
        <w:t xml:space="preserve">Supplementary Fig. 8 </w:t>
      </w:r>
      <w:r>
        <w:rPr>
          <w:rFonts w:ascii="Arial" w:eastAsia="Arial" w:hAnsi="Arial" w:cs="Arial"/>
          <w:szCs w:val="21"/>
        </w:rPr>
        <w:t xml:space="preserve">| </w:t>
      </w:r>
      <w:r>
        <w:rPr>
          <w:rFonts w:ascii="Arial" w:eastAsia="Arial" w:hAnsi="Arial" w:cs="Arial"/>
          <w:szCs w:val="21"/>
          <w:vertAlign w:val="superscript"/>
        </w:rPr>
        <w:t>1</w:t>
      </w:r>
      <w:r>
        <w:rPr>
          <w:rFonts w:ascii="Arial" w:eastAsia="Arial" w:hAnsi="Arial" w:cs="Arial"/>
          <w:szCs w:val="21"/>
        </w:rPr>
        <w:t>H NMR spectrum of polymerization of BFDO (10 mg mL</w:t>
      </w:r>
      <w:r>
        <w:rPr>
          <w:rFonts w:ascii="Arial" w:eastAsia="Arial" w:hAnsi="Arial" w:cs="Arial"/>
          <w:szCs w:val="21"/>
          <w:vertAlign w:val="superscript"/>
        </w:rPr>
        <w:t>−1</w:t>
      </w:r>
      <w:r>
        <w:rPr>
          <w:rFonts w:ascii="Arial" w:eastAsia="Arial" w:hAnsi="Arial" w:cs="Arial"/>
          <w:szCs w:val="21"/>
        </w:rPr>
        <w:t>) with S</w:t>
      </w:r>
      <w:r>
        <w:rPr>
          <w:rFonts w:ascii="Arial" w:eastAsia="Arial" w:hAnsi="Arial" w:cs="Arial"/>
          <w:szCs w:val="21"/>
          <w:vertAlign w:val="subscript"/>
        </w:rPr>
        <w:t>8</w:t>
      </w:r>
      <w:r>
        <w:rPr>
          <w:rFonts w:ascii="Arial" w:eastAsia="Arial" w:hAnsi="Arial" w:cs="Arial"/>
          <w:szCs w:val="21"/>
        </w:rPr>
        <w:t xml:space="preserve"> (2 eq. S) in DMSO-</w:t>
      </w:r>
      <w:r>
        <w:rPr>
          <w:rFonts w:ascii="Arial" w:eastAsia="Arial" w:hAnsi="Arial" w:cs="Arial"/>
          <w:i/>
          <w:szCs w:val="21"/>
        </w:rPr>
        <w:t>d</w:t>
      </w:r>
      <w:r>
        <w:rPr>
          <w:rFonts w:ascii="Arial" w:eastAsia="Arial" w:hAnsi="Arial" w:cs="Arial"/>
          <w:i/>
          <w:szCs w:val="21"/>
          <w:vertAlign w:val="subscript"/>
        </w:rPr>
        <w:t>6</w:t>
      </w:r>
      <w:r>
        <w:rPr>
          <w:rFonts w:ascii="Arial" w:eastAsia="Arial" w:hAnsi="Arial" w:cs="Arial"/>
          <w:szCs w:val="21"/>
        </w:rPr>
        <w:t xml:space="preserve"> at 120 °C for different time under nitrogen. TMB was used as a reference. The reaction mixture formed gel after 3 hours.</w:t>
      </w:r>
      <w:bookmarkStart w:id="9" w:name="OLE_LINK26"/>
      <w:bookmarkEnd w:id="9"/>
    </w:p>
    <w:p w14:paraId="68DF41B7" w14:textId="77777777" w:rsidR="00D91720" w:rsidRDefault="00D91720">
      <w:pPr>
        <w:spacing w:line="480" w:lineRule="auto"/>
        <w:rPr>
          <w:rFonts w:ascii="Arial" w:hAnsi="Arial" w:cs="Arial"/>
        </w:rPr>
      </w:pPr>
    </w:p>
    <w:p w14:paraId="57E8ED35" w14:textId="77777777" w:rsidR="00D91720" w:rsidRDefault="00000000" w:rsidP="00AC4439">
      <w:pPr>
        <w:spacing w:line="480" w:lineRule="auto"/>
        <w:jc w:val="center"/>
        <w:rPr>
          <w:rFonts w:ascii="Arial" w:hAnsi="Arial" w:cs="Arial"/>
        </w:rPr>
      </w:pPr>
      <w:r>
        <w:rPr>
          <w:noProof/>
        </w:rPr>
        <w:lastRenderedPageBreak/>
        <w:drawing>
          <wp:inline distT="0" distB="0" distL="114300" distR="114300" wp14:anchorId="049C9D23" wp14:editId="0744EC35">
            <wp:extent cx="5400000" cy="3932651"/>
            <wp:effectExtent l="0" t="0" r="0" b="0"/>
            <wp:docPr id="4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0"/>
                    <pic:cNvPicPr>
                      <a:picLocks noChangeAspect="1"/>
                    </pic:cNvPicPr>
                  </pic:nvPicPr>
                  <pic:blipFill>
                    <a:blip r:embed="rId18"/>
                    <a:stretch>
                      <a:fillRect/>
                    </a:stretch>
                  </pic:blipFill>
                  <pic:spPr>
                    <a:xfrm>
                      <a:off x="0" y="0"/>
                      <a:ext cx="5400000" cy="3932651"/>
                    </a:xfrm>
                    <a:prstGeom prst="rect">
                      <a:avLst/>
                    </a:prstGeom>
                    <a:noFill/>
                    <a:ln>
                      <a:noFill/>
                    </a:ln>
                  </pic:spPr>
                </pic:pic>
              </a:graphicData>
            </a:graphic>
          </wp:inline>
        </w:drawing>
      </w:r>
    </w:p>
    <w:p w14:paraId="1DE10164" w14:textId="77777777" w:rsidR="00D91720" w:rsidRDefault="00000000">
      <w:pPr>
        <w:spacing w:before="160" w:after="60" w:line="480" w:lineRule="auto"/>
        <w:jc w:val="left"/>
        <w:rPr>
          <w:rFonts w:ascii="Arial" w:hAnsi="Arial" w:cs="Arial"/>
          <w:szCs w:val="21"/>
        </w:rPr>
      </w:pPr>
      <w:r>
        <w:rPr>
          <w:rFonts w:ascii="Arial" w:eastAsia="Arial" w:hAnsi="Arial" w:cs="Arial"/>
          <w:b/>
          <w:bCs/>
          <w:szCs w:val="21"/>
        </w:rPr>
        <w:t>Supplementary Fig. 9</w:t>
      </w:r>
      <w:r>
        <w:rPr>
          <w:rFonts w:ascii="Arial" w:eastAsia="Arial" w:hAnsi="Arial" w:cs="Arial"/>
          <w:szCs w:val="21"/>
        </w:rPr>
        <w:t xml:space="preserve"> | </w:t>
      </w:r>
      <w:r>
        <w:rPr>
          <w:rFonts w:ascii="Arial" w:eastAsia="Arial" w:hAnsi="Arial" w:cs="Arial"/>
          <w:szCs w:val="21"/>
          <w:vertAlign w:val="superscript"/>
        </w:rPr>
        <w:t>1</w:t>
      </w:r>
      <w:r>
        <w:rPr>
          <w:rFonts w:ascii="Arial" w:eastAsia="Arial" w:hAnsi="Arial" w:cs="Arial"/>
          <w:szCs w:val="21"/>
        </w:rPr>
        <w:t>H NMR spectrum of polymerization of BFDO (5 mg mL</w:t>
      </w:r>
      <w:r>
        <w:rPr>
          <w:rFonts w:ascii="Arial" w:eastAsia="Arial" w:hAnsi="Arial" w:cs="Arial"/>
          <w:szCs w:val="21"/>
          <w:vertAlign w:val="superscript"/>
        </w:rPr>
        <w:t>−1</w:t>
      </w:r>
      <w:r>
        <w:rPr>
          <w:rFonts w:ascii="Arial" w:eastAsia="Arial" w:hAnsi="Arial" w:cs="Arial"/>
          <w:szCs w:val="21"/>
        </w:rPr>
        <w:t>) with S</w:t>
      </w:r>
      <w:r>
        <w:rPr>
          <w:rFonts w:ascii="Arial" w:eastAsia="Arial" w:hAnsi="Arial" w:cs="Arial"/>
          <w:szCs w:val="21"/>
          <w:vertAlign w:val="subscript"/>
        </w:rPr>
        <w:t>8</w:t>
      </w:r>
      <w:r>
        <w:rPr>
          <w:rFonts w:ascii="Arial" w:eastAsia="Arial" w:hAnsi="Arial" w:cs="Arial"/>
          <w:szCs w:val="21"/>
        </w:rPr>
        <w:t xml:space="preserve"> (0.1 eq. S) in DMSO-</w:t>
      </w:r>
      <w:r>
        <w:rPr>
          <w:rFonts w:ascii="Arial" w:eastAsia="Arial" w:hAnsi="Arial" w:cs="Arial"/>
          <w:i/>
          <w:szCs w:val="21"/>
        </w:rPr>
        <w:t>d</w:t>
      </w:r>
      <w:r>
        <w:rPr>
          <w:rFonts w:ascii="Arial" w:eastAsia="Arial" w:hAnsi="Arial" w:cs="Arial"/>
          <w:i/>
          <w:szCs w:val="21"/>
          <w:vertAlign w:val="subscript"/>
        </w:rPr>
        <w:t>6</w:t>
      </w:r>
      <w:r>
        <w:rPr>
          <w:rFonts w:ascii="Arial" w:eastAsia="Arial" w:hAnsi="Arial" w:cs="Arial"/>
          <w:szCs w:val="21"/>
        </w:rPr>
        <w:t xml:space="preserve"> at 120 °C for different time under nitrogen. TMB was used as a reference.</w:t>
      </w:r>
    </w:p>
    <w:p w14:paraId="5BFF2BD3" w14:textId="77777777" w:rsidR="00D91720" w:rsidRDefault="00D91720">
      <w:pPr>
        <w:spacing w:line="480" w:lineRule="auto"/>
        <w:rPr>
          <w:rFonts w:ascii="Arial" w:hAnsi="Arial" w:cs="Arial"/>
          <w:szCs w:val="21"/>
        </w:rPr>
      </w:pPr>
    </w:p>
    <w:p w14:paraId="674116F7" w14:textId="77777777" w:rsidR="00D91720" w:rsidRDefault="00000000" w:rsidP="00AC4439">
      <w:pPr>
        <w:spacing w:line="480" w:lineRule="auto"/>
        <w:jc w:val="center"/>
        <w:rPr>
          <w:rFonts w:ascii="Arial" w:hAnsi="Arial" w:cs="Arial"/>
        </w:rPr>
      </w:pPr>
      <w:r>
        <w:rPr>
          <w:noProof/>
        </w:rPr>
        <w:lastRenderedPageBreak/>
        <w:drawing>
          <wp:inline distT="0" distB="0" distL="114300" distR="114300" wp14:anchorId="7A267256" wp14:editId="2FFD3937">
            <wp:extent cx="5400000" cy="4079156"/>
            <wp:effectExtent l="0" t="0" r="0" b="0"/>
            <wp:docPr id="4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1"/>
                    <pic:cNvPicPr>
                      <a:picLocks noChangeAspect="1"/>
                    </pic:cNvPicPr>
                  </pic:nvPicPr>
                  <pic:blipFill>
                    <a:blip r:embed="rId19"/>
                    <a:stretch>
                      <a:fillRect/>
                    </a:stretch>
                  </pic:blipFill>
                  <pic:spPr>
                    <a:xfrm>
                      <a:off x="0" y="0"/>
                      <a:ext cx="5400000" cy="4079156"/>
                    </a:xfrm>
                    <a:prstGeom prst="rect">
                      <a:avLst/>
                    </a:prstGeom>
                    <a:noFill/>
                    <a:ln>
                      <a:noFill/>
                    </a:ln>
                  </pic:spPr>
                </pic:pic>
              </a:graphicData>
            </a:graphic>
          </wp:inline>
        </w:drawing>
      </w:r>
    </w:p>
    <w:p w14:paraId="471AEF5A" w14:textId="77777777" w:rsidR="00D91720" w:rsidRDefault="00000000">
      <w:pPr>
        <w:spacing w:before="160" w:after="60" w:line="480" w:lineRule="auto"/>
        <w:jc w:val="left"/>
        <w:rPr>
          <w:rFonts w:ascii="Arial" w:hAnsi="Arial" w:cs="Arial"/>
          <w:szCs w:val="21"/>
        </w:rPr>
      </w:pPr>
      <w:r>
        <w:rPr>
          <w:rFonts w:ascii="Arial" w:eastAsia="Arial" w:hAnsi="Arial" w:cs="Arial"/>
          <w:b/>
          <w:bCs/>
          <w:szCs w:val="21"/>
        </w:rPr>
        <w:t xml:space="preserve">Supplementary Fig. 10 </w:t>
      </w:r>
      <w:r>
        <w:rPr>
          <w:rFonts w:ascii="Arial" w:eastAsia="Arial" w:hAnsi="Arial" w:cs="Arial"/>
          <w:szCs w:val="21"/>
        </w:rPr>
        <w:t xml:space="preserve">| </w:t>
      </w:r>
      <w:r>
        <w:rPr>
          <w:rFonts w:ascii="Arial" w:eastAsia="Arial" w:hAnsi="Arial" w:cs="Arial"/>
          <w:szCs w:val="21"/>
          <w:vertAlign w:val="superscript"/>
        </w:rPr>
        <w:t>1</w:t>
      </w:r>
      <w:r>
        <w:rPr>
          <w:rFonts w:ascii="Arial" w:eastAsia="Arial" w:hAnsi="Arial" w:cs="Arial"/>
          <w:szCs w:val="21"/>
        </w:rPr>
        <w:t>H NMR spectrum of polymerization of BFDO (5 mg mL</w:t>
      </w:r>
      <w:r>
        <w:rPr>
          <w:rFonts w:ascii="Arial" w:eastAsia="Arial" w:hAnsi="Arial" w:cs="Arial"/>
          <w:szCs w:val="21"/>
          <w:vertAlign w:val="superscript"/>
        </w:rPr>
        <w:t>−1</w:t>
      </w:r>
      <w:r>
        <w:rPr>
          <w:rFonts w:ascii="Arial" w:eastAsia="Arial" w:hAnsi="Arial" w:cs="Arial"/>
          <w:szCs w:val="21"/>
        </w:rPr>
        <w:t>) with S</w:t>
      </w:r>
      <w:r>
        <w:rPr>
          <w:rFonts w:ascii="Arial" w:eastAsia="Arial" w:hAnsi="Arial" w:cs="Arial"/>
          <w:szCs w:val="21"/>
          <w:vertAlign w:val="subscript"/>
        </w:rPr>
        <w:t>8</w:t>
      </w:r>
      <w:r>
        <w:rPr>
          <w:rFonts w:ascii="Arial" w:eastAsia="Arial" w:hAnsi="Arial" w:cs="Arial"/>
          <w:szCs w:val="21"/>
        </w:rPr>
        <w:t xml:space="preserve"> (2 eq. S) in DMSO-</w:t>
      </w:r>
      <w:r>
        <w:rPr>
          <w:rFonts w:ascii="Arial" w:eastAsia="Arial" w:hAnsi="Arial" w:cs="Arial"/>
          <w:i/>
          <w:szCs w:val="21"/>
        </w:rPr>
        <w:t>d</w:t>
      </w:r>
      <w:r>
        <w:rPr>
          <w:rFonts w:ascii="Arial" w:eastAsia="Arial" w:hAnsi="Arial" w:cs="Arial"/>
          <w:i/>
          <w:szCs w:val="21"/>
          <w:vertAlign w:val="subscript"/>
        </w:rPr>
        <w:t>6</w:t>
      </w:r>
      <w:r>
        <w:rPr>
          <w:rFonts w:ascii="Arial" w:eastAsia="Arial" w:hAnsi="Arial" w:cs="Arial"/>
          <w:szCs w:val="21"/>
        </w:rPr>
        <w:t xml:space="preserve"> at 120 °C for different time under nitrogen. TMB was used as a reference.</w:t>
      </w:r>
      <w:bookmarkStart w:id="10" w:name="OLE_LINK29"/>
      <w:bookmarkEnd w:id="10"/>
    </w:p>
    <w:p w14:paraId="7DFC2DCD" w14:textId="77777777" w:rsidR="004563D3" w:rsidRPr="004563D3" w:rsidRDefault="004563D3">
      <w:pPr>
        <w:spacing w:before="160" w:after="60" w:line="480" w:lineRule="auto"/>
        <w:jc w:val="left"/>
        <w:rPr>
          <w:rFonts w:ascii="Arial" w:hAnsi="Arial" w:cs="Arial"/>
          <w:szCs w:val="21"/>
        </w:rPr>
      </w:pPr>
    </w:p>
    <w:p w14:paraId="6F5D1F91" w14:textId="77777777" w:rsidR="00D91720" w:rsidRDefault="00D91720">
      <w:pPr>
        <w:spacing w:line="480" w:lineRule="auto"/>
        <w:rPr>
          <w:rFonts w:ascii="Arial" w:hAnsi="Arial" w:cs="Arial"/>
        </w:rPr>
      </w:pPr>
    </w:p>
    <w:p w14:paraId="6290EFA4" w14:textId="77777777" w:rsidR="00D91720" w:rsidRDefault="00000000">
      <w:pPr>
        <w:spacing w:line="480" w:lineRule="auto"/>
        <w:jc w:val="center"/>
        <w:rPr>
          <w:rFonts w:ascii="Arial" w:hAnsi="Arial" w:cs="Arial"/>
        </w:rPr>
      </w:pPr>
      <w:r>
        <w:rPr>
          <w:noProof/>
        </w:rPr>
        <w:lastRenderedPageBreak/>
        <w:drawing>
          <wp:inline distT="0" distB="0" distL="114300" distR="114300" wp14:anchorId="2088C315" wp14:editId="39B0B6C6">
            <wp:extent cx="5400000" cy="3330077"/>
            <wp:effectExtent l="0" t="0" r="0" b="0"/>
            <wp:docPr id="4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2"/>
                    <pic:cNvPicPr>
                      <a:picLocks noChangeAspect="1"/>
                    </pic:cNvPicPr>
                  </pic:nvPicPr>
                  <pic:blipFill>
                    <a:blip r:embed="rId20"/>
                    <a:stretch>
                      <a:fillRect/>
                    </a:stretch>
                  </pic:blipFill>
                  <pic:spPr>
                    <a:xfrm>
                      <a:off x="0" y="0"/>
                      <a:ext cx="5400000" cy="3330077"/>
                    </a:xfrm>
                    <a:prstGeom prst="rect">
                      <a:avLst/>
                    </a:prstGeom>
                    <a:noFill/>
                    <a:ln>
                      <a:noFill/>
                    </a:ln>
                  </pic:spPr>
                </pic:pic>
              </a:graphicData>
            </a:graphic>
          </wp:inline>
        </w:drawing>
      </w:r>
    </w:p>
    <w:p w14:paraId="6D464B0E" w14:textId="77777777" w:rsidR="00D91720" w:rsidRDefault="00000000">
      <w:pPr>
        <w:spacing w:before="160" w:after="60" w:line="480" w:lineRule="auto"/>
        <w:jc w:val="left"/>
        <w:rPr>
          <w:rFonts w:ascii="Arial" w:hAnsi="Arial" w:cs="Arial"/>
          <w:szCs w:val="21"/>
        </w:rPr>
      </w:pPr>
      <w:r>
        <w:rPr>
          <w:rFonts w:ascii="Arial" w:eastAsia="Arial" w:hAnsi="Arial" w:cs="Arial"/>
          <w:b/>
          <w:bCs/>
          <w:szCs w:val="21"/>
        </w:rPr>
        <w:t>Supplementary Fig. 11</w:t>
      </w:r>
      <w:r>
        <w:rPr>
          <w:rFonts w:ascii="Arial" w:eastAsia="Arial" w:hAnsi="Arial" w:cs="Arial"/>
          <w:szCs w:val="21"/>
        </w:rPr>
        <w:t xml:space="preserve"> | Plots of monomer conversions with times under different monomer concentrations and different S</w:t>
      </w:r>
      <w:r>
        <w:rPr>
          <w:rFonts w:ascii="Arial" w:eastAsia="Arial" w:hAnsi="Arial" w:cs="Arial"/>
          <w:szCs w:val="21"/>
          <w:vertAlign w:val="subscript"/>
        </w:rPr>
        <w:t>8</w:t>
      </w:r>
      <w:r>
        <w:rPr>
          <w:rFonts w:ascii="Arial" w:eastAsia="Arial" w:hAnsi="Arial" w:cs="Arial"/>
          <w:szCs w:val="21"/>
        </w:rPr>
        <w:t xml:space="preserve"> loadings. (a-c) 5 mg mL</w:t>
      </w:r>
      <w:r>
        <w:rPr>
          <w:rFonts w:ascii="Arial" w:eastAsia="Arial" w:hAnsi="Arial" w:cs="Arial"/>
          <w:szCs w:val="21"/>
          <w:vertAlign w:val="superscript"/>
        </w:rPr>
        <w:t>−1</w:t>
      </w:r>
      <w:r>
        <w:rPr>
          <w:rFonts w:ascii="Arial" w:eastAsia="Arial" w:hAnsi="Arial" w:cs="Arial"/>
          <w:szCs w:val="21"/>
        </w:rPr>
        <w:t xml:space="preserve"> (d-f) 10 mg mL</w:t>
      </w:r>
      <w:r>
        <w:rPr>
          <w:rFonts w:ascii="Arial" w:eastAsia="Arial" w:hAnsi="Arial" w:cs="Arial"/>
          <w:szCs w:val="21"/>
          <w:vertAlign w:val="superscript"/>
        </w:rPr>
        <w:t>−1</w:t>
      </w:r>
      <w:r>
        <w:rPr>
          <w:rFonts w:ascii="Arial" w:eastAsia="Arial" w:hAnsi="Arial" w:cs="Arial"/>
          <w:szCs w:val="21"/>
        </w:rPr>
        <w:t xml:space="preserve"> (Polymerization conditions: 120 °C)</w:t>
      </w:r>
      <w:bookmarkStart w:id="11" w:name="OLE_LINK27"/>
      <w:bookmarkEnd w:id="11"/>
    </w:p>
    <w:p w14:paraId="3CBA482E" w14:textId="77777777" w:rsidR="00D91720" w:rsidRDefault="00D91720">
      <w:pPr>
        <w:spacing w:line="480" w:lineRule="auto"/>
        <w:rPr>
          <w:rFonts w:ascii="Arial" w:hAnsi="Arial" w:cs="Arial"/>
        </w:rPr>
      </w:pPr>
    </w:p>
    <w:p w14:paraId="516FDC5C" w14:textId="77777777" w:rsidR="00D91720" w:rsidRDefault="00000000" w:rsidP="00AC4439">
      <w:pPr>
        <w:spacing w:line="480" w:lineRule="auto"/>
        <w:jc w:val="center"/>
        <w:rPr>
          <w:rFonts w:ascii="Arial" w:hAnsi="Arial" w:cs="Arial"/>
        </w:rPr>
      </w:pPr>
      <w:r>
        <w:rPr>
          <w:noProof/>
        </w:rPr>
        <w:drawing>
          <wp:inline distT="0" distB="0" distL="0" distR="0" wp14:anchorId="4B60A1F8" wp14:editId="55329157">
            <wp:extent cx="5274310" cy="2907030"/>
            <wp:effectExtent l="0" t="0" r="0" b="0"/>
            <wp:docPr id="5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1"/>
                    <pic:cNvPicPr>
                      <a:picLocks noChangeAspect="1"/>
                    </pic:cNvPicPr>
                  </pic:nvPicPr>
                  <pic:blipFill>
                    <a:blip r:embed="rId21"/>
                    <a:stretch>
                      <a:fillRect/>
                    </a:stretch>
                  </pic:blipFill>
                  <pic:spPr>
                    <a:xfrm>
                      <a:off x="0" y="0"/>
                      <a:ext cx="5274310" cy="2907030"/>
                    </a:xfrm>
                    <a:prstGeom prst="rect">
                      <a:avLst/>
                    </a:prstGeom>
                  </pic:spPr>
                </pic:pic>
              </a:graphicData>
            </a:graphic>
          </wp:inline>
        </w:drawing>
      </w:r>
    </w:p>
    <w:p w14:paraId="4B65927C" w14:textId="1CDFB2EB" w:rsidR="00D91720" w:rsidRDefault="00000000">
      <w:pPr>
        <w:spacing w:line="480" w:lineRule="auto"/>
        <w:rPr>
          <w:rFonts w:ascii="Arial" w:hAnsi="Arial" w:cs="Arial"/>
          <w:szCs w:val="21"/>
        </w:rPr>
      </w:pPr>
      <w:r>
        <w:rPr>
          <w:rFonts w:ascii="Arial" w:eastAsia="Arial" w:hAnsi="Arial" w:cs="Arial"/>
          <w:b/>
          <w:bCs/>
          <w:szCs w:val="21"/>
        </w:rPr>
        <w:t xml:space="preserve">Supplementary Fig. 12 | </w:t>
      </w:r>
      <w:r w:rsidR="00E93B23" w:rsidRPr="00E93B23">
        <w:rPr>
          <w:rFonts w:ascii="Arial" w:eastAsia="Arial" w:hAnsi="Arial" w:cs="Arial"/>
          <w:szCs w:val="21"/>
        </w:rPr>
        <w:t>¹H NMR spectra of the crude mixture after 5 h (1 eq. S). Complete monomer conversion is reached within 5 h; the peak at 2.01 ppm is assigned to DMS</w:t>
      </w:r>
      <w:r>
        <w:rPr>
          <w:rFonts w:ascii="Arial" w:eastAsia="Arial" w:hAnsi="Arial" w:cs="Arial"/>
          <w:szCs w:val="21"/>
        </w:rPr>
        <w:fldChar w:fldCharType="begin"/>
      </w:r>
      <w:r>
        <w:rPr>
          <w:rFonts w:ascii="Arial" w:eastAsia="Arial" w:hAnsi="Arial" w:cs="Arial"/>
          <w:szCs w:val="21"/>
        </w:rPr>
        <w:instrText xml:space="preserve"> ADDIN EN.CITE &lt;EndNote&gt;&lt;Cite&gt;&lt;Author&gt;Huang&lt;/Author&gt;&lt;Year&gt;2024&lt;/Year&gt;&lt;RecNum&gt;48&lt;/RecNum&gt;&lt;DisplayText&gt;&lt;style face="superscript"&gt;[2]&lt;/style&gt;&lt;/DisplayText&gt;&lt;record&gt;&lt;rec-number&gt;48&lt;/rec-number&gt;&lt;foreign-keys&gt;&lt;key app="EN" db-id="9r505xwvq2zsspe29ropxarbpdv50aaf9ets" timestamp="1765091568"&gt;48&lt;/key&gt;&lt;/foreign-keys&gt;&lt;ref-type name="Journal Article"&gt;17&lt;/ref-type&gt;&lt;contributors&gt;&lt;authors&gt;&lt;author&gt;Huang, Yuzhang&lt;/author&gt;&lt;author&gt;Yu, Yongjiang&lt;/author&gt;&lt;author&gt;Hu, Rongrong&lt;/author&gt;&lt;author&gt;Tang, Ben Zhong&lt;/author&gt;&lt;/authors&gt;&lt;/contributors&gt;&lt;titles&gt;&lt;title&gt;Multicomponent Polymerizations of Elemental Sulfur, CH2Cl2, and Aromatic Amines toward Chemically Recyclable Functional Aromatic Polythioureas&lt;/title&gt;&lt;secondary-title&gt;Journal of the American Chemical Society&lt;/secondary-title&gt;&lt;/titles&gt;&lt;periodical&gt;&lt;full-title&gt;Journal of the American Chemical Society&lt;/full-title&gt;&lt;/periodical&gt;&lt;pages&gt;14685-14696&lt;/pages&gt;&lt;volume&gt;146&lt;/volume&gt;&lt;number&gt;21&lt;/number&gt;&lt;section&gt;14685&lt;/section&gt;&lt;dates&gt;&lt;year&gt;2024&lt;/year&gt;&lt;/dates&gt;&lt;isbn&gt;0002-7863&amp;#xD;1520-5126&lt;/isbn&gt;&lt;urls&gt;&lt;/urls&gt;&lt;electronic-resource-num&gt;10.1021/jacs.4c02155&lt;/electronic-resource-num&gt;&lt;/record&gt;&lt;/Cite&gt;&lt;/EndNote&gt;</w:instrText>
      </w:r>
      <w:r>
        <w:rPr>
          <w:rFonts w:ascii="Arial" w:eastAsia="Arial" w:hAnsi="Arial" w:cs="Arial"/>
          <w:szCs w:val="21"/>
        </w:rPr>
        <w:fldChar w:fldCharType="separate"/>
      </w:r>
      <w:r>
        <w:rPr>
          <w:rFonts w:ascii="Arial" w:eastAsia="Arial" w:hAnsi="Arial" w:cs="Arial"/>
          <w:szCs w:val="21"/>
          <w:vertAlign w:val="superscript"/>
        </w:rPr>
        <w:t>[2]</w:t>
      </w:r>
      <w:r>
        <w:rPr>
          <w:rFonts w:ascii="Arial" w:eastAsia="Arial" w:hAnsi="Arial" w:cs="Arial"/>
          <w:szCs w:val="21"/>
        </w:rPr>
        <w:fldChar w:fldCharType="end"/>
      </w:r>
      <w:r>
        <w:rPr>
          <w:rFonts w:ascii="Arial" w:eastAsia="Arial" w:hAnsi="Arial" w:cs="Arial"/>
          <w:szCs w:val="21"/>
        </w:rPr>
        <w:t>.</w:t>
      </w:r>
    </w:p>
    <w:p w14:paraId="3CF8B0FB" w14:textId="77777777" w:rsidR="00E93B23" w:rsidRDefault="00E93B23">
      <w:pPr>
        <w:spacing w:before="160" w:after="60" w:line="480" w:lineRule="auto"/>
        <w:jc w:val="left"/>
        <w:rPr>
          <w:rFonts w:ascii="Arial" w:hAnsi="Arial" w:cs="Arial"/>
          <w:b/>
          <w:bCs/>
          <w:szCs w:val="21"/>
        </w:rPr>
      </w:pPr>
    </w:p>
    <w:p w14:paraId="3B2748C7" w14:textId="4CDFB391" w:rsidR="00D91720" w:rsidRDefault="00000000">
      <w:pPr>
        <w:spacing w:before="160" w:after="60" w:line="480" w:lineRule="auto"/>
        <w:jc w:val="left"/>
        <w:rPr>
          <w:rFonts w:ascii="Arial" w:hAnsi="Arial" w:cs="Arial"/>
          <w:szCs w:val="21"/>
        </w:rPr>
      </w:pPr>
      <w:r w:rsidRPr="00C351DB">
        <w:rPr>
          <w:rFonts w:ascii="Arial" w:eastAsia="Arial" w:hAnsi="Arial" w:cs="Arial"/>
          <w:b/>
          <w:bCs/>
          <w:szCs w:val="21"/>
        </w:rPr>
        <w:lastRenderedPageBreak/>
        <w:t xml:space="preserve">Supplementary Table 3 </w:t>
      </w:r>
      <w:r>
        <w:rPr>
          <w:rFonts w:ascii="Arial" w:eastAsia="Arial" w:hAnsi="Arial" w:cs="Arial"/>
          <w:szCs w:val="21"/>
        </w:rPr>
        <w:t xml:space="preserve">| Elemental </w:t>
      </w:r>
      <w:r>
        <w:rPr>
          <w:rFonts w:ascii="Arial" w:eastAsia="Arial" w:hAnsi="Arial" w:cs="Arial" w:hint="eastAsia"/>
          <w:szCs w:val="21"/>
        </w:rPr>
        <w:t>a</w:t>
      </w:r>
      <w:r>
        <w:rPr>
          <w:rFonts w:ascii="Arial" w:eastAsia="Arial" w:hAnsi="Arial" w:cs="Arial"/>
          <w:szCs w:val="21"/>
        </w:rPr>
        <w:t>nalysis (</w:t>
      </w:r>
      <w:proofErr w:type="spellStart"/>
      <w:r>
        <w:rPr>
          <w:rFonts w:ascii="Arial" w:eastAsia="Arial" w:hAnsi="Arial" w:cs="Arial"/>
          <w:szCs w:val="21"/>
        </w:rPr>
        <w:t>wt</w:t>
      </w:r>
      <w:proofErr w:type="spellEnd"/>
      <w:r>
        <w:rPr>
          <w:rFonts w:ascii="Arial" w:eastAsia="Arial" w:hAnsi="Arial" w:cs="Arial"/>
          <w:szCs w:val="21"/>
        </w:rPr>
        <w:t xml:space="preserve">%) of </w:t>
      </w:r>
      <w:r>
        <w:rPr>
          <w:rFonts w:ascii="Arial" w:eastAsia="Arial" w:hAnsi="Arial" w:cs="Arial" w:hint="eastAsia"/>
          <w:szCs w:val="21"/>
        </w:rPr>
        <w:t>p</w:t>
      </w:r>
      <w:r>
        <w:rPr>
          <w:rFonts w:ascii="Arial" w:eastAsia="Arial" w:hAnsi="Arial" w:cs="Arial"/>
          <w:szCs w:val="21"/>
        </w:rPr>
        <w:t xml:space="preserve">olymer </w:t>
      </w:r>
      <w:r>
        <w:rPr>
          <w:rFonts w:ascii="Arial" w:eastAsia="Arial" w:hAnsi="Arial" w:cs="Arial" w:hint="eastAsia"/>
          <w:szCs w:val="21"/>
        </w:rPr>
        <w:t>synthesized with 1 eq. S (as S</w:t>
      </w:r>
      <w:r>
        <w:rPr>
          <w:rFonts w:ascii="Arial" w:eastAsia="Arial" w:hAnsi="Arial" w:cs="Arial" w:hint="eastAsia"/>
          <w:szCs w:val="21"/>
          <w:vertAlign w:val="subscript"/>
        </w:rPr>
        <w:t>8</w:t>
      </w:r>
      <w:r>
        <w:rPr>
          <w:rFonts w:ascii="Arial" w:eastAsia="Arial" w:hAnsi="Arial" w:cs="Arial" w:hint="eastAsia"/>
          <w:szCs w:val="21"/>
        </w:rPr>
        <w:t>)</w:t>
      </w:r>
      <w:r>
        <w:rPr>
          <w:rFonts w:ascii="Arial" w:eastAsia="Arial" w:hAnsi="Arial" w:cs="Arial"/>
          <w:szCs w:val="21"/>
        </w:rPr>
        <w:t xml:space="preserve"> (</w:t>
      </w:r>
      <w:r>
        <w:rPr>
          <w:rFonts w:ascii="Arial" w:eastAsia="Arial" w:hAnsi="Arial" w:cs="Arial" w:hint="eastAsia"/>
          <w:szCs w:val="21"/>
        </w:rPr>
        <w:t>d</w:t>
      </w:r>
      <w:r>
        <w:rPr>
          <w:rFonts w:ascii="Arial" w:eastAsia="Arial" w:hAnsi="Arial" w:cs="Arial"/>
          <w:szCs w:val="21"/>
        </w:rPr>
        <w:t xml:space="preserve">ried by </w:t>
      </w:r>
      <w:r>
        <w:rPr>
          <w:rFonts w:ascii="Arial" w:eastAsia="Arial" w:hAnsi="Arial" w:cs="Arial" w:hint="eastAsia"/>
          <w:szCs w:val="21"/>
        </w:rPr>
        <w:t>f</w:t>
      </w:r>
      <w:r>
        <w:rPr>
          <w:rFonts w:ascii="Arial" w:eastAsia="Arial" w:hAnsi="Arial" w:cs="Arial"/>
          <w:szCs w:val="21"/>
        </w:rPr>
        <w:t xml:space="preserve">iltration after </w:t>
      </w:r>
      <w:r>
        <w:rPr>
          <w:rFonts w:ascii="Arial" w:eastAsia="Arial" w:hAnsi="Arial" w:cs="Arial" w:hint="eastAsia"/>
          <w:szCs w:val="21"/>
        </w:rPr>
        <w:t>p</w:t>
      </w:r>
      <w:r>
        <w:rPr>
          <w:rFonts w:ascii="Arial" w:eastAsia="Arial" w:hAnsi="Arial" w:cs="Arial"/>
          <w:szCs w:val="21"/>
        </w:rPr>
        <w:t>recipitation into isopropanol)</w:t>
      </w:r>
    </w:p>
    <w:tbl>
      <w:tblPr>
        <w:tblW w:w="5000" w:type="pct"/>
        <w:jc w:val="center"/>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2028"/>
        <w:gridCol w:w="1460"/>
        <w:gridCol w:w="1534"/>
        <w:gridCol w:w="1633"/>
        <w:gridCol w:w="1633"/>
        <w:gridCol w:w="1458"/>
      </w:tblGrid>
      <w:tr w:rsidR="00D91720" w14:paraId="675F67C6" w14:textId="77777777">
        <w:trPr>
          <w:trHeight w:val="600"/>
          <w:jc w:val="center"/>
        </w:trPr>
        <w:tc>
          <w:tcPr>
            <w:tcW w:w="1040" w:type="pct"/>
            <w:tcBorders>
              <w:top w:val="nil"/>
              <w:left w:val="nil"/>
              <w:bottom w:val="single" w:sz="8" w:space="0" w:color="000000"/>
              <w:right w:val="nil"/>
            </w:tcBorders>
            <w:shd w:val="clear" w:color="auto" w:fill="FFFFFF"/>
            <w:tcMar>
              <w:top w:w="72" w:type="dxa"/>
              <w:left w:w="144" w:type="dxa"/>
              <w:bottom w:w="72" w:type="dxa"/>
              <w:right w:w="144" w:type="dxa"/>
            </w:tcMar>
          </w:tcPr>
          <w:p w14:paraId="6D1FD8A0" w14:textId="77777777" w:rsidR="00D91720" w:rsidRDefault="00000000">
            <w:pPr>
              <w:spacing w:before="40" w:after="40" w:line="480" w:lineRule="auto"/>
              <w:jc w:val="left"/>
              <w:rPr>
                <w:rFonts w:ascii="Arial" w:hAnsi="Arial" w:cs="Arial"/>
                <w:szCs w:val="21"/>
              </w:rPr>
            </w:pPr>
            <w:r>
              <w:rPr>
                <w:rFonts w:ascii="Arial" w:eastAsia="Arial" w:hAnsi="Arial" w:cs="Arial"/>
                <w:b/>
                <w:sz w:val="18"/>
                <w:szCs w:val="21"/>
              </w:rPr>
              <w:t>Product</w:t>
            </w:r>
          </w:p>
        </w:tc>
        <w:tc>
          <w:tcPr>
            <w:tcW w:w="749" w:type="pct"/>
            <w:tcBorders>
              <w:top w:val="nil"/>
              <w:left w:val="nil"/>
              <w:bottom w:val="single" w:sz="8" w:space="0" w:color="000000"/>
              <w:right w:val="nil"/>
            </w:tcBorders>
            <w:shd w:val="clear" w:color="auto" w:fill="FFFFFF"/>
            <w:tcMar>
              <w:top w:w="72" w:type="dxa"/>
              <w:left w:w="144" w:type="dxa"/>
              <w:bottom w:w="72" w:type="dxa"/>
              <w:right w:w="144" w:type="dxa"/>
            </w:tcMar>
          </w:tcPr>
          <w:p w14:paraId="79C66643" w14:textId="77777777" w:rsidR="00D91720" w:rsidRDefault="00000000">
            <w:pPr>
              <w:spacing w:before="40" w:after="40" w:line="480" w:lineRule="auto"/>
              <w:jc w:val="center"/>
              <w:rPr>
                <w:rFonts w:ascii="Arial" w:hAnsi="Arial" w:cs="Arial"/>
                <w:szCs w:val="21"/>
              </w:rPr>
            </w:pPr>
            <w:r>
              <w:rPr>
                <w:rFonts w:ascii="Arial" w:eastAsia="Arial" w:hAnsi="Arial" w:cs="Arial"/>
                <w:b/>
                <w:sz w:val="18"/>
                <w:szCs w:val="21"/>
              </w:rPr>
              <w:t>C</w:t>
            </w:r>
          </w:p>
        </w:tc>
        <w:tc>
          <w:tcPr>
            <w:tcW w:w="787" w:type="pct"/>
            <w:tcBorders>
              <w:top w:val="nil"/>
              <w:left w:val="nil"/>
              <w:bottom w:val="single" w:sz="8" w:space="0" w:color="000000"/>
              <w:right w:val="nil"/>
            </w:tcBorders>
            <w:shd w:val="clear" w:color="auto" w:fill="FFFFFF"/>
            <w:tcMar>
              <w:top w:w="72" w:type="dxa"/>
              <w:left w:w="144" w:type="dxa"/>
              <w:bottom w:w="72" w:type="dxa"/>
              <w:right w:w="144" w:type="dxa"/>
            </w:tcMar>
          </w:tcPr>
          <w:p w14:paraId="4B4E0729" w14:textId="77777777" w:rsidR="00D91720" w:rsidRDefault="00000000">
            <w:pPr>
              <w:spacing w:before="40" w:after="40" w:line="480" w:lineRule="auto"/>
              <w:jc w:val="center"/>
              <w:rPr>
                <w:rFonts w:ascii="Arial" w:hAnsi="Arial" w:cs="Arial"/>
                <w:szCs w:val="21"/>
              </w:rPr>
            </w:pPr>
            <w:r>
              <w:rPr>
                <w:rFonts w:ascii="Arial" w:eastAsia="Arial" w:hAnsi="Arial" w:cs="Arial"/>
                <w:b/>
                <w:sz w:val="18"/>
                <w:szCs w:val="21"/>
              </w:rPr>
              <w:t>H</w:t>
            </w:r>
          </w:p>
        </w:tc>
        <w:tc>
          <w:tcPr>
            <w:tcW w:w="838" w:type="pct"/>
            <w:tcBorders>
              <w:top w:val="nil"/>
              <w:left w:val="nil"/>
              <w:bottom w:val="single" w:sz="8" w:space="0" w:color="000000"/>
              <w:right w:val="nil"/>
            </w:tcBorders>
            <w:shd w:val="clear" w:color="auto" w:fill="FFFFFF"/>
            <w:tcMar>
              <w:top w:w="72" w:type="dxa"/>
              <w:left w:w="144" w:type="dxa"/>
              <w:bottom w:w="72" w:type="dxa"/>
              <w:right w:w="144" w:type="dxa"/>
            </w:tcMar>
          </w:tcPr>
          <w:p w14:paraId="0B757C40" w14:textId="77777777" w:rsidR="00D91720" w:rsidRDefault="00000000">
            <w:pPr>
              <w:spacing w:before="40" w:after="40" w:line="480" w:lineRule="auto"/>
              <w:jc w:val="center"/>
              <w:rPr>
                <w:rFonts w:ascii="Arial" w:hAnsi="Arial" w:cs="Arial"/>
                <w:szCs w:val="21"/>
              </w:rPr>
            </w:pPr>
            <w:r>
              <w:rPr>
                <w:rFonts w:ascii="Arial" w:eastAsia="Arial" w:hAnsi="Arial" w:cs="Arial"/>
                <w:b/>
                <w:sz w:val="18"/>
                <w:szCs w:val="21"/>
              </w:rPr>
              <w:t>N</w:t>
            </w:r>
          </w:p>
        </w:tc>
        <w:tc>
          <w:tcPr>
            <w:tcW w:w="838" w:type="pct"/>
            <w:tcBorders>
              <w:top w:val="nil"/>
              <w:left w:val="nil"/>
              <w:bottom w:val="single" w:sz="8" w:space="0" w:color="000000"/>
              <w:right w:val="nil"/>
            </w:tcBorders>
            <w:shd w:val="clear" w:color="auto" w:fill="FFFFFF"/>
            <w:tcMar>
              <w:top w:w="72" w:type="dxa"/>
              <w:left w:w="144" w:type="dxa"/>
              <w:bottom w:w="72" w:type="dxa"/>
              <w:right w:w="144" w:type="dxa"/>
            </w:tcMar>
          </w:tcPr>
          <w:p w14:paraId="352C5A40" w14:textId="77777777" w:rsidR="00D91720" w:rsidRDefault="00000000">
            <w:pPr>
              <w:spacing w:before="40" w:after="40" w:line="480" w:lineRule="auto"/>
              <w:jc w:val="center"/>
              <w:rPr>
                <w:rFonts w:ascii="Arial" w:hAnsi="Arial" w:cs="Arial"/>
                <w:szCs w:val="21"/>
              </w:rPr>
            </w:pPr>
            <w:r>
              <w:rPr>
                <w:rFonts w:ascii="Arial" w:eastAsia="Arial" w:hAnsi="Arial" w:cs="Arial"/>
                <w:b/>
                <w:sz w:val="18"/>
                <w:szCs w:val="21"/>
              </w:rPr>
              <w:t>S</w:t>
            </w:r>
          </w:p>
        </w:tc>
        <w:tc>
          <w:tcPr>
            <w:tcW w:w="749" w:type="pct"/>
            <w:tcBorders>
              <w:top w:val="nil"/>
              <w:left w:val="nil"/>
              <w:bottom w:val="single" w:sz="8" w:space="0" w:color="000000"/>
              <w:right w:val="nil"/>
            </w:tcBorders>
            <w:shd w:val="clear" w:color="auto" w:fill="FFFFFF"/>
            <w:tcMar>
              <w:top w:w="72" w:type="dxa"/>
              <w:left w:w="144" w:type="dxa"/>
              <w:bottom w:w="72" w:type="dxa"/>
              <w:right w:w="144" w:type="dxa"/>
            </w:tcMar>
          </w:tcPr>
          <w:p w14:paraId="018F092B" w14:textId="77777777" w:rsidR="00D91720" w:rsidRDefault="00000000">
            <w:pPr>
              <w:spacing w:before="40" w:after="40" w:line="480" w:lineRule="auto"/>
              <w:jc w:val="center"/>
              <w:rPr>
                <w:rFonts w:ascii="Arial" w:hAnsi="Arial" w:cs="Arial"/>
                <w:szCs w:val="21"/>
              </w:rPr>
            </w:pPr>
            <w:r>
              <w:rPr>
                <w:rFonts w:ascii="Arial" w:eastAsia="Arial" w:hAnsi="Arial" w:cs="Arial"/>
                <w:b/>
                <w:sz w:val="18"/>
                <w:szCs w:val="21"/>
              </w:rPr>
              <w:t>O</w:t>
            </w:r>
          </w:p>
        </w:tc>
      </w:tr>
      <w:tr w:rsidR="00D91720" w14:paraId="0239A488" w14:textId="77777777">
        <w:trPr>
          <w:trHeight w:val="600"/>
          <w:jc w:val="center"/>
        </w:trPr>
        <w:tc>
          <w:tcPr>
            <w:tcW w:w="1040" w:type="pct"/>
            <w:tcBorders>
              <w:top w:val="nil"/>
              <w:left w:val="nil"/>
              <w:bottom w:val="nil"/>
              <w:right w:val="nil"/>
            </w:tcBorders>
            <w:shd w:val="clear" w:color="auto" w:fill="FFFFFF"/>
            <w:tcMar>
              <w:top w:w="72" w:type="dxa"/>
              <w:left w:w="144" w:type="dxa"/>
              <w:bottom w:w="72" w:type="dxa"/>
              <w:right w:w="144" w:type="dxa"/>
            </w:tcMar>
          </w:tcPr>
          <w:p w14:paraId="521CF6C3" w14:textId="77777777" w:rsidR="00D91720" w:rsidRDefault="00000000">
            <w:pPr>
              <w:spacing w:before="40" w:after="40" w:line="480" w:lineRule="auto"/>
              <w:jc w:val="left"/>
              <w:rPr>
                <w:rFonts w:ascii="Arial" w:hAnsi="Arial" w:cs="Arial"/>
                <w:szCs w:val="21"/>
              </w:rPr>
            </w:pPr>
            <w:r>
              <w:rPr>
                <w:rFonts w:ascii="Arial" w:eastAsia="Arial" w:hAnsi="Arial" w:cs="Arial"/>
                <w:sz w:val="18"/>
                <w:szCs w:val="21"/>
              </w:rPr>
              <w:t>PBFDO-(S)</w:t>
            </w:r>
          </w:p>
        </w:tc>
        <w:tc>
          <w:tcPr>
            <w:tcW w:w="749" w:type="pct"/>
            <w:tcBorders>
              <w:top w:val="nil"/>
              <w:left w:val="nil"/>
              <w:bottom w:val="nil"/>
              <w:right w:val="nil"/>
            </w:tcBorders>
            <w:shd w:val="clear" w:color="auto" w:fill="FFFFFF"/>
            <w:tcMar>
              <w:top w:w="72" w:type="dxa"/>
              <w:left w:w="144" w:type="dxa"/>
              <w:bottom w:w="72" w:type="dxa"/>
              <w:right w:w="144" w:type="dxa"/>
            </w:tcMar>
          </w:tcPr>
          <w:p w14:paraId="3C33885B" w14:textId="77777777" w:rsidR="00D91720" w:rsidRDefault="00000000">
            <w:pPr>
              <w:spacing w:before="40" w:after="40" w:line="480" w:lineRule="auto"/>
              <w:jc w:val="center"/>
              <w:rPr>
                <w:rFonts w:ascii="Arial" w:hAnsi="Arial" w:cs="Arial"/>
                <w:szCs w:val="21"/>
              </w:rPr>
            </w:pPr>
            <w:r>
              <w:rPr>
                <w:rFonts w:ascii="Arial" w:eastAsia="Arial" w:hAnsi="Arial" w:cs="Arial"/>
                <w:sz w:val="18"/>
                <w:szCs w:val="21"/>
              </w:rPr>
              <w:t>60.64</w:t>
            </w:r>
          </w:p>
        </w:tc>
        <w:tc>
          <w:tcPr>
            <w:tcW w:w="787" w:type="pct"/>
            <w:tcBorders>
              <w:top w:val="nil"/>
              <w:left w:val="nil"/>
              <w:bottom w:val="nil"/>
              <w:right w:val="nil"/>
            </w:tcBorders>
            <w:shd w:val="clear" w:color="auto" w:fill="FFFFFF"/>
            <w:tcMar>
              <w:top w:w="72" w:type="dxa"/>
              <w:left w:w="144" w:type="dxa"/>
              <w:bottom w:w="72" w:type="dxa"/>
              <w:right w:w="144" w:type="dxa"/>
            </w:tcMar>
          </w:tcPr>
          <w:p w14:paraId="2002EC05" w14:textId="77777777" w:rsidR="00D91720" w:rsidRDefault="00000000">
            <w:pPr>
              <w:spacing w:before="40" w:after="40" w:line="480" w:lineRule="auto"/>
              <w:jc w:val="center"/>
              <w:rPr>
                <w:rFonts w:ascii="Arial" w:hAnsi="Arial" w:cs="Arial"/>
                <w:szCs w:val="21"/>
              </w:rPr>
            </w:pPr>
            <w:r>
              <w:rPr>
                <w:rFonts w:ascii="Arial" w:eastAsia="Arial" w:hAnsi="Arial" w:cs="Arial"/>
                <w:sz w:val="18"/>
                <w:szCs w:val="21"/>
              </w:rPr>
              <w:t>2.93</w:t>
            </w:r>
          </w:p>
        </w:tc>
        <w:tc>
          <w:tcPr>
            <w:tcW w:w="838" w:type="pct"/>
            <w:tcBorders>
              <w:top w:val="nil"/>
              <w:left w:val="nil"/>
              <w:bottom w:val="nil"/>
              <w:right w:val="nil"/>
            </w:tcBorders>
            <w:shd w:val="clear" w:color="auto" w:fill="FFFFFF"/>
            <w:tcMar>
              <w:top w:w="72" w:type="dxa"/>
              <w:left w:w="144" w:type="dxa"/>
              <w:bottom w:w="72" w:type="dxa"/>
              <w:right w:w="144" w:type="dxa"/>
            </w:tcMar>
          </w:tcPr>
          <w:p w14:paraId="2B2530F1" w14:textId="77777777" w:rsidR="00D91720" w:rsidRDefault="00000000">
            <w:pPr>
              <w:spacing w:before="40" w:after="40" w:line="480" w:lineRule="auto"/>
              <w:jc w:val="center"/>
              <w:rPr>
                <w:rFonts w:ascii="Arial" w:hAnsi="Arial" w:cs="Arial"/>
                <w:szCs w:val="21"/>
              </w:rPr>
            </w:pPr>
            <w:r>
              <w:rPr>
                <w:rFonts w:ascii="Arial" w:eastAsia="Arial" w:hAnsi="Arial" w:cs="Arial"/>
                <w:sz w:val="18"/>
                <w:szCs w:val="21"/>
              </w:rPr>
              <w:t>0</w:t>
            </w:r>
          </w:p>
        </w:tc>
        <w:tc>
          <w:tcPr>
            <w:tcW w:w="838" w:type="pct"/>
            <w:tcBorders>
              <w:top w:val="nil"/>
              <w:left w:val="nil"/>
              <w:bottom w:val="nil"/>
              <w:right w:val="nil"/>
            </w:tcBorders>
            <w:shd w:val="clear" w:color="auto" w:fill="FFFFFF"/>
            <w:tcMar>
              <w:top w:w="72" w:type="dxa"/>
              <w:left w:w="144" w:type="dxa"/>
              <w:bottom w:w="72" w:type="dxa"/>
              <w:right w:w="144" w:type="dxa"/>
            </w:tcMar>
          </w:tcPr>
          <w:p w14:paraId="4CD35F13" w14:textId="77777777" w:rsidR="00D91720" w:rsidRDefault="00000000">
            <w:pPr>
              <w:spacing w:before="40" w:after="40" w:line="480" w:lineRule="auto"/>
              <w:jc w:val="center"/>
              <w:rPr>
                <w:rFonts w:ascii="Arial" w:hAnsi="Arial" w:cs="Arial"/>
                <w:szCs w:val="21"/>
              </w:rPr>
            </w:pPr>
            <w:r>
              <w:rPr>
                <w:rFonts w:ascii="Arial" w:eastAsia="Arial" w:hAnsi="Arial" w:cs="Arial"/>
                <w:sz w:val="18"/>
                <w:szCs w:val="21"/>
              </w:rPr>
              <w:t>3.01</w:t>
            </w:r>
          </w:p>
        </w:tc>
        <w:tc>
          <w:tcPr>
            <w:tcW w:w="749" w:type="pct"/>
            <w:tcBorders>
              <w:top w:val="nil"/>
              <w:left w:val="nil"/>
              <w:bottom w:val="nil"/>
              <w:right w:val="nil"/>
            </w:tcBorders>
            <w:shd w:val="clear" w:color="auto" w:fill="FFFFFF"/>
            <w:tcMar>
              <w:top w:w="72" w:type="dxa"/>
              <w:left w:w="144" w:type="dxa"/>
              <w:bottom w:w="72" w:type="dxa"/>
              <w:right w:w="144" w:type="dxa"/>
            </w:tcMar>
          </w:tcPr>
          <w:p w14:paraId="63F3275A" w14:textId="77777777" w:rsidR="00D91720" w:rsidRDefault="00000000">
            <w:pPr>
              <w:spacing w:before="40" w:after="40" w:line="480" w:lineRule="auto"/>
              <w:jc w:val="center"/>
              <w:rPr>
                <w:rFonts w:ascii="Arial" w:hAnsi="Arial" w:cs="Arial"/>
                <w:szCs w:val="21"/>
              </w:rPr>
            </w:pPr>
            <w:r>
              <w:rPr>
                <w:rFonts w:ascii="Arial" w:eastAsia="Arial" w:hAnsi="Arial" w:cs="Arial"/>
                <w:sz w:val="18"/>
                <w:szCs w:val="21"/>
              </w:rPr>
              <w:t>33.42</w:t>
            </w:r>
          </w:p>
        </w:tc>
      </w:tr>
      <w:tr w:rsidR="00D91720" w14:paraId="67AF1DAE" w14:textId="77777777">
        <w:trPr>
          <w:trHeight w:val="600"/>
          <w:jc w:val="center"/>
        </w:trPr>
        <w:tc>
          <w:tcPr>
            <w:tcW w:w="1040" w:type="pct"/>
            <w:tcBorders>
              <w:top w:val="nil"/>
              <w:left w:val="nil"/>
              <w:bottom w:val="nil"/>
              <w:right w:val="nil"/>
            </w:tcBorders>
            <w:shd w:val="clear" w:color="auto" w:fill="FFFFFF"/>
            <w:tcMar>
              <w:top w:w="72" w:type="dxa"/>
              <w:left w:w="144" w:type="dxa"/>
              <w:bottom w:w="72" w:type="dxa"/>
              <w:right w:w="144" w:type="dxa"/>
            </w:tcMar>
          </w:tcPr>
          <w:p w14:paraId="78699A0B" w14:textId="77777777" w:rsidR="00D91720" w:rsidRDefault="00000000">
            <w:pPr>
              <w:spacing w:before="40" w:after="40" w:line="480" w:lineRule="auto"/>
              <w:jc w:val="left"/>
              <w:rPr>
                <w:rFonts w:ascii="Arial" w:hAnsi="Arial" w:cs="Arial"/>
                <w:szCs w:val="21"/>
              </w:rPr>
            </w:pPr>
            <w:r>
              <w:rPr>
                <w:rFonts w:ascii="Arial" w:eastAsia="Arial" w:hAnsi="Arial" w:cs="Arial"/>
                <w:sz w:val="18"/>
                <w:szCs w:val="21"/>
              </w:rPr>
              <w:t>theoretical</w:t>
            </w:r>
          </w:p>
        </w:tc>
        <w:tc>
          <w:tcPr>
            <w:tcW w:w="749" w:type="pct"/>
            <w:tcBorders>
              <w:top w:val="nil"/>
              <w:left w:val="nil"/>
              <w:bottom w:val="nil"/>
              <w:right w:val="nil"/>
            </w:tcBorders>
            <w:shd w:val="clear" w:color="auto" w:fill="FFFFFF"/>
            <w:tcMar>
              <w:top w:w="72" w:type="dxa"/>
              <w:left w:w="144" w:type="dxa"/>
              <w:bottom w:w="72" w:type="dxa"/>
              <w:right w:w="144" w:type="dxa"/>
            </w:tcMar>
          </w:tcPr>
          <w:p w14:paraId="06479163" w14:textId="77777777" w:rsidR="00D91720" w:rsidRDefault="00000000">
            <w:pPr>
              <w:spacing w:before="40" w:after="40" w:line="480" w:lineRule="auto"/>
              <w:jc w:val="center"/>
              <w:rPr>
                <w:rFonts w:ascii="Arial" w:hAnsi="Arial" w:cs="Arial"/>
                <w:szCs w:val="21"/>
              </w:rPr>
            </w:pPr>
            <w:r>
              <w:rPr>
                <w:rFonts w:ascii="Arial" w:eastAsia="Arial" w:hAnsi="Arial" w:cs="Arial"/>
                <w:sz w:val="18"/>
                <w:szCs w:val="21"/>
              </w:rPr>
              <w:t>64.30</w:t>
            </w:r>
          </w:p>
        </w:tc>
        <w:tc>
          <w:tcPr>
            <w:tcW w:w="787" w:type="pct"/>
            <w:tcBorders>
              <w:top w:val="nil"/>
              <w:left w:val="nil"/>
              <w:bottom w:val="nil"/>
              <w:right w:val="nil"/>
            </w:tcBorders>
            <w:shd w:val="clear" w:color="auto" w:fill="FFFFFF"/>
            <w:tcMar>
              <w:top w:w="72" w:type="dxa"/>
              <w:left w:w="144" w:type="dxa"/>
              <w:bottom w:w="72" w:type="dxa"/>
              <w:right w:w="144" w:type="dxa"/>
            </w:tcMar>
          </w:tcPr>
          <w:p w14:paraId="02A1310D" w14:textId="77777777" w:rsidR="00D91720" w:rsidRDefault="00000000">
            <w:pPr>
              <w:spacing w:before="40" w:after="40" w:line="480" w:lineRule="auto"/>
              <w:jc w:val="center"/>
              <w:rPr>
                <w:rFonts w:ascii="Arial" w:hAnsi="Arial" w:cs="Arial"/>
                <w:szCs w:val="21"/>
              </w:rPr>
            </w:pPr>
            <w:r>
              <w:rPr>
                <w:rFonts w:ascii="Arial" w:eastAsia="Arial" w:hAnsi="Arial" w:cs="Arial"/>
                <w:sz w:val="18"/>
                <w:szCs w:val="21"/>
              </w:rPr>
              <w:t>1.44</w:t>
            </w:r>
          </w:p>
        </w:tc>
        <w:tc>
          <w:tcPr>
            <w:tcW w:w="838" w:type="pct"/>
            <w:tcBorders>
              <w:top w:val="nil"/>
              <w:left w:val="nil"/>
              <w:bottom w:val="nil"/>
              <w:right w:val="nil"/>
            </w:tcBorders>
            <w:shd w:val="clear" w:color="auto" w:fill="FFFFFF"/>
            <w:tcMar>
              <w:top w:w="72" w:type="dxa"/>
              <w:left w:w="144" w:type="dxa"/>
              <w:bottom w:w="72" w:type="dxa"/>
              <w:right w:w="144" w:type="dxa"/>
            </w:tcMar>
          </w:tcPr>
          <w:p w14:paraId="7CE36808" w14:textId="77777777" w:rsidR="00D91720" w:rsidRDefault="00000000">
            <w:pPr>
              <w:spacing w:before="40" w:after="40" w:line="480" w:lineRule="auto"/>
              <w:jc w:val="center"/>
              <w:rPr>
                <w:rFonts w:ascii="Arial" w:hAnsi="Arial" w:cs="Arial"/>
                <w:szCs w:val="21"/>
              </w:rPr>
            </w:pPr>
            <w:r>
              <w:rPr>
                <w:rFonts w:ascii="Arial" w:eastAsia="Arial" w:hAnsi="Arial" w:cs="Arial"/>
                <w:sz w:val="18"/>
                <w:szCs w:val="21"/>
              </w:rPr>
              <w:t>0</w:t>
            </w:r>
          </w:p>
        </w:tc>
        <w:tc>
          <w:tcPr>
            <w:tcW w:w="838" w:type="pct"/>
            <w:tcBorders>
              <w:top w:val="nil"/>
              <w:left w:val="nil"/>
              <w:bottom w:val="nil"/>
              <w:right w:val="nil"/>
            </w:tcBorders>
            <w:shd w:val="clear" w:color="auto" w:fill="FFFFFF"/>
            <w:tcMar>
              <w:top w:w="72" w:type="dxa"/>
              <w:left w:w="144" w:type="dxa"/>
              <w:bottom w:w="72" w:type="dxa"/>
              <w:right w:w="144" w:type="dxa"/>
            </w:tcMar>
          </w:tcPr>
          <w:p w14:paraId="3B1AF079" w14:textId="77777777" w:rsidR="00D91720" w:rsidRDefault="00000000">
            <w:pPr>
              <w:spacing w:before="40" w:after="40" w:line="480" w:lineRule="auto"/>
              <w:jc w:val="center"/>
              <w:rPr>
                <w:rFonts w:ascii="Arial" w:hAnsi="Arial" w:cs="Arial"/>
                <w:szCs w:val="21"/>
              </w:rPr>
            </w:pPr>
            <w:r>
              <w:rPr>
                <w:rFonts w:ascii="Arial" w:eastAsia="Arial" w:hAnsi="Arial" w:cs="Arial"/>
                <w:sz w:val="18"/>
                <w:szCs w:val="21"/>
              </w:rPr>
              <w:t>0</w:t>
            </w:r>
          </w:p>
        </w:tc>
        <w:tc>
          <w:tcPr>
            <w:tcW w:w="749" w:type="pct"/>
            <w:tcBorders>
              <w:top w:val="nil"/>
              <w:left w:val="nil"/>
              <w:bottom w:val="nil"/>
              <w:right w:val="nil"/>
            </w:tcBorders>
            <w:shd w:val="clear" w:color="auto" w:fill="FFFFFF"/>
            <w:tcMar>
              <w:top w:w="72" w:type="dxa"/>
              <w:left w:w="144" w:type="dxa"/>
              <w:bottom w:w="72" w:type="dxa"/>
              <w:right w:w="144" w:type="dxa"/>
            </w:tcMar>
          </w:tcPr>
          <w:p w14:paraId="13881C37" w14:textId="77777777" w:rsidR="00D91720" w:rsidRDefault="00000000">
            <w:pPr>
              <w:spacing w:before="40" w:after="40" w:line="480" w:lineRule="auto"/>
              <w:jc w:val="center"/>
              <w:rPr>
                <w:rFonts w:ascii="Arial" w:hAnsi="Arial" w:cs="Arial"/>
                <w:szCs w:val="21"/>
              </w:rPr>
            </w:pPr>
            <w:r>
              <w:rPr>
                <w:rFonts w:ascii="Arial" w:eastAsia="Arial" w:hAnsi="Arial" w:cs="Arial"/>
                <w:sz w:val="18"/>
                <w:szCs w:val="21"/>
              </w:rPr>
              <w:t>34.26</w:t>
            </w:r>
          </w:p>
        </w:tc>
      </w:tr>
    </w:tbl>
    <w:p w14:paraId="441282CA" w14:textId="77777777" w:rsidR="00D91720" w:rsidRDefault="00000000">
      <w:pPr>
        <w:spacing w:after="120" w:line="480" w:lineRule="auto"/>
        <w:jc w:val="left"/>
        <w:rPr>
          <w:rFonts w:ascii="Arial" w:eastAsia="宋体" w:hAnsi="Arial" w:cs="Arial"/>
          <w:bCs/>
          <w:sz w:val="18"/>
          <w:szCs w:val="18"/>
        </w:rPr>
      </w:pPr>
      <w:r>
        <w:rPr>
          <w:rFonts w:ascii="Arial" w:eastAsia="Arial" w:hAnsi="Arial" w:cs="Arial"/>
          <w:sz w:val="18"/>
          <w:szCs w:val="18"/>
        </w:rPr>
        <w:t xml:space="preserve">[a] All values are reported in </w:t>
      </w:r>
      <w:proofErr w:type="spellStart"/>
      <w:r>
        <w:rPr>
          <w:rFonts w:ascii="Arial" w:eastAsia="Arial" w:hAnsi="Arial" w:cs="Arial"/>
          <w:sz w:val="18"/>
          <w:szCs w:val="18"/>
        </w:rPr>
        <w:t>wt</w:t>
      </w:r>
      <w:proofErr w:type="spellEnd"/>
      <w:r>
        <w:rPr>
          <w:rFonts w:ascii="Arial" w:eastAsia="Arial" w:hAnsi="Arial" w:cs="Arial"/>
          <w:sz w:val="18"/>
          <w:szCs w:val="18"/>
        </w:rPr>
        <w:t xml:space="preserve">%. The theoretical row is calculated for the sulfur-free PBFDO repeat unit. The measured sulfur content of 3.01 </w:t>
      </w:r>
      <w:proofErr w:type="spellStart"/>
      <w:r>
        <w:rPr>
          <w:rFonts w:ascii="Arial" w:eastAsia="Arial" w:hAnsi="Arial" w:cs="Arial"/>
          <w:sz w:val="18"/>
          <w:szCs w:val="18"/>
        </w:rPr>
        <w:t>wt</w:t>
      </w:r>
      <w:proofErr w:type="spellEnd"/>
      <w:r>
        <w:rPr>
          <w:rFonts w:ascii="Arial" w:eastAsia="Arial" w:hAnsi="Arial" w:cs="Arial"/>
          <w:sz w:val="18"/>
          <w:szCs w:val="18"/>
        </w:rPr>
        <w:t xml:space="preserve">% — versus 0 </w:t>
      </w:r>
      <w:proofErr w:type="spellStart"/>
      <w:r>
        <w:rPr>
          <w:rFonts w:ascii="Arial" w:eastAsia="Arial" w:hAnsi="Arial" w:cs="Arial"/>
          <w:sz w:val="18"/>
          <w:szCs w:val="18"/>
        </w:rPr>
        <w:t>wt</w:t>
      </w:r>
      <w:proofErr w:type="spellEnd"/>
      <w:r>
        <w:rPr>
          <w:rFonts w:ascii="Arial" w:eastAsia="Arial" w:hAnsi="Arial" w:cs="Arial"/>
          <w:sz w:val="18"/>
          <w:szCs w:val="18"/>
        </w:rPr>
        <w:t>% expected for the ideal polymer — provides direct quantitative evidence that sulfur-containing species are retained in the isolated material. S 2p XPS (Supplementary Fig. 13) identifies this sulfur as predominantly elemental sulfur, with a minor S=O contribution from residual DMSO.</w:t>
      </w:r>
    </w:p>
    <w:p w14:paraId="15304C69" w14:textId="77777777" w:rsidR="00D91720" w:rsidRDefault="00D91720">
      <w:pPr>
        <w:spacing w:line="480" w:lineRule="auto"/>
        <w:rPr>
          <w:rFonts w:ascii="Arial" w:hAnsi="Arial" w:cs="Arial"/>
        </w:rPr>
      </w:pPr>
    </w:p>
    <w:p w14:paraId="78F0277E" w14:textId="77777777" w:rsidR="00D91720" w:rsidRDefault="00000000">
      <w:pPr>
        <w:spacing w:line="480" w:lineRule="auto"/>
        <w:jc w:val="center"/>
        <w:rPr>
          <w:rFonts w:ascii="Arial" w:hAnsi="Arial" w:cs="Arial"/>
        </w:rPr>
      </w:pPr>
      <w:r>
        <w:rPr>
          <w:noProof/>
        </w:rPr>
        <w:drawing>
          <wp:inline distT="0" distB="0" distL="0" distR="0" wp14:anchorId="0FFEA62D" wp14:editId="3739D195">
            <wp:extent cx="4312285" cy="3599815"/>
            <wp:effectExtent l="0" t="0" r="0" b="635"/>
            <wp:docPr id="5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1"/>
                    <pic:cNvPicPr>
                      <a:picLocks noChangeAspect="1"/>
                    </pic:cNvPicPr>
                  </pic:nvPicPr>
                  <pic:blipFill>
                    <a:blip r:embed="rId22"/>
                    <a:stretch>
                      <a:fillRect/>
                    </a:stretch>
                  </pic:blipFill>
                  <pic:spPr>
                    <a:xfrm>
                      <a:off x="0" y="0"/>
                      <a:ext cx="4312800" cy="3600000"/>
                    </a:xfrm>
                    <a:prstGeom prst="rect">
                      <a:avLst/>
                    </a:prstGeom>
                  </pic:spPr>
                </pic:pic>
              </a:graphicData>
            </a:graphic>
          </wp:inline>
        </w:drawing>
      </w:r>
    </w:p>
    <w:p w14:paraId="3027F453" w14:textId="218597B3" w:rsidR="004563D3" w:rsidRDefault="00000000">
      <w:pPr>
        <w:spacing w:line="480" w:lineRule="auto"/>
        <w:rPr>
          <w:rFonts w:ascii="Arial" w:eastAsia="Arial" w:hAnsi="Arial" w:cs="Arial"/>
          <w:bCs/>
        </w:rPr>
      </w:pPr>
      <w:r>
        <w:rPr>
          <w:rFonts w:ascii="Arial" w:eastAsia="Arial" w:hAnsi="Arial" w:cs="Arial"/>
          <w:b/>
          <w:bCs/>
          <w:szCs w:val="21"/>
        </w:rPr>
        <w:t xml:space="preserve">Supplementary Fig. 13 | </w:t>
      </w:r>
      <w:r>
        <w:rPr>
          <w:rFonts w:ascii="Arial" w:eastAsia="Arial" w:hAnsi="Arial" w:cs="Arial"/>
          <w:bCs/>
        </w:rPr>
        <w:t>XPS Spectrum of Sulfur 2p. After the reaction, the sulfur mainly exists in the form of elemental sulfur</w:t>
      </w:r>
      <w:r>
        <w:rPr>
          <w:rFonts w:ascii="Arial" w:eastAsia="Arial" w:hAnsi="Arial" w:cs="Arial"/>
          <w:bCs/>
        </w:rPr>
        <w:fldChar w:fldCharType="begin"/>
      </w:r>
      <w:r>
        <w:rPr>
          <w:rFonts w:ascii="Arial" w:eastAsia="Arial" w:hAnsi="Arial" w:cs="Arial"/>
          <w:bCs/>
        </w:rPr>
        <w:instrText xml:space="preserve"> ADDIN EN.CITE &lt;EndNote&gt;&lt;Cite&gt;&lt;Author&gt;Smart&lt;/Author&gt;&lt;Year&gt;2015&lt;/Year&gt;&lt;RecNum&gt;77&lt;/RecNum&gt;&lt;DisplayText&gt;&lt;style face="superscript"&gt;[3]&lt;/style&gt;&lt;/DisplayText&gt;&lt;record&gt;&lt;rec-number&gt;77&lt;/rec-number&gt;&lt;foreign-keys&gt;&lt;key app="EN" db-id="9r505xwvq2zsspe29ropxarbpdv50aaf9ets" timestamp="1772034499"&gt;77&lt;/key&gt;&lt;/foreign-keys&gt;&lt;ref-type name="Journal Article"&gt;17&lt;/ref-type&gt;&lt;contributors&gt;&lt;authors&gt;&lt;author&gt;Smart, Roger St. C.&lt;/author&gt;&lt;author&gt;Skinner, William M.&lt;/author&gt;&lt;author&gt;Gerson, Andrea R.&lt;/author&gt;&lt;/authors&gt;&lt;/contributors&gt;&lt;tit</w:instrText>
      </w:r>
      <w:r>
        <w:rPr>
          <w:rFonts w:ascii="Arial" w:eastAsia="Arial" w:hAnsi="Arial" w:cs="Arial" w:hint="eastAsia"/>
          <w:bCs/>
        </w:rPr>
        <w:instrText>les&gt;&lt;title&gt;XPS of Sulphide Mineral Surfaces: Metal‐Deficient, Polysulphides, Defects and Elemental Sulphur&lt;/title&gt;&lt;secondary-title&gt;Surface And Interface Analysis&lt;/secondary-title&gt;&lt;/titles&gt;&lt;periodical&gt;&lt;full-title&gt;Surface And Interface Analysis&lt;/full-title&gt;</w:instrText>
      </w:r>
      <w:r>
        <w:rPr>
          <w:rFonts w:ascii="Arial" w:eastAsia="Arial" w:hAnsi="Arial" w:cs="Arial"/>
          <w:bCs/>
        </w:rPr>
        <w:instrText>&lt;/periodical&gt;&lt;pages&gt;101-105&lt;/pages&gt;&lt;volume&gt;28&lt;/volume&gt;&lt;number&gt;1&lt;/number&gt;&lt;dates&gt;&lt;year&gt;2015&lt;/year&gt;&lt;/dates&gt;&lt;urls&gt;&lt;/urls&gt;&lt;/record&gt;&lt;/Cite&gt;&lt;/EndNote&gt;</w:instrText>
      </w:r>
      <w:r>
        <w:rPr>
          <w:rFonts w:ascii="Arial" w:eastAsia="Arial" w:hAnsi="Arial" w:cs="Arial"/>
          <w:bCs/>
        </w:rPr>
        <w:fldChar w:fldCharType="separate"/>
      </w:r>
      <w:r>
        <w:rPr>
          <w:rFonts w:ascii="Arial" w:eastAsia="Arial" w:hAnsi="Arial" w:cs="Arial"/>
          <w:bCs/>
          <w:noProof/>
          <w:vertAlign w:val="superscript"/>
        </w:rPr>
        <w:t>[3]</w:t>
      </w:r>
      <w:r>
        <w:rPr>
          <w:rFonts w:ascii="Arial" w:eastAsia="Arial" w:hAnsi="Arial" w:cs="Arial"/>
          <w:bCs/>
        </w:rPr>
        <w:fldChar w:fldCharType="end"/>
      </w:r>
      <w:r>
        <w:rPr>
          <w:rFonts w:ascii="Arial" w:eastAsia="Arial" w:hAnsi="Arial" w:cs="Arial"/>
          <w:bCs/>
        </w:rPr>
        <w:t>, and there is also S=O in dimethyl sulfoxide</w:t>
      </w:r>
      <w:r>
        <w:rPr>
          <w:rFonts w:ascii="Arial" w:eastAsia="Arial" w:hAnsi="Arial" w:cs="Arial"/>
          <w:bCs/>
        </w:rPr>
        <w:fldChar w:fldCharType="begin"/>
      </w:r>
      <w:r>
        <w:rPr>
          <w:rFonts w:ascii="Arial" w:eastAsia="Arial" w:hAnsi="Arial" w:cs="Arial"/>
          <w:bCs/>
        </w:rPr>
        <w:instrText xml:space="preserve"> ADDIN EN.CITE &lt;EndNote&gt;&lt;Cite&gt;&lt;Author&gt;Siow&lt;/Author&gt;&lt;Year&gt;2018&lt;/Year&gt;&lt;RecNum&gt;74&lt;/RecNum&gt;&lt;DisplayText&gt;&lt;style face="superscript"&gt;[4]&lt;/style&gt;&lt;/DisplayText&gt;&lt;record&gt;&lt;rec-number&gt;74&lt;/rec-number&gt;&lt;foreign-keys&gt;&lt;key app="EN" db-id="9r505xwvq2zsspe29ropxarbpdv50aaf9ets" timestamp="1772034152"&gt;74&lt;/key&gt;&lt;/foreign-keys&gt;&lt;ref-type name="Journal Article"&gt;17&lt;/ref-type&gt;&lt;contributors&gt;&lt;authors&gt;&lt;author&gt;Siow, Kim S&lt;/author&gt;&lt;author&gt;Britcher, Leanne&lt;/author&gt;&lt;author&gt;Kumar, Sunil&lt;/author&gt;&lt;author&gt;Griesser, Hans J&lt;/author&gt;&lt;/authors&gt;&lt;/contributors&gt;&lt;titles&gt;&lt;title&gt;XPS Study of Sulfur and Phosphorus Compounds with Different Oxidation States&lt;/title&gt;&lt;secondary-title&gt;Sains Malaysiana&lt;/secondary-title&gt;&lt;/titles&gt;&lt;periodical&gt;&lt;full-title&gt;Sains Malaysiana&lt;/full-title&gt;&lt;/periodical&gt;&lt;pages&gt;1913-1922&lt;/pages&gt;&lt;volume&gt;47&lt;/volume&gt;&lt;number&gt;8&lt;/number&gt;&lt;dates&gt;&lt;year&gt;2018&lt;/year&gt;&lt;/dates&gt;&lt;urls&gt;&lt;/urls&gt;&lt;/record&gt;&lt;/Cite&gt;&lt;/EndNote&gt;</w:instrText>
      </w:r>
      <w:r>
        <w:rPr>
          <w:rFonts w:ascii="Arial" w:eastAsia="Arial" w:hAnsi="Arial" w:cs="Arial"/>
          <w:bCs/>
        </w:rPr>
        <w:fldChar w:fldCharType="separate"/>
      </w:r>
      <w:r>
        <w:rPr>
          <w:rFonts w:ascii="Arial" w:eastAsia="Arial" w:hAnsi="Arial" w:cs="Arial"/>
          <w:bCs/>
          <w:vertAlign w:val="superscript"/>
        </w:rPr>
        <w:t>[4]</w:t>
      </w:r>
      <w:r>
        <w:rPr>
          <w:rFonts w:ascii="Arial" w:eastAsia="Arial" w:hAnsi="Arial" w:cs="Arial"/>
          <w:bCs/>
        </w:rPr>
        <w:fldChar w:fldCharType="end"/>
      </w:r>
      <w:r>
        <w:rPr>
          <w:rFonts w:ascii="Arial" w:eastAsia="Arial" w:hAnsi="Arial" w:cs="Arial"/>
          <w:bCs/>
        </w:rPr>
        <w:t>.</w:t>
      </w:r>
      <w:r w:rsidR="004563D3">
        <w:rPr>
          <w:rFonts w:ascii="Arial" w:eastAsia="Arial" w:hAnsi="Arial" w:cs="Arial"/>
          <w:bCs/>
        </w:rPr>
        <w:br w:type="page"/>
      </w:r>
    </w:p>
    <w:p w14:paraId="0EE8F8E1" w14:textId="6656BE9A" w:rsidR="00D91720" w:rsidRDefault="00000000">
      <w:pPr>
        <w:numPr>
          <w:ilvl w:val="0"/>
          <w:numId w:val="2"/>
        </w:numPr>
        <w:spacing w:before="200" w:after="100" w:line="480" w:lineRule="auto"/>
        <w:jc w:val="left"/>
        <w:rPr>
          <w:rFonts w:ascii="Arial" w:hAnsi="Arial" w:cs="Arial"/>
        </w:rPr>
      </w:pPr>
      <w:r>
        <w:rPr>
          <w:rFonts w:ascii="Arial" w:eastAsia="Arial" w:hAnsi="Arial" w:cs="Arial"/>
          <w:b/>
          <w:sz w:val="24"/>
          <w:szCs w:val="24"/>
        </w:rPr>
        <w:lastRenderedPageBreak/>
        <w:t>Mechanistic understanding of S</w:t>
      </w:r>
      <w:r>
        <w:rPr>
          <w:rFonts w:ascii="Arial" w:eastAsia="Arial" w:hAnsi="Arial" w:cs="Arial"/>
          <w:b/>
          <w:sz w:val="24"/>
          <w:szCs w:val="24"/>
          <w:vertAlign w:val="subscript"/>
        </w:rPr>
        <w:t>8</w:t>
      </w:r>
      <w:r>
        <w:rPr>
          <w:rFonts w:ascii="Arial" w:eastAsia="Arial" w:hAnsi="Arial" w:cs="Arial"/>
          <w:b/>
          <w:sz w:val="24"/>
          <w:szCs w:val="24"/>
        </w:rPr>
        <w:t>-mediated polymerization</w:t>
      </w:r>
    </w:p>
    <w:p w14:paraId="1AA08D8F" w14:textId="77777777" w:rsidR="00D91720" w:rsidRDefault="00000000">
      <w:pPr>
        <w:spacing w:line="480" w:lineRule="auto"/>
        <w:jc w:val="center"/>
        <w:rPr>
          <w:rFonts w:ascii="Arial" w:hAnsi="Arial" w:cs="Arial"/>
        </w:rPr>
      </w:pPr>
      <w:r>
        <w:rPr>
          <w:noProof/>
        </w:rPr>
        <w:drawing>
          <wp:inline distT="0" distB="0" distL="114300" distR="114300" wp14:anchorId="402A14AD" wp14:editId="2967F8A1">
            <wp:extent cx="4357370" cy="1946910"/>
            <wp:effectExtent l="0" t="0" r="1270" b="3810"/>
            <wp:docPr id="5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5"/>
                    <pic:cNvPicPr>
                      <a:picLocks noChangeAspect="1"/>
                    </pic:cNvPicPr>
                  </pic:nvPicPr>
                  <pic:blipFill>
                    <a:blip r:embed="rId23"/>
                    <a:stretch>
                      <a:fillRect/>
                    </a:stretch>
                  </pic:blipFill>
                  <pic:spPr>
                    <a:xfrm>
                      <a:off x="0" y="0"/>
                      <a:ext cx="4357370" cy="1946910"/>
                    </a:xfrm>
                    <a:prstGeom prst="rect">
                      <a:avLst/>
                    </a:prstGeom>
                    <a:noFill/>
                    <a:ln>
                      <a:noFill/>
                    </a:ln>
                  </pic:spPr>
                </pic:pic>
              </a:graphicData>
            </a:graphic>
          </wp:inline>
        </w:drawing>
      </w:r>
    </w:p>
    <w:p w14:paraId="1C6354CF" w14:textId="77777777" w:rsidR="00D91720" w:rsidRDefault="00000000">
      <w:pPr>
        <w:spacing w:before="160" w:after="60" w:line="480" w:lineRule="auto"/>
        <w:jc w:val="left"/>
        <w:rPr>
          <w:rFonts w:ascii="Arial" w:eastAsia="等线" w:hAnsi="Arial" w:cs="Arial"/>
          <w:bCs/>
          <w:szCs w:val="21"/>
        </w:rPr>
      </w:pPr>
      <w:r>
        <w:rPr>
          <w:rFonts w:ascii="Arial" w:eastAsia="Arial" w:hAnsi="Arial" w:cs="Arial"/>
          <w:b/>
          <w:bCs/>
          <w:szCs w:val="21"/>
        </w:rPr>
        <w:t>Supplementary Fig. 14</w:t>
      </w:r>
      <w:r>
        <w:rPr>
          <w:rFonts w:ascii="Arial" w:eastAsia="Arial" w:hAnsi="Arial" w:cs="Arial"/>
          <w:szCs w:val="21"/>
        </w:rPr>
        <w:t xml:space="preserve"> | The color change of BFDO monomer and S</w:t>
      </w:r>
      <w:r>
        <w:rPr>
          <w:rFonts w:ascii="Arial" w:eastAsia="Arial" w:hAnsi="Arial" w:cs="Arial"/>
          <w:szCs w:val="21"/>
          <w:vertAlign w:val="subscript"/>
        </w:rPr>
        <w:t>8</w:t>
      </w:r>
      <w:r>
        <w:rPr>
          <w:rFonts w:ascii="Arial" w:eastAsia="Arial" w:hAnsi="Arial" w:cs="Arial"/>
          <w:szCs w:val="21"/>
        </w:rPr>
        <w:t xml:space="preserve"> reaction.</w:t>
      </w:r>
    </w:p>
    <w:p w14:paraId="29B942F8" w14:textId="77777777" w:rsidR="00D91720" w:rsidRDefault="00D91720">
      <w:pPr>
        <w:spacing w:line="480" w:lineRule="auto"/>
        <w:rPr>
          <w:rFonts w:ascii="Arial" w:eastAsia="等线" w:hAnsi="Arial" w:cs="Arial"/>
          <w:bCs/>
          <w:szCs w:val="21"/>
        </w:rPr>
      </w:pPr>
    </w:p>
    <w:p w14:paraId="434AFFA8" w14:textId="77777777" w:rsidR="00D91720" w:rsidRDefault="00000000">
      <w:pPr>
        <w:spacing w:line="480" w:lineRule="auto"/>
        <w:jc w:val="center"/>
        <w:rPr>
          <w:rFonts w:ascii="Arial" w:eastAsia="等线" w:hAnsi="Arial" w:cs="Arial"/>
          <w:bCs/>
          <w:szCs w:val="21"/>
        </w:rPr>
      </w:pPr>
      <w:r>
        <w:rPr>
          <w:noProof/>
        </w:rPr>
        <w:drawing>
          <wp:inline distT="0" distB="0" distL="0" distR="0" wp14:anchorId="14BA12C8" wp14:editId="416F3169">
            <wp:extent cx="3599815" cy="2973070"/>
            <wp:effectExtent l="0" t="0" r="635" b="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
                    <pic:cNvPicPr>
                      <a:picLocks noChangeAspect="1"/>
                    </pic:cNvPicPr>
                  </pic:nvPicPr>
                  <pic:blipFill>
                    <a:blip r:embed="rId24"/>
                    <a:stretch>
                      <a:fillRect/>
                    </a:stretch>
                  </pic:blipFill>
                  <pic:spPr>
                    <a:xfrm>
                      <a:off x="0" y="0"/>
                      <a:ext cx="3600000" cy="2973600"/>
                    </a:xfrm>
                    <a:prstGeom prst="rect">
                      <a:avLst/>
                    </a:prstGeom>
                  </pic:spPr>
                </pic:pic>
              </a:graphicData>
            </a:graphic>
          </wp:inline>
        </w:drawing>
      </w:r>
    </w:p>
    <w:p w14:paraId="2F3EA886" w14:textId="77777777" w:rsidR="00D91720" w:rsidRDefault="00000000">
      <w:pPr>
        <w:spacing w:before="160" w:after="60" w:line="480" w:lineRule="auto"/>
        <w:jc w:val="left"/>
        <w:rPr>
          <w:rFonts w:ascii="Arial" w:eastAsia="等线" w:hAnsi="Arial" w:cs="Arial"/>
          <w:bCs/>
          <w:szCs w:val="21"/>
        </w:rPr>
      </w:pPr>
      <w:r>
        <w:rPr>
          <w:rFonts w:ascii="Arial" w:eastAsia="Arial" w:hAnsi="Arial" w:cs="Arial"/>
          <w:b/>
          <w:bCs/>
          <w:szCs w:val="21"/>
        </w:rPr>
        <w:t>Supplementary Fig. 15</w:t>
      </w:r>
      <w:r>
        <w:rPr>
          <w:rFonts w:ascii="Arial" w:eastAsia="Arial" w:hAnsi="Arial" w:cs="Arial"/>
          <w:szCs w:val="21"/>
        </w:rPr>
        <w:t xml:space="preserve"> | The UV-Vis-NIR absorption spectrum of BFDO monomer and S</w:t>
      </w:r>
      <w:r>
        <w:rPr>
          <w:rFonts w:ascii="Arial" w:eastAsia="Arial" w:hAnsi="Arial" w:cs="Arial"/>
          <w:szCs w:val="21"/>
          <w:vertAlign w:val="subscript"/>
        </w:rPr>
        <w:t>8</w:t>
      </w:r>
      <w:r>
        <w:rPr>
          <w:rFonts w:ascii="Arial" w:eastAsia="Arial" w:hAnsi="Arial" w:cs="Arial"/>
          <w:szCs w:val="21"/>
        </w:rPr>
        <w:t xml:space="preserve"> Reaction.</w:t>
      </w:r>
    </w:p>
    <w:p w14:paraId="11D3E404" w14:textId="77777777" w:rsidR="00D91720" w:rsidRDefault="00D91720">
      <w:pPr>
        <w:spacing w:line="480" w:lineRule="auto"/>
        <w:rPr>
          <w:rFonts w:ascii="Arial" w:eastAsia="等线" w:hAnsi="Arial" w:cs="Arial"/>
          <w:bCs/>
          <w:szCs w:val="21"/>
        </w:rPr>
      </w:pPr>
    </w:p>
    <w:p w14:paraId="04E6921E" w14:textId="77777777" w:rsidR="00D91720" w:rsidRDefault="00D91720">
      <w:pPr>
        <w:spacing w:line="480" w:lineRule="auto"/>
        <w:jc w:val="left"/>
        <w:rPr>
          <w:rFonts w:ascii="Arial" w:hAnsi="Arial" w:cs="Arial"/>
        </w:rPr>
      </w:pPr>
    </w:p>
    <w:p w14:paraId="1C804837" w14:textId="77777777" w:rsidR="00D91720" w:rsidRDefault="00000000" w:rsidP="00AC4439">
      <w:pPr>
        <w:spacing w:line="480" w:lineRule="auto"/>
        <w:jc w:val="center"/>
        <w:rPr>
          <w:rFonts w:ascii="Arial" w:hAnsi="Arial" w:cs="Arial"/>
        </w:rPr>
      </w:pPr>
      <w:r>
        <w:rPr>
          <w:noProof/>
        </w:rPr>
        <w:lastRenderedPageBreak/>
        <w:drawing>
          <wp:inline distT="0" distB="0" distL="114300" distR="114300" wp14:anchorId="65E21D7D" wp14:editId="2E922E36">
            <wp:extent cx="5400000" cy="3295014"/>
            <wp:effectExtent l="0" t="0" r="0" b="1270"/>
            <wp:docPr id="6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2"/>
                    <pic:cNvPicPr>
                      <a:picLocks noChangeAspect="1"/>
                    </pic:cNvPicPr>
                  </pic:nvPicPr>
                  <pic:blipFill>
                    <a:blip r:embed="rId25"/>
                    <a:stretch>
                      <a:fillRect/>
                    </a:stretch>
                  </pic:blipFill>
                  <pic:spPr>
                    <a:xfrm>
                      <a:off x="0" y="0"/>
                      <a:ext cx="5400000" cy="3295014"/>
                    </a:xfrm>
                    <a:prstGeom prst="rect">
                      <a:avLst/>
                    </a:prstGeom>
                    <a:noFill/>
                    <a:ln>
                      <a:noFill/>
                    </a:ln>
                  </pic:spPr>
                </pic:pic>
              </a:graphicData>
            </a:graphic>
          </wp:inline>
        </w:drawing>
      </w:r>
      <w:r>
        <w:rPr>
          <w:rFonts w:ascii="Arial" w:hAnsi="Arial" w:cs="Arial"/>
          <w:noProof/>
        </w:rPr>
        <w:drawing>
          <wp:anchor distT="0" distB="0" distL="114300" distR="114300" simplePos="0" relativeHeight="251660288" behindDoc="0" locked="0" layoutInCell="1" allowOverlap="1" wp14:anchorId="39039360" wp14:editId="5939A7D5">
            <wp:simplePos x="0" y="0"/>
            <wp:positionH relativeFrom="column">
              <wp:posOffset>7164705</wp:posOffset>
            </wp:positionH>
            <wp:positionV relativeFrom="paragraph">
              <wp:posOffset>926465</wp:posOffset>
            </wp:positionV>
            <wp:extent cx="2438400" cy="2224405"/>
            <wp:effectExtent l="0" t="0" r="0" b="0"/>
            <wp:wrapNone/>
            <wp:docPr id="68" name="对象 21"/>
            <wp:cNvGraphicFramePr/>
            <a:graphic xmlns:a="http://schemas.openxmlformats.org/drawingml/2006/main">
              <a:graphicData uri="http://schemas.openxmlformats.org/drawingml/2006/picture">
                <pic:pic xmlns:pic="http://schemas.openxmlformats.org/drawingml/2006/picture">
                  <pic:nvPicPr>
                    <pic:cNvPr id="69" name="对象 21"/>
                    <pic:cNvPicPr/>
                  </pic:nvPicPr>
                  <pic:blipFill>
                    <a:blip r:embed="rId26"/>
                    <a:stretch>
                      <a:fillRect/>
                    </a:stretch>
                  </pic:blipFill>
                  <pic:spPr>
                    <a:xfrm>
                      <a:off x="0" y="0"/>
                      <a:ext cx="2438400" cy="2224405"/>
                    </a:xfrm>
                  </pic:spPr>
                </pic:pic>
              </a:graphicData>
            </a:graphic>
          </wp:anchor>
        </w:drawing>
      </w:r>
      <w:r>
        <w:rPr>
          <w:rFonts w:ascii="Arial" w:hAnsi="Arial" w:cs="Arial"/>
          <w:noProof/>
        </w:rPr>
        <w:drawing>
          <wp:anchor distT="0" distB="0" distL="114300" distR="114300" simplePos="0" relativeHeight="251661312" behindDoc="0" locked="0" layoutInCell="1" allowOverlap="1" wp14:anchorId="13E88E0B" wp14:editId="5B9DF28B">
            <wp:simplePos x="0" y="0"/>
            <wp:positionH relativeFrom="column">
              <wp:posOffset>9552940</wp:posOffset>
            </wp:positionH>
            <wp:positionV relativeFrom="paragraph">
              <wp:posOffset>926465</wp:posOffset>
            </wp:positionV>
            <wp:extent cx="2438400" cy="2224405"/>
            <wp:effectExtent l="0" t="0" r="0" b="0"/>
            <wp:wrapNone/>
            <wp:docPr id="71" name="对象 23"/>
            <wp:cNvGraphicFramePr/>
            <a:graphic xmlns:a="http://schemas.openxmlformats.org/drawingml/2006/main">
              <a:graphicData uri="http://schemas.openxmlformats.org/drawingml/2006/picture">
                <pic:pic xmlns:pic="http://schemas.openxmlformats.org/drawingml/2006/picture">
                  <pic:nvPicPr>
                    <pic:cNvPr id="72" name="对象 23"/>
                    <pic:cNvPicPr/>
                  </pic:nvPicPr>
                  <pic:blipFill>
                    <a:blip r:embed="rId27"/>
                    <a:stretch>
                      <a:fillRect/>
                    </a:stretch>
                  </pic:blipFill>
                  <pic:spPr>
                    <a:xfrm>
                      <a:off x="0" y="0"/>
                      <a:ext cx="2438400" cy="2224405"/>
                    </a:xfrm>
                  </pic:spPr>
                </pic:pic>
              </a:graphicData>
            </a:graphic>
          </wp:anchor>
        </w:drawing>
      </w:r>
    </w:p>
    <w:p w14:paraId="005F2C1E" w14:textId="77777777" w:rsidR="00D91720" w:rsidRDefault="00000000" w:rsidP="00C351DB">
      <w:pPr>
        <w:spacing w:before="160" w:after="60" w:line="480" w:lineRule="auto"/>
        <w:rPr>
          <w:rFonts w:ascii="Arial" w:hAnsi="Arial" w:cs="Arial"/>
        </w:rPr>
      </w:pPr>
      <w:bookmarkStart w:id="12" w:name="OLE_LINK3"/>
      <w:r>
        <w:rPr>
          <w:rFonts w:ascii="Arial" w:eastAsia="Arial" w:hAnsi="Arial" w:cs="Arial"/>
          <w:b/>
          <w:bCs/>
          <w:szCs w:val="21"/>
        </w:rPr>
        <w:t>Supplementary Fig. 16</w:t>
      </w:r>
      <w:r>
        <w:rPr>
          <w:rFonts w:ascii="Arial" w:eastAsia="Arial" w:hAnsi="Arial" w:cs="Arial"/>
          <w:szCs w:val="21"/>
        </w:rPr>
        <w:t xml:space="preserve"> | (a) 1H NMR, (b) UV-Vis-NIR absorption spectra of n-PBFDO (10 mg mL−1) with added TEMPO after 1 h and 5 h of reaction. At 1 h, the monomers had been consumed, and the polymer solution with TEMPO exhibited absorption profiles similar to PBFDO, showing strong polarons and </w:t>
      </w:r>
      <w:proofErr w:type="spellStart"/>
      <w:r>
        <w:rPr>
          <w:rFonts w:ascii="Arial" w:eastAsia="Arial" w:hAnsi="Arial" w:cs="Arial"/>
          <w:szCs w:val="21"/>
        </w:rPr>
        <w:t>bipolarons</w:t>
      </w:r>
      <w:proofErr w:type="spellEnd"/>
      <w:r>
        <w:rPr>
          <w:rFonts w:ascii="Arial" w:eastAsia="Arial" w:hAnsi="Arial" w:cs="Arial"/>
          <w:szCs w:val="21"/>
        </w:rPr>
        <w:t xml:space="preserve"> in the near-infrared region. This indicates that the addition of a free radical scavenger did not hinder the reaction progression.</w:t>
      </w:r>
      <w:bookmarkStart w:id="13" w:name="OLE_LINK28"/>
      <w:bookmarkEnd w:id="12"/>
      <w:bookmarkEnd w:id="13"/>
    </w:p>
    <w:p w14:paraId="5E2C2EF9" w14:textId="77777777" w:rsidR="00D91720" w:rsidRDefault="00D91720">
      <w:pPr>
        <w:spacing w:line="480" w:lineRule="auto"/>
        <w:rPr>
          <w:rFonts w:ascii="Arial" w:hAnsi="Arial" w:cs="Arial"/>
        </w:rPr>
      </w:pPr>
    </w:p>
    <w:p w14:paraId="760BB20E" w14:textId="77777777" w:rsidR="004563D3" w:rsidRDefault="004563D3">
      <w:pPr>
        <w:spacing w:line="480" w:lineRule="auto"/>
        <w:rPr>
          <w:rFonts w:ascii="Arial" w:hAnsi="Arial" w:cs="Arial"/>
        </w:rPr>
      </w:pPr>
    </w:p>
    <w:p w14:paraId="6012E983" w14:textId="77777777" w:rsidR="00D91720" w:rsidRDefault="00000000" w:rsidP="00AC4439">
      <w:pPr>
        <w:spacing w:line="480" w:lineRule="auto"/>
        <w:jc w:val="center"/>
        <w:rPr>
          <w:rFonts w:ascii="Arial" w:hAnsi="Arial" w:cs="Arial"/>
        </w:rPr>
      </w:pPr>
      <w:r>
        <w:rPr>
          <w:noProof/>
        </w:rPr>
        <w:lastRenderedPageBreak/>
        <w:drawing>
          <wp:inline distT="0" distB="0" distL="114300" distR="114300" wp14:anchorId="556EA153" wp14:editId="102FDD66">
            <wp:extent cx="5400000" cy="3079022"/>
            <wp:effectExtent l="0" t="0" r="0" b="7620"/>
            <wp:docPr id="7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21"/>
                    <pic:cNvPicPr>
                      <a:picLocks noChangeAspect="1"/>
                    </pic:cNvPicPr>
                  </pic:nvPicPr>
                  <pic:blipFill>
                    <a:blip r:embed="rId28"/>
                    <a:stretch>
                      <a:fillRect/>
                    </a:stretch>
                  </pic:blipFill>
                  <pic:spPr>
                    <a:xfrm>
                      <a:off x="0" y="0"/>
                      <a:ext cx="5400000" cy="3079022"/>
                    </a:xfrm>
                    <a:prstGeom prst="rect">
                      <a:avLst/>
                    </a:prstGeom>
                    <a:noFill/>
                    <a:ln>
                      <a:noFill/>
                    </a:ln>
                  </pic:spPr>
                </pic:pic>
              </a:graphicData>
            </a:graphic>
          </wp:inline>
        </w:drawing>
      </w:r>
    </w:p>
    <w:p w14:paraId="509533C2" w14:textId="77777777" w:rsidR="00D91720" w:rsidRDefault="00000000" w:rsidP="00C351DB">
      <w:pPr>
        <w:spacing w:before="160" w:after="60" w:line="480" w:lineRule="auto"/>
        <w:rPr>
          <w:rFonts w:ascii="Arial" w:eastAsia="-apple-system" w:hAnsi="Arial" w:cs="Arial"/>
          <w:color w:val="000000" w:themeColor="text1"/>
          <w:kern w:val="24"/>
          <w:szCs w:val="20"/>
        </w:rPr>
      </w:pPr>
      <w:r>
        <w:rPr>
          <w:rFonts w:ascii="Arial" w:eastAsia="Arial" w:hAnsi="Arial" w:cs="Arial"/>
          <w:b/>
          <w:bCs/>
          <w:szCs w:val="21"/>
        </w:rPr>
        <w:t xml:space="preserve">Supplementary Fig. 17 </w:t>
      </w:r>
      <w:r>
        <w:rPr>
          <w:rFonts w:ascii="Arial" w:eastAsia="Arial" w:hAnsi="Arial" w:cs="Arial"/>
          <w:szCs w:val="21"/>
        </w:rPr>
        <w:t xml:space="preserve">| (a) 1H NMR, (b) UV-Vis-NIR absorption spectra of n-PBFDO (10 mg mL−1) prepared with PBN for 1h and 5 h. At 1h reaction time, the monomers had been consumed, while the polymer solution containing PBN exhibited absorption profiles similar to n-PBFDO. Strong polarons and </w:t>
      </w:r>
      <w:proofErr w:type="spellStart"/>
      <w:r>
        <w:rPr>
          <w:rFonts w:ascii="Arial" w:eastAsia="Arial" w:hAnsi="Arial" w:cs="Arial"/>
          <w:szCs w:val="21"/>
        </w:rPr>
        <w:t>bipolarons</w:t>
      </w:r>
      <w:proofErr w:type="spellEnd"/>
      <w:r>
        <w:rPr>
          <w:rFonts w:ascii="Arial" w:eastAsia="Arial" w:hAnsi="Arial" w:cs="Arial"/>
          <w:szCs w:val="21"/>
        </w:rPr>
        <w:t xml:space="preserve"> absorption bands were observed in the near-infrared region, indicating that the addition of a free radical scavenger did not hinder the reaction progression.</w:t>
      </w:r>
    </w:p>
    <w:p w14:paraId="06EF8C45" w14:textId="77777777" w:rsidR="00D91720" w:rsidRDefault="00D91720">
      <w:pPr>
        <w:tabs>
          <w:tab w:val="center" w:pos="4213"/>
          <w:tab w:val="left" w:pos="7509"/>
        </w:tabs>
        <w:spacing w:line="480" w:lineRule="auto"/>
        <w:jc w:val="left"/>
        <w:rPr>
          <w:rFonts w:ascii="Arial" w:hAnsi="Arial" w:cs="Arial"/>
        </w:rPr>
      </w:pPr>
    </w:p>
    <w:p w14:paraId="2EE4F109" w14:textId="77777777" w:rsidR="00D91720" w:rsidRDefault="00D91720">
      <w:pPr>
        <w:tabs>
          <w:tab w:val="center" w:pos="4213"/>
          <w:tab w:val="left" w:pos="7509"/>
        </w:tabs>
        <w:spacing w:line="480" w:lineRule="auto"/>
        <w:jc w:val="left"/>
        <w:rPr>
          <w:rFonts w:ascii="Arial" w:hAnsi="Arial" w:cs="Arial"/>
        </w:rPr>
      </w:pPr>
    </w:p>
    <w:p w14:paraId="1FFFA211" w14:textId="77777777" w:rsidR="00D91720" w:rsidRDefault="00000000" w:rsidP="00AC4439">
      <w:pPr>
        <w:tabs>
          <w:tab w:val="center" w:pos="4213"/>
          <w:tab w:val="left" w:pos="7509"/>
        </w:tabs>
        <w:spacing w:line="480" w:lineRule="auto"/>
        <w:jc w:val="center"/>
        <w:rPr>
          <w:rFonts w:ascii="Arial" w:hAnsi="Arial" w:cs="Arial"/>
        </w:rPr>
      </w:pPr>
      <w:r>
        <w:rPr>
          <w:noProof/>
        </w:rPr>
        <w:lastRenderedPageBreak/>
        <w:drawing>
          <wp:inline distT="0" distB="0" distL="114300" distR="114300" wp14:anchorId="174D4948" wp14:editId="0B00FD9E">
            <wp:extent cx="5760000" cy="3236161"/>
            <wp:effectExtent l="0" t="0" r="0" b="2540"/>
            <wp:docPr id="7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0"/>
                    <pic:cNvPicPr>
                      <a:picLocks noChangeAspect="1"/>
                    </pic:cNvPicPr>
                  </pic:nvPicPr>
                  <pic:blipFill>
                    <a:blip r:embed="rId29"/>
                    <a:stretch>
                      <a:fillRect/>
                    </a:stretch>
                  </pic:blipFill>
                  <pic:spPr>
                    <a:xfrm>
                      <a:off x="0" y="0"/>
                      <a:ext cx="5760000" cy="3236161"/>
                    </a:xfrm>
                    <a:prstGeom prst="rect">
                      <a:avLst/>
                    </a:prstGeom>
                    <a:noFill/>
                    <a:ln>
                      <a:noFill/>
                    </a:ln>
                  </pic:spPr>
                </pic:pic>
              </a:graphicData>
            </a:graphic>
          </wp:inline>
        </w:drawing>
      </w:r>
    </w:p>
    <w:p w14:paraId="2CF917B4" w14:textId="77777777" w:rsidR="00D91720" w:rsidRDefault="00000000" w:rsidP="00C351DB">
      <w:pPr>
        <w:spacing w:before="160" w:after="60" w:line="480" w:lineRule="auto"/>
        <w:rPr>
          <w:rFonts w:ascii="Arial" w:eastAsia="-apple-system" w:hAnsi="Arial" w:cs="Arial"/>
          <w:color w:val="000000" w:themeColor="text1"/>
          <w:kern w:val="24"/>
          <w:szCs w:val="20"/>
        </w:rPr>
      </w:pPr>
      <w:r>
        <w:rPr>
          <w:rFonts w:ascii="Arial" w:eastAsia="Arial" w:hAnsi="Arial" w:cs="Arial"/>
          <w:b/>
          <w:bCs/>
          <w:szCs w:val="21"/>
        </w:rPr>
        <w:t>Supplementary Fig. 18</w:t>
      </w:r>
      <w:r>
        <w:rPr>
          <w:rFonts w:ascii="Arial" w:eastAsia="Arial" w:hAnsi="Arial" w:cs="Arial"/>
          <w:szCs w:val="21"/>
        </w:rPr>
        <w:t xml:space="preserve"> | (a) 1H NMR, (b) UV-Vis-NIR absorption spectrum of n-PBFDO (5 mg mL−1) after 1–5 h of PBN addition. At 3 h, the monomer was completely consumed, and the polymer solution exhibited absorption profiles similar to n-PBFDO. Strong polarons and </w:t>
      </w:r>
      <w:proofErr w:type="spellStart"/>
      <w:r>
        <w:rPr>
          <w:rFonts w:ascii="Arial" w:eastAsia="Arial" w:hAnsi="Arial" w:cs="Arial"/>
          <w:szCs w:val="21"/>
        </w:rPr>
        <w:t>bipolarons</w:t>
      </w:r>
      <w:proofErr w:type="spellEnd"/>
      <w:r>
        <w:rPr>
          <w:rFonts w:ascii="Arial" w:eastAsia="Arial" w:hAnsi="Arial" w:cs="Arial"/>
          <w:szCs w:val="21"/>
        </w:rPr>
        <w:t xml:space="preserve"> absorption bands were observed in the near-infrared region, indicating that the reaction is not affected by free radicals.</w:t>
      </w:r>
    </w:p>
    <w:p w14:paraId="15117151" w14:textId="77777777" w:rsidR="00D91720" w:rsidRDefault="00000000">
      <w:pPr>
        <w:spacing w:line="480" w:lineRule="auto"/>
        <w:jc w:val="center"/>
        <w:rPr>
          <w:rFonts w:ascii="Arial" w:hAnsi="Arial" w:cs="Arial"/>
        </w:rPr>
      </w:pPr>
      <w:r>
        <w:rPr>
          <w:noProof/>
        </w:rPr>
        <w:drawing>
          <wp:inline distT="0" distB="0" distL="114300" distR="114300" wp14:anchorId="400E3B30" wp14:editId="6C371714">
            <wp:extent cx="4733779" cy="2334342"/>
            <wp:effectExtent l="0" t="0" r="0" b="8890"/>
            <wp:docPr id="8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23"/>
                    <pic:cNvPicPr>
                      <a:picLocks noChangeAspect="1"/>
                    </pic:cNvPicPr>
                  </pic:nvPicPr>
                  <pic:blipFill>
                    <a:blip r:embed="rId30"/>
                    <a:stretch>
                      <a:fillRect/>
                    </a:stretch>
                  </pic:blipFill>
                  <pic:spPr>
                    <a:xfrm>
                      <a:off x="0" y="0"/>
                      <a:ext cx="4740196" cy="2337506"/>
                    </a:xfrm>
                    <a:prstGeom prst="rect">
                      <a:avLst/>
                    </a:prstGeom>
                    <a:noFill/>
                    <a:ln>
                      <a:noFill/>
                    </a:ln>
                  </pic:spPr>
                </pic:pic>
              </a:graphicData>
            </a:graphic>
          </wp:inline>
        </w:drawing>
      </w:r>
    </w:p>
    <w:p w14:paraId="5934F715" w14:textId="77777777" w:rsidR="00D91720" w:rsidRDefault="00000000" w:rsidP="00C351DB">
      <w:pPr>
        <w:spacing w:before="160" w:after="60" w:line="480" w:lineRule="auto"/>
        <w:rPr>
          <w:rFonts w:ascii="Arial" w:eastAsia="-apple-system" w:hAnsi="Arial" w:cs="Arial"/>
          <w:color w:val="000000" w:themeColor="text1"/>
          <w:kern w:val="24"/>
          <w:szCs w:val="20"/>
        </w:rPr>
      </w:pPr>
      <w:r>
        <w:rPr>
          <w:rFonts w:ascii="Arial" w:eastAsia="Arial" w:hAnsi="Arial" w:cs="Arial"/>
          <w:b/>
          <w:bCs/>
          <w:color w:val="000000" w:themeColor="text1"/>
          <w:kern w:val="24"/>
          <w:szCs w:val="20"/>
        </w:rPr>
        <w:t>Supplementary Fig. 19</w:t>
      </w:r>
      <w:r>
        <w:rPr>
          <w:rFonts w:ascii="Arial" w:eastAsia="Arial" w:hAnsi="Arial" w:cs="Arial"/>
          <w:color w:val="000000" w:themeColor="text1"/>
          <w:kern w:val="24"/>
          <w:szCs w:val="20"/>
        </w:rPr>
        <w:t xml:space="preserve"> | Tail gas detection using AgNO3 aqueous solution (25 mg mL−1). Reaction conditions: BFDO (500 mg, 2.63 mmol), S8 (84 mg, 2.63 mmol S), DMSO (50 mL), stirred under nitrogen at 120 °C. When the reaction exhaust gas was directed into the AgNO3 solution, a black solid formed, indicating the release of H</w:t>
      </w:r>
      <w:r w:rsidRPr="004563D3">
        <w:rPr>
          <w:rFonts w:ascii="Arial" w:eastAsia="Arial" w:hAnsi="Arial" w:cs="Arial"/>
          <w:color w:val="000000" w:themeColor="text1"/>
          <w:kern w:val="24"/>
          <w:szCs w:val="20"/>
          <w:vertAlign w:val="subscript"/>
        </w:rPr>
        <w:t>2</w:t>
      </w:r>
      <w:r>
        <w:rPr>
          <w:rFonts w:ascii="Arial" w:eastAsia="Arial" w:hAnsi="Arial" w:cs="Arial"/>
          <w:color w:val="000000" w:themeColor="text1"/>
          <w:kern w:val="24"/>
          <w:szCs w:val="20"/>
        </w:rPr>
        <w:t>S.</w:t>
      </w:r>
      <w:bookmarkStart w:id="14" w:name="OLE_LINK30"/>
      <w:bookmarkEnd w:id="14"/>
    </w:p>
    <w:p w14:paraId="5FF7C57B" w14:textId="77777777" w:rsidR="00D91720" w:rsidRDefault="00D91720">
      <w:pPr>
        <w:spacing w:line="480" w:lineRule="auto"/>
        <w:rPr>
          <w:rFonts w:ascii="Arial" w:hAnsi="Arial" w:cs="Arial"/>
          <w:color w:val="000000" w:themeColor="text1"/>
          <w:kern w:val="24"/>
          <w:szCs w:val="20"/>
        </w:rPr>
      </w:pPr>
    </w:p>
    <w:p w14:paraId="3F5FEC41" w14:textId="77777777" w:rsidR="00D91720" w:rsidRDefault="00000000">
      <w:pPr>
        <w:spacing w:line="480" w:lineRule="auto"/>
        <w:jc w:val="center"/>
        <w:rPr>
          <w:rFonts w:ascii="Arial" w:hAnsi="Arial" w:cs="Arial"/>
        </w:rPr>
      </w:pPr>
      <w:r>
        <w:rPr>
          <w:rFonts w:ascii="Arial" w:hAnsi="Arial" w:cs="Arial"/>
          <w:noProof/>
        </w:rPr>
        <w:drawing>
          <wp:inline distT="0" distB="0" distL="0" distR="0" wp14:anchorId="3DCDDB2E" wp14:editId="1D5E454F">
            <wp:extent cx="5400000" cy="2162792"/>
            <wp:effectExtent l="0" t="0" r="0" b="0"/>
            <wp:docPr id="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2"/>
                    <pic:cNvPicPr>
                      <a:picLocks noChangeAspect="1" noChangeArrowheads="1"/>
                    </pic:cNvPicPr>
                  </pic:nvPicPr>
                  <pic:blipFill>
                    <a:blip r:embed="rId31"/>
                    <a:srcRect/>
                    <a:stretch>
                      <a:fillRect/>
                    </a:stretch>
                  </pic:blipFill>
                  <pic:spPr bwMode="auto">
                    <a:xfrm>
                      <a:off x="0" y="0"/>
                      <a:ext cx="5400000" cy="2162792"/>
                    </a:xfrm>
                    <a:prstGeom prst="rect">
                      <a:avLst/>
                    </a:prstGeom>
                    <a:noFill/>
                  </pic:spPr>
                </pic:pic>
              </a:graphicData>
            </a:graphic>
          </wp:inline>
        </w:drawing>
      </w:r>
    </w:p>
    <w:p w14:paraId="5DF75B05" w14:textId="77777777" w:rsidR="00D91720" w:rsidRDefault="00000000">
      <w:pPr>
        <w:spacing w:before="160" w:after="60" w:line="480" w:lineRule="auto"/>
        <w:jc w:val="left"/>
        <w:rPr>
          <w:rFonts w:ascii="Arial" w:hAnsi="Arial" w:cs="Arial"/>
        </w:rPr>
      </w:pPr>
      <w:r>
        <w:rPr>
          <w:rFonts w:ascii="Arial" w:eastAsia="Arial" w:hAnsi="Arial" w:cs="Arial"/>
          <w:b/>
          <w:bCs/>
          <w:color w:val="000000" w:themeColor="text1"/>
          <w:kern w:val="24"/>
          <w:szCs w:val="20"/>
        </w:rPr>
        <w:t>Supplementary Fig. 20</w:t>
      </w:r>
      <w:r>
        <w:rPr>
          <w:rFonts w:ascii="Arial" w:eastAsia="Arial" w:hAnsi="Arial" w:cs="Arial"/>
          <w:color w:val="000000" w:themeColor="text1"/>
          <w:kern w:val="24"/>
          <w:szCs w:val="20"/>
        </w:rPr>
        <w:t xml:space="preserve"> | GC-MS analysis of the polymerization: m/z 62 is the characteristic ion of DMS.</w:t>
      </w:r>
    </w:p>
    <w:p w14:paraId="756BADBF" w14:textId="77777777" w:rsidR="00D91720" w:rsidRDefault="00D91720">
      <w:pPr>
        <w:spacing w:line="480" w:lineRule="auto"/>
        <w:rPr>
          <w:rFonts w:ascii="Arial" w:hAnsi="Arial" w:cs="Arial"/>
        </w:rPr>
      </w:pPr>
    </w:p>
    <w:p w14:paraId="3EF57DE9" w14:textId="77777777" w:rsidR="00D91720" w:rsidRDefault="00000000">
      <w:pPr>
        <w:spacing w:line="480" w:lineRule="auto"/>
        <w:jc w:val="center"/>
        <w:rPr>
          <w:rFonts w:ascii="Arial" w:hAnsi="Arial" w:cs="Arial"/>
        </w:rPr>
      </w:pPr>
      <w:r>
        <w:rPr>
          <w:rFonts w:ascii="Arial" w:hAnsi="Arial" w:cs="Arial"/>
          <w:noProof/>
        </w:rPr>
        <w:drawing>
          <wp:inline distT="0" distB="0" distL="114300" distR="114300" wp14:anchorId="4495BA1F" wp14:editId="3F12099C">
            <wp:extent cx="5270500" cy="3079750"/>
            <wp:effectExtent l="0" t="0" r="2540" b="13970"/>
            <wp:docPr id="8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6"/>
                    <pic:cNvPicPr>
                      <a:picLocks noChangeAspect="1"/>
                    </pic:cNvPicPr>
                  </pic:nvPicPr>
                  <pic:blipFill>
                    <a:blip r:embed="rId32"/>
                    <a:stretch>
                      <a:fillRect/>
                    </a:stretch>
                  </pic:blipFill>
                  <pic:spPr>
                    <a:xfrm>
                      <a:off x="0" y="0"/>
                      <a:ext cx="5270500" cy="3079750"/>
                    </a:xfrm>
                    <a:prstGeom prst="rect">
                      <a:avLst/>
                    </a:prstGeom>
                    <a:noFill/>
                    <a:ln>
                      <a:noFill/>
                    </a:ln>
                  </pic:spPr>
                </pic:pic>
              </a:graphicData>
            </a:graphic>
          </wp:inline>
        </w:drawing>
      </w:r>
    </w:p>
    <w:p w14:paraId="6AEC217E" w14:textId="77777777" w:rsidR="00D91720" w:rsidRDefault="00000000">
      <w:pPr>
        <w:spacing w:before="160" w:after="60" w:line="480" w:lineRule="auto"/>
        <w:jc w:val="left"/>
        <w:rPr>
          <w:rFonts w:ascii="Arial" w:hAnsi="Arial" w:cs="Arial"/>
          <w:color w:val="000000" w:themeColor="text1"/>
          <w:kern w:val="24"/>
          <w:szCs w:val="20"/>
        </w:rPr>
      </w:pPr>
      <w:r>
        <w:rPr>
          <w:rFonts w:ascii="Arial" w:eastAsia="Arial" w:hAnsi="Arial" w:cs="Arial"/>
          <w:b/>
          <w:bCs/>
          <w:color w:val="000000" w:themeColor="text1"/>
          <w:kern w:val="24"/>
          <w:szCs w:val="20"/>
        </w:rPr>
        <w:t>Supplementary Fig. 21</w:t>
      </w:r>
      <w:r>
        <w:rPr>
          <w:rFonts w:ascii="Arial" w:eastAsia="Arial" w:hAnsi="Arial" w:cs="Arial"/>
          <w:color w:val="000000" w:themeColor="text1"/>
          <w:kern w:val="24"/>
          <w:szCs w:val="20"/>
        </w:rPr>
        <w:t xml:space="preserve"> | The reaction of small-molecule BF with S8 was monitored by HR-MS, and the C=S and C=O intermediates were captured.</w:t>
      </w:r>
    </w:p>
    <w:p w14:paraId="7B112FF7" w14:textId="77777777" w:rsidR="00AF541F" w:rsidRPr="00AF541F" w:rsidRDefault="00AF541F">
      <w:pPr>
        <w:spacing w:before="160" w:after="60" w:line="480" w:lineRule="auto"/>
        <w:jc w:val="left"/>
        <w:rPr>
          <w:rFonts w:ascii="Arial" w:hAnsi="Arial" w:cs="Arial"/>
          <w:color w:val="000000" w:themeColor="text1"/>
          <w:kern w:val="24"/>
          <w:szCs w:val="20"/>
        </w:rPr>
      </w:pPr>
    </w:p>
    <w:p w14:paraId="5E0B326A" w14:textId="77777777" w:rsidR="00B0745F" w:rsidRDefault="00B0745F">
      <w:pPr>
        <w:spacing w:before="160" w:after="60" w:line="480" w:lineRule="auto"/>
        <w:jc w:val="left"/>
      </w:pPr>
    </w:p>
    <w:p w14:paraId="4EC465DC" w14:textId="45836D76" w:rsidR="00AF541F" w:rsidRDefault="00AF541F">
      <w:pPr>
        <w:spacing w:before="160" w:after="60" w:line="480" w:lineRule="auto"/>
        <w:jc w:val="left"/>
      </w:pPr>
      <w:r>
        <w:rPr>
          <w:rFonts w:hint="eastAsia"/>
        </w:rPr>
        <w:object w:dxaOrig="14510" w:dyaOrig="2387" w14:anchorId="029A93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6.7pt;height:80.05pt" o:ole="">
            <v:imagedata r:id="rId33" o:title=""/>
          </v:shape>
          <o:OLEObject Type="Embed" ProgID="ChemDraw_x64.Document.6.0" ShapeID="_x0000_i1025" DrawAspect="Content" ObjectID="_1851268638" r:id="rId34"/>
        </w:object>
      </w:r>
    </w:p>
    <w:p w14:paraId="7FCDD468" w14:textId="01E59399" w:rsidR="00D91720" w:rsidRDefault="00AF541F" w:rsidP="00B0745F">
      <w:pPr>
        <w:spacing w:before="160" w:after="60" w:line="480" w:lineRule="auto"/>
        <w:jc w:val="left"/>
        <w:rPr>
          <w:rFonts w:ascii="Arial" w:hAnsi="Arial"/>
          <w:bCs/>
        </w:rPr>
      </w:pPr>
      <w:r>
        <w:rPr>
          <w:rFonts w:ascii="Arial" w:eastAsia="Arial" w:hAnsi="Arial" w:cs="Arial"/>
          <w:b/>
          <w:bCs/>
          <w:color w:val="000000" w:themeColor="text1"/>
          <w:kern w:val="24"/>
          <w:szCs w:val="20"/>
        </w:rPr>
        <w:t>Supplementary Fig. 2</w:t>
      </w:r>
      <w:r>
        <w:rPr>
          <w:rFonts w:ascii="Arial" w:hAnsi="Arial" w:cs="Arial" w:hint="eastAsia"/>
          <w:b/>
          <w:bCs/>
          <w:color w:val="000000" w:themeColor="text1"/>
          <w:kern w:val="24"/>
          <w:szCs w:val="20"/>
        </w:rPr>
        <w:t>2</w:t>
      </w:r>
      <w:r>
        <w:rPr>
          <w:rFonts w:ascii="Arial" w:eastAsia="Arial" w:hAnsi="Arial" w:cs="Arial"/>
          <w:color w:val="000000" w:themeColor="text1"/>
          <w:kern w:val="24"/>
          <w:szCs w:val="20"/>
        </w:rPr>
        <w:t xml:space="preserve"> | </w:t>
      </w:r>
      <w:r w:rsidRPr="00AF541F">
        <w:rPr>
          <w:rFonts w:ascii="Arial" w:eastAsia="Arial" w:hAnsi="Arial" w:cs="Arial"/>
          <w:color w:val="000000" w:themeColor="text1"/>
          <w:kern w:val="24"/>
          <w:szCs w:val="20"/>
        </w:rPr>
        <w:t xml:space="preserve">Detection of intermediate using </w:t>
      </w:r>
      <w:r>
        <w:rPr>
          <w:rFonts w:ascii="Arial" w:hAnsi="Arial"/>
          <w:bCs/>
        </w:rPr>
        <w:t>2,3-dimethyl-1,3-butadiene</w:t>
      </w:r>
      <w:r>
        <w:rPr>
          <w:rFonts w:ascii="Arial" w:hAnsi="Arial" w:hint="eastAsia"/>
          <w:bCs/>
        </w:rPr>
        <w:t xml:space="preserve"> by BFO model compound.</w:t>
      </w:r>
    </w:p>
    <w:p w14:paraId="0C5D28A7" w14:textId="77777777" w:rsidR="00B0745F" w:rsidRDefault="00B0745F" w:rsidP="00B0745F">
      <w:pPr>
        <w:spacing w:before="160" w:after="60" w:line="480" w:lineRule="auto"/>
        <w:jc w:val="left"/>
        <w:rPr>
          <w:rFonts w:ascii="Arial" w:hAnsi="Arial"/>
          <w:bCs/>
        </w:rPr>
      </w:pPr>
    </w:p>
    <w:p w14:paraId="670F0017" w14:textId="77777777" w:rsidR="00B0745F" w:rsidRDefault="00B0745F" w:rsidP="00B0745F">
      <w:pPr>
        <w:spacing w:before="160" w:after="60" w:line="480" w:lineRule="auto"/>
        <w:jc w:val="left"/>
      </w:pPr>
    </w:p>
    <w:p w14:paraId="165AA0E1" w14:textId="02C2FF43" w:rsidR="00D91720" w:rsidRDefault="008C66D6">
      <w:pPr>
        <w:spacing w:line="480" w:lineRule="auto"/>
        <w:jc w:val="center"/>
      </w:pPr>
      <w:r>
        <w:rPr>
          <w:noProof/>
        </w:rPr>
        <w:drawing>
          <wp:inline distT="0" distB="0" distL="0" distR="0" wp14:anchorId="05C54A41" wp14:editId="186FF003">
            <wp:extent cx="6310222" cy="4389120"/>
            <wp:effectExtent l="0" t="0" r="0" b="0"/>
            <wp:docPr id="2115245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29340" cy="4402417"/>
                    </a:xfrm>
                    <a:prstGeom prst="rect">
                      <a:avLst/>
                    </a:prstGeom>
                    <a:noFill/>
                  </pic:spPr>
                </pic:pic>
              </a:graphicData>
            </a:graphic>
          </wp:inline>
        </w:drawing>
      </w:r>
    </w:p>
    <w:p w14:paraId="36FB6D8C" w14:textId="354855FA" w:rsidR="00D91720" w:rsidRDefault="00000000" w:rsidP="00B0745F">
      <w:pPr>
        <w:spacing w:before="160" w:after="60" w:line="480" w:lineRule="auto"/>
        <w:jc w:val="left"/>
        <w:rPr>
          <w:rFonts w:ascii="Arial" w:hAnsi="Arial" w:cs="Arial"/>
        </w:rPr>
      </w:pPr>
      <w:r w:rsidRPr="00B0745F">
        <w:rPr>
          <w:rFonts w:ascii="Arial" w:eastAsia="Arial" w:hAnsi="Arial" w:cs="Arial"/>
          <w:b/>
          <w:bCs/>
          <w:color w:val="000000" w:themeColor="text1"/>
          <w:kern w:val="24"/>
          <w:szCs w:val="20"/>
        </w:rPr>
        <w:t>Supplementary Fig. 23</w:t>
      </w:r>
      <w:r>
        <w:rPr>
          <w:rFonts w:ascii="Arial" w:eastAsia="Arial" w:hAnsi="Arial" w:cs="Arial"/>
          <w:color w:val="000000" w:themeColor="text1"/>
          <w:kern w:val="24"/>
          <w:szCs w:val="20"/>
        </w:rPr>
        <w:t xml:space="preserve"> | </w:t>
      </w:r>
      <w:r w:rsidRPr="00A773E1">
        <w:rPr>
          <w:rFonts w:ascii="Arial" w:eastAsia="Arial" w:hAnsi="Arial" w:cs="Arial"/>
          <w:color w:val="000000" w:themeColor="text1"/>
          <w:kern w:val="24"/>
          <w:szCs w:val="20"/>
          <w:vertAlign w:val="superscript"/>
        </w:rPr>
        <w:t>1</w:t>
      </w:r>
      <w:r>
        <w:rPr>
          <w:rFonts w:ascii="Arial" w:eastAsia="Arial" w:hAnsi="Arial" w:cs="Arial"/>
          <w:color w:val="000000" w:themeColor="text1"/>
          <w:kern w:val="24"/>
          <w:szCs w:val="20"/>
        </w:rPr>
        <w:t>H NMR spectra of the Cyclic D-A Intermediate Product</w:t>
      </w:r>
      <w:r w:rsidR="009D0187">
        <w:rPr>
          <w:rFonts w:ascii="Arial" w:hAnsi="Arial" w:cs="Arial" w:hint="eastAsia"/>
          <w:color w:val="000000" w:themeColor="text1"/>
          <w:kern w:val="24"/>
          <w:szCs w:val="20"/>
        </w:rPr>
        <w:t xml:space="preserve"> (1d)</w:t>
      </w:r>
      <w:r>
        <w:rPr>
          <w:rFonts w:ascii="Arial" w:eastAsia="Arial" w:hAnsi="Arial" w:cs="Arial"/>
          <w:color w:val="000000" w:themeColor="text1"/>
          <w:kern w:val="24"/>
          <w:szCs w:val="20"/>
        </w:rPr>
        <w:t>.</w:t>
      </w:r>
    </w:p>
    <w:p w14:paraId="66A65A11" w14:textId="16820CFB" w:rsidR="00D91720" w:rsidRDefault="008C66D6">
      <w:pPr>
        <w:spacing w:line="480" w:lineRule="auto"/>
        <w:jc w:val="center"/>
        <w:rPr>
          <w:rFonts w:ascii="Arial" w:hAnsi="Arial" w:cs="Arial"/>
        </w:rPr>
      </w:pPr>
      <w:r>
        <w:rPr>
          <w:noProof/>
        </w:rPr>
        <w:lastRenderedPageBreak/>
        <w:drawing>
          <wp:inline distT="0" distB="0" distL="0" distR="0" wp14:anchorId="1638AC70" wp14:editId="1A9C13A1">
            <wp:extent cx="6188710" cy="4321175"/>
            <wp:effectExtent l="0" t="0" r="2540" b="3175"/>
            <wp:docPr id="11049757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975720" name=""/>
                    <pic:cNvPicPr/>
                  </pic:nvPicPr>
                  <pic:blipFill>
                    <a:blip r:embed="rId36"/>
                    <a:stretch>
                      <a:fillRect/>
                    </a:stretch>
                  </pic:blipFill>
                  <pic:spPr>
                    <a:xfrm>
                      <a:off x="0" y="0"/>
                      <a:ext cx="6188710" cy="4321175"/>
                    </a:xfrm>
                    <a:prstGeom prst="rect">
                      <a:avLst/>
                    </a:prstGeom>
                  </pic:spPr>
                </pic:pic>
              </a:graphicData>
            </a:graphic>
          </wp:inline>
        </w:drawing>
      </w:r>
    </w:p>
    <w:p w14:paraId="16DA1F96" w14:textId="3F844956" w:rsidR="00D91720" w:rsidRDefault="00000000">
      <w:pPr>
        <w:spacing w:before="160" w:after="60" w:line="480" w:lineRule="auto"/>
        <w:jc w:val="left"/>
        <w:rPr>
          <w:rFonts w:ascii="Arial" w:hAnsi="Arial" w:cs="Arial"/>
        </w:rPr>
      </w:pPr>
      <w:r>
        <w:rPr>
          <w:rFonts w:ascii="Arial" w:eastAsia="Arial" w:hAnsi="Arial" w:cs="Arial"/>
          <w:b/>
          <w:bCs/>
          <w:color w:val="000000" w:themeColor="text1"/>
          <w:kern w:val="24"/>
          <w:szCs w:val="20"/>
        </w:rPr>
        <w:t xml:space="preserve">Supplementary Fig. 24 | </w:t>
      </w:r>
      <w:r w:rsidRPr="00A773E1">
        <w:rPr>
          <w:rFonts w:ascii="Arial" w:eastAsia="Arial" w:hAnsi="Arial" w:cs="Arial"/>
          <w:color w:val="000000" w:themeColor="text1"/>
          <w:kern w:val="24"/>
          <w:szCs w:val="20"/>
          <w:vertAlign w:val="superscript"/>
        </w:rPr>
        <w:t>13</w:t>
      </w:r>
      <w:r>
        <w:rPr>
          <w:rFonts w:ascii="Arial" w:eastAsia="Arial" w:hAnsi="Arial" w:cs="Arial"/>
          <w:color w:val="000000" w:themeColor="text1"/>
          <w:kern w:val="24"/>
          <w:szCs w:val="20"/>
        </w:rPr>
        <w:t>C NMR spectra of the Cyclic D-A Intermediate Product (1d).</w:t>
      </w:r>
    </w:p>
    <w:p w14:paraId="48FA7610" w14:textId="77777777" w:rsidR="00D91720" w:rsidRDefault="00D91720">
      <w:pPr>
        <w:spacing w:line="480" w:lineRule="auto"/>
        <w:rPr>
          <w:rFonts w:ascii="Arial" w:hAnsi="Arial" w:cs="Arial"/>
        </w:rPr>
      </w:pPr>
    </w:p>
    <w:p w14:paraId="4B9022F9" w14:textId="77777777" w:rsidR="00D91720" w:rsidRDefault="00000000">
      <w:pPr>
        <w:spacing w:line="480" w:lineRule="auto"/>
        <w:jc w:val="center"/>
        <w:rPr>
          <w:rFonts w:ascii="Arial" w:hAnsi="Arial" w:cs="Arial"/>
        </w:rPr>
      </w:pPr>
      <w:r>
        <w:rPr>
          <w:rFonts w:ascii="Arial" w:hAnsi="Arial" w:cs="Arial"/>
          <w:noProof/>
        </w:rPr>
        <w:drawing>
          <wp:inline distT="0" distB="0" distL="114300" distR="114300" wp14:anchorId="775EBF6E" wp14:editId="08E2C47E">
            <wp:extent cx="5400000" cy="3302531"/>
            <wp:effectExtent l="0" t="0" r="0" b="0"/>
            <wp:docPr id="9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7"/>
                    <pic:cNvPicPr>
                      <a:picLocks noChangeAspect="1"/>
                    </pic:cNvPicPr>
                  </pic:nvPicPr>
                  <pic:blipFill>
                    <a:blip r:embed="rId37"/>
                    <a:srcRect t="23626"/>
                    <a:stretch>
                      <a:fillRect/>
                    </a:stretch>
                  </pic:blipFill>
                  <pic:spPr>
                    <a:xfrm>
                      <a:off x="0" y="0"/>
                      <a:ext cx="5400000" cy="3302531"/>
                    </a:xfrm>
                    <a:prstGeom prst="rect">
                      <a:avLst/>
                    </a:prstGeom>
                    <a:noFill/>
                    <a:ln>
                      <a:noFill/>
                    </a:ln>
                  </pic:spPr>
                </pic:pic>
              </a:graphicData>
            </a:graphic>
          </wp:inline>
        </w:drawing>
      </w:r>
    </w:p>
    <w:p w14:paraId="739A7828" w14:textId="77777777" w:rsidR="00D91720" w:rsidRDefault="00000000">
      <w:pPr>
        <w:spacing w:before="160" w:after="60" w:line="480" w:lineRule="auto"/>
        <w:jc w:val="left"/>
        <w:rPr>
          <w:rFonts w:ascii="Arial" w:hAnsi="Arial" w:cs="Arial"/>
        </w:rPr>
      </w:pPr>
      <w:r>
        <w:rPr>
          <w:rFonts w:ascii="Arial" w:eastAsia="Arial" w:hAnsi="Arial" w:cs="Arial"/>
          <w:b/>
          <w:bCs/>
          <w:color w:val="000000" w:themeColor="text1"/>
          <w:kern w:val="24"/>
          <w:szCs w:val="20"/>
        </w:rPr>
        <w:t>Supplementary Fig. 25</w:t>
      </w:r>
      <w:r>
        <w:rPr>
          <w:rFonts w:ascii="Arial" w:eastAsia="Arial" w:hAnsi="Arial" w:cs="Arial"/>
          <w:color w:val="000000" w:themeColor="text1"/>
          <w:kern w:val="24"/>
          <w:szCs w:val="20"/>
        </w:rPr>
        <w:t xml:space="preserve"> | HR-MS of the Cyclic D-A Intermediate Product (1d).</w:t>
      </w:r>
    </w:p>
    <w:p w14:paraId="08007E3C" w14:textId="77777777" w:rsidR="00D91720" w:rsidRDefault="00D91720">
      <w:pPr>
        <w:spacing w:line="480" w:lineRule="auto"/>
        <w:rPr>
          <w:rFonts w:ascii="Arial" w:hAnsi="Arial" w:cs="Arial"/>
        </w:rPr>
      </w:pPr>
    </w:p>
    <w:p w14:paraId="15F78643" w14:textId="77777777" w:rsidR="00D91720" w:rsidRDefault="00000000">
      <w:pPr>
        <w:spacing w:line="480" w:lineRule="auto"/>
        <w:jc w:val="center"/>
        <w:rPr>
          <w:rFonts w:ascii="Arial" w:hAnsi="Arial" w:cs="Arial"/>
        </w:rPr>
      </w:pPr>
      <w:r>
        <w:rPr>
          <w:noProof/>
        </w:rPr>
        <w:drawing>
          <wp:inline distT="0" distB="0" distL="114300" distR="114300" wp14:anchorId="7E98CE0B" wp14:editId="472565A5">
            <wp:extent cx="5387340" cy="5982970"/>
            <wp:effectExtent l="0" t="0" r="7620" b="0"/>
            <wp:docPr id="9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8"/>
                    <pic:cNvPicPr>
                      <a:picLocks noChangeAspect="1"/>
                    </pic:cNvPicPr>
                  </pic:nvPicPr>
                  <pic:blipFill>
                    <a:blip r:embed="rId38"/>
                    <a:stretch>
                      <a:fillRect/>
                    </a:stretch>
                  </pic:blipFill>
                  <pic:spPr>
                    <a:xfrm>
                      <a:off x="0" y="0"/>
                      <a:ext cx="5387340" cy="5982970"/>
                    </a:xfrm>
                    <a:prstGeom prst="rect">
                      <a:avLst/>
                    </a:prstGeom>
                    <a:noFill/>
                    <a:ln>
                      <a:noFill/>
                    </a:ln>
                  </pic:spPr>
                </pic:pic>
              </a:graphicData>
            </a:graphic>
          </wp:inline>
        </w:drawing>
      </w:r>
    </w:p>
    <w:p w14:paraId="53E6703C" w14:textId="6899C0F8" w:rsidR="004563D3" w:rsidRDefault="00000000" w:rsidP="001F65D2">
      <w:pPr>
        <w:spacing w:before="160" w:after="60" w:line="480" w:lineRule="auto"/>
        <w:rPr>
          <w:rFonts w:ascii="Arial" w:eastAsia="Arial" w:hAnsi="Arial" w:cs="Arial"/>
          <w:szCs w:val="21"/>
        </w:rPr>
      </w:pPr>
      <w:r>
        <w:rPr>
          <w:rFonts w:ascii="Arial" w:eastAsia="Arial" w:hAnsi="Arial" w:cs="Arial"/>
          <w:b/>
          <w:bCs/>
          <w:szCs w:val="21"/>
        </w:rPr>
        <w:t xml:space="preserve">Supplementary Fig. 26 </w:t>
      </w:r>
      <w:r>
        <w:rPr>
          <w:rFonts w:ascii="Arial" w:eastAsia="Arial" w:hAnsi="Arial" w:cs="Arial"/>
          <w:szCs w:val="21"/>
        </w:rPr>
        <w:t xml:space="preserve">| </w:t>
      </w:r>
      <w:r w:rsidR="001F65D2" w:rsidRPr="001F65D2">
        <w:rPr>
          <w:rFonts w:ascii="Arial" w:eastAsia="Arial" w:hAnsi="Arial" w:cs="Arial"/>
          <w:szCs w:val="21"/>
        </w:rPr>
        <w:t>HR-ESI-MS of the early-stage reaction mixture (30 min) from the polymerization with 1 eq. S. In the initial stage of polymerization, the BFDO monomer ([M−</w:t>
      </w:r>
      <w:proofErr w:type="gramStart"/>
      <w:r w:rsidR="001F65D2" w:rsidRPr="001F65D2">
        <w:rPr>
          <w:rFonts w:ascii="Arial" w:eastAsia="Arial" w:hAnsi="Arial" w:cs="Arial"/>
          <w:szCs w:val="21"/>
        </w:rPr>
        <w:t>H]</w:t>
      </w:r>
      <w:r w:rsidR="001F65D2" w:rsidRPr="001F65D2">
        <w:rPr>
          <w:rFonts w:ascii="Cambria Math" w:eastAsia="Arial" w:hAnsi="Cambria Math" w:cs="Cambria Math"/>
          <w:szCs w:val="21"/>
        </w:rPr>
        <w:t>⁻</w:t>
      </w:r>
      <w:proofErr w:type="gramEnd"/>
      <w:r w:rsidR="001F65D2" w:rsidRPr="001F65D2">
        <w:rPr>
          <w:rFonts w:ascii="Arial" w:eastAsia="Arial" w:hAnsi="Arial" w:cs="Arial"/>
          <w:szCs w:val="21"/>
        </w:rPr>
        <w:t xml:space="preserve"> </w:t>
      </w:r>
      <w:proofErr w:type="spellStart"/>
      <w:r w:rsidR="001F65D2" w:rsidRPr="001F65D2">
        <w:rPr>
          <w:rFonts w:ascii="Arial" w:eastAsia="Arial" w:hAnsi="Arial" w:cs="Arial"/>
          <w:szCs w:val="21"/>
        </w:rPr>
        <w:t>calcd</w:t>
      </w:r>
      <w:proofErr w:type="spellEnd"/>
      <w:r w:rsidR="001F65D2" w:rsidRPr="001F65D2">
        <w:rPr>
          <w:rFonts w:ascii="Arial" w:eastAsia="Arial" w:hAnsi="Arial" w:cs="Arial"/>
          <w:szCs w:val="21"/>
        </w:rPr>
        <w:t>. for C</w:t>
      </w:r>
      <w:r w:rsidR="001F65D2" w:rsidRPr="001F65D2">
        <w:rPr>
          <w:rFonts w:ascii="Cambria Math" w:eastAsia="Arial" w:hAnsi="Cambria Math" w:cs="Cambria Math"/>
          <w:szCs w:val="21"/>
        </w:rPr>
        <w:t>₁₀</w:t>
      </w:r>
      <w:r w:rsidR="001F65D2" w:rsidRPr="001F65D2">
        <w:rPr>
          <w:rFonts w:ascii="Arial" w:eastAsia="Arial" w:hAnsi="Arial" w:cs="Arial"/>
          <w:szCs w:val="21"/>
        </w:rPr>
        <w:t>H</w:t>
      </w:r>
      <w:r w:rsidR="001F65D2" w:rsidRPr="001F65D2">
        <w:rPr>
          <w:rFonts w:ascii="Cambria Math" w:eastAsia="Arial" w:hAnsi="Cambria Math" w:cs="Cambria Math"/>
          <w:szCs w:val="21"/>
        </w:rPr>
        <w:t>₅</w:t>
      </w:r>
      <w:r w:rsidR="001F65D2" w:rsidRPr="001F65D2">
        <w:rPr>
          <w:rFonts w:ascii="Arial" w:eastAsia="Arial" w:hAnsi="Arial" w:cs="Arial"/>
          <w:szCs w:val="21"/>
        </w:rPr>
        <w:t>O</w:t>
      </w:r>
      <w:r w:rsidR="001F65D2" w:rsidRPr="001F65D2">
        <w:rPr>
          <w:rFonts w:ascii="Cambria Math" w:eastAsia="Arial" w:hAnsi="Cambria Math" w:cs="Cambria Math"/>
          <w:szCs w:val="21"/>
        </w:rPr>
        <w:t>₄⁻</w:t>
      </w:r>
      <w:r w:rsidR="001F65D2" w:rsidRPr="001F65D2">
        <w:rPr>
          <w:rFonts w:ascii="Arial" w:eastAsia="Arial" w:hAnsi="Arial" w:cs="Arial"/>
          <w:szCs w:val="21"/>
        </w:rPr>
        <w:t>, m/z 189.0193; found 189.0200), the dimer ([M−</w:t>
      </w:r>
      <w:proofErr w:type="gramStart"/>
      <w:r w:rsidR="001F65D2" w:rsidRPr="001F65D2">
        <w:rPr>
          <w:rFonts w:ascii="Arial" w:eastAsia="Arial" w:hAnsi="Arial" w:cs="Arial"/>
          <w:szCs w:val="21"/>
        </w:rPr>
        <w:t>H]</w:t>
      </w:r>
      <w:r w:rsidR="001F65D2" w:rsidRPr="001F65D2">
        <w:rPr>
          <w:rFonts w:ascii="Cambria Math" w:eastAsia="Arial" w:hAnsi="Cambria Math" w:cs="Cambria Math"/>
          <w:szCs w:val="21"/>
        </w:rPr>
        <w:t>⁻</w:t>
      </w:r>
      <w:proofErr w:type="gramEnd"/>
      <w:r w:rsidR="001F65D2" w:rsidRPr="001F65D2">
        <w:rPr>
          <w:rFonts w:ascii="Arial" w:eastAsia="Arial" w:hAnsi="Arial" w:cs="Arial"/>
          <w:szCs w:val="21"/>
        </w:rPr>
        <w:t xml:space="preserve"> </w:t>
      </w:r>
      <w:proofErr w:type="spellStart"/>
      <w:r w:rsidR="001F65D2" w:rsidRPr="001F65D2">
        <w:rPr>
          <w:rFonts w:ascii="Arial" w:eastAsia="Arial" w:hAnsi="Arial" w:cs="Arial"/>
          <w:szCs w:val="21"/>
        </w:rPr>
        <w:t>calcd</w:t>
      </w:r>
      <w:proofErr w:type="spellEnd"/>
      <w:r w:rsidR="001F65D2" w:rsidRPr="001F65D2">
        <w:rPr>
          <w:rFonts w:ascii="Arial" w:eastAsia="Arial" w:hAnsi="Arial" w:cs="Arial"/>
          <w:szCs w:val="21"/>
        </w:rPr>
        <w:t>. for C</w:t>
      </w:r>
      <w:r w:rsidR="001F65D2" w:rsidRPr="001F65D2">
        <w:rPr>
          <w:rFonts w:ascii="Cambria Math" w:eastAsia="Arial" w:hAnsi="Cambria Math" w:cs="Cambria Math"/>
          <w:szCs w:val="21"/>
        </w:rPr>
        <w:t>₂₀</w:t>
      </w:r>
      <w:r w:rsidR="001F65D2" w:rsidRPr="001F65D2">
        <w:rPr>
          <w:rFonts w:ascii="Arial" w:eastAsia="Arial" w:hAnsi="Arial" w:cs="Arial"/>
          <w:szCs w:val="21"/>
        </w:rPr>
        <w:t>H</w:t>
      </w:r>
      <w:r w:rsidR="001F65D2" w:rsidRPr="001F65D2">
        <w:rPr>
          <w:rFonts w:ascii="Cambria Math" w:eastAsia="Arial" w:hAnsi="Cambria Math" w:cs="Cambria Math"/>
          <w:szCs w:val="21"/>
        </w:rPr>
        <w:t>₇</w:t>
      </w:r>
      <w:r w:rsidR="001F65D2" w:rsidRPr="001F65D2">
        <w:rPr>
          <w:rFonts w:ascii="Arial" w:eastAsia="Arial" w:hAnsi="Arial" w:cs="Arial"/>
          <w:szCs w:val="21"/>
        </w:rPr>
        <w:t>O</w:t>
      </w:r>
      <w:r w:rsidR="001F65D2" w:rsidRPr="001F65D2">
        <w:rPr>
          <w:rFonts w:ascii="Cambria Math" w:eastAsia="Arial" w:hAnsi="Cambria Math" w:cs="Cambria Math"/>
          <w:szCs w:val="21"/>
        </w:rPr>
        <w:t>₈⁻</w:t>
      </w:r>
      <w:r w:rsidR="001F65D2" w:rsidRPr="001F65D2">
        <w:rPr>
          <w:rFonts w:ascii="Arial" w:eastAsia="Arial" w:hAnsi="Arial" w:cs="Arial"/>
          <w:szCs w:val="21"/>
        </w:rPr>
        <w:t xml:space="preserve">, m/z 375.0146; found 375.0187) and the </w:t>
      </w:r>
      <w:proofErr w:type="spellStart"/>
      <w:r w:rsidR="001F65D2" w:rsidRPr="001F65D2">
        <w:rPr>
          <w:rFonts w:ascii="Arial" w:eastAsia="Arial" w:hAnsi="Arial" w:cs="Arial"/>
          <w:szCs w:val="21"/>
        </w:rPr>
        <w:t>thione</w:t>
      </w:r>
      <w:proofErr w:type="spellEnd"/>
      <w:r w:rsidR="001F65D2" w:rsidRPr="001F65D2">
        <w:rPr>
          <w:rFonts w:ascii="Arial" w:eastAsia="Arial" w:hAnsi="Arial" w:cs="Arial"/>
          <w:szCs w:val="21"/>
        </w:rPr>
        <w:t xml:space="preserve"> intermediate A ([M−</w:t>
      </w:r>
      <w:proofErr w:type="gramStart"/>
      <w:r w:rsidR="001F65D2" w:rsidRPr="001F65D2">
        <w:rPr>
          <w:rFonts w:ascii="Arial" w:eastAsia="Arial" w:hAnsi="Arial" w:cs="Arial"/>
          <w:szCs w:val="21"/>
        </w:rPr>
        <w:t>H]</w:t>
      </w:r>
      <w:r w:rsidR="001F65D2" w:rsidRPr="001F65D2">
        <w:rPr>
          <w:rFonts w:ascii="Cambria Math" w:eastAsia="Arial" w:hAnsi="Cambria Math" w:cs="Cambria Math"/>
          <w:szCs w:val="21"/>
        </w:rPr>
        <w:t>⁻</w:t>
      </w:r>
      <w:proofErr w:type="gramEnd"/>
      <w:r w:rsidR="001F65D2" w:rsidRPr="001F65D2">
        <w:rPr>
          <w:rFonts w:ascii="Arial" w:eastAsia="Arial" w:hAnsi="Arial" w:cs="Arial"/>
          <w:szCs w:val="21"/>
        </w:rPr>
        <w:t xml:space="preserve"> </w:t>
      </w:r>
      <w:proofErr w:type="spellStart"/>
      <w:r w:rsidR="001F65D2" w:rsidRPr="001F65D2">
        <w:rPr>
          <w:rFonts w:ascii="Arial" w:eastAsia="Arial" w:hAnsi="Arial" w:cs="Arial"/>
          <w:szCs w:val="21"/>
        </w:rPr>
        <w:t>calcd</w:t>
      </w:r>
      <w:proofErr w:type="spellEnd"/>
      <w:r w:rsidR="001F65D2" w:rsidRPr="001F65D2">
        <w:rPr>
          <w:rFonts w:ascii="Arial" w:eastAsia="Arial" w:hAnsi="Arial" w:cs="Arial"/>
          <w:szCs w:val="21"/>
        </w:rPr>
        <w:t>. for C</w:t>
      </w:r>
      <w:r w:rsidR="001F65D2" w:rsidRPr="001F65D2">
        <w:rPr>
          <w:rFonts w:ascii="Cambria Math" w:eastAsia="Arial" w:hAnsi="Cambria Math" w:cs="Cambria Math"/>
          <w:szCs w:val="21"/>
        </w:rPr>
        <w:t>₁₀</w:t>
      </w:r>
      <w:r w:rsidR="001F65D2" w:rsidRPr="001F65D2">
        <w:rPr>
          <w:rFonts w:ascii="Arial" w:eastAsia="Arial" w:hAnsi="Arial" w:cs="Arial"/>
          <w:szCs w:val="21"/>
        </w:rPr>
        <w:t>H</w:t>
      </w:r>
      <w:r w:rsidR="001F65D2" w:rsidRPr="001F65D2">
        <w:rPr>
          <w:rFonts w:ascii="Cambria Math" w:eastAsia="Arial" w:hAnsi="Cambria Math" w:cs="Cambria Math"/>
          <w:szCs w:val="21"/>
        </w:rPr>
        <w:t>₃</w:t>
      </w:r>
      <w:r w:rsidR="001F65D2" w:rsidRPr="001F65D2">
        <w:rPr>
          <w:rFonts w:ascii="Arial" w:eastAsia="Arial" w:hAnsi="Arial" w:cs="Arial"/>
          <w:szCs w:val="21"/>
        </w:rPr>
        <w:t>O</w:t>
      </w:r>
      <w:r w:rsidR="001F65D2" w:rsidRPr="001F65D2">
        <w:rPr>
          <w:rFonts w:ascii="Cambria Math" w:eastAsia="Arial" w:hAnsi="Cambria Math" w:cs="Cambria Math"/>
          <w:szCs w:val="21"/>
        </w:rPr>
        <w:t>₄</w:t>
      </w:r>
      <w:r w:rsidR="001F65D2" w:rsidRPr="001F65D2">
        <w:rPr>
          <w:rFonts w:ascii="Arial" w:eastAsia="Arial" w:hAnsi="Arial" w:cs="Arial"/>
          <w:szCs w:val="21"/>
        </w:rPr>
        <w:t>S</w:t>
      </w:r>
      <w:r w:rsidR="001F65D2" w:rsidRPr="001F65D2">
        <w:rPr>
          <w:rFonts w:ascii="Cambria Math" w:eastAsia="Arial" w:hAnsi="Cambria Math" w:cs="Cambria Math"/>
          <w:szCs w:val="21"/>
        </w:rPr>
        <w:t>⁻</w:t>
      </w:r>
      <w:r w:rsidR="001F65D2" w:rsidRPr="001F65D2">
        <w:rPr>
          <w:rFonts w:ascii="Arial" w:eastAsia="Arial" w:hAnsi="Arial" w:cs="Arial"/>
          <w:szCs w:val="21"/>
        </w:rPr>
        <w:t>, m/z 218.9758; found 218.9775) were detected, supporting the proposed mechanism.</w:t>
      </w:r>
      <w:r w:rsidR="004563D3">
        <w:rPr>
          <w:rFonts w:ascii="Arial" w:eastAsia="Arial" w:hAnsi="Arial" w:cs="Arial"/>
          <w:szCs w:val="21"/>
        </w:rPr>
        <w:br w:type="page"/>
      </w:r>
    </w:p>
    <w:p w14:paraId="4381E885" w14:textId="35CF1708" w:rsidR="00D91720" w:rsidRDefault="00000000">
      <w:pPr>
        <w:numPr>
          <w:ilvl w:val="0"/>
          <w:numId w:val="2"/>
        </w:numPr>
        <w:spacing w:before="200" w:after="100" w:line="480" w:lineRule="auto"/>
        <w:jc w:val="left"/>
        <w:rPr>
          <w:rFonts w:ascii="Arial" w:eastAsia="等线" w:hAnsi="Arial" w:cs="Arial"/>
          <w:b/>
          <w:sz w:val="24"/>
          <w:szCs w:val="24"/>
        </w:rPr>
      </w:pPr>
      <w:r>
        <w:rPr>
          <w:rFonts w:ascii="Arial" w:eastAsia="Arial" w:hAnsi="Arial" w:cs="Arial"/>
          <w:b/>
          <w:sz w:val="24"/>
          <w:szCs w:val="24"/>
        </w:rPr>
        <w:lastRenderedPageBreak/>
        <w:t>Dynamic light scattering (DLS) measurements of PBFDO polymers</w:t>
      </w:r>
    </w:p>
    <w:p w14:paraId="69C21AA5" w14:textId="77777777" w:rsidR="00D91720" w:rsidRDefault="00000000">
      <w:pPr>
        <w:spacing w:after="100" w:line="480" w:lineRule="auto"/>
        <w:ind w:firstLineChars="200" w:firstLine="400"/>
        <w:rPr>
          <w:rFonts w:ascii="Arial" w:hAnsi="Arial" w:cs="Arial"/>
          <w:szCs w:val="21"/>
        </w:rPr>
      </w:pPr>
      <w:r>
        <w:rPr>
          <w:rFonts w:ascii="Arial" w:eastAsia="Arial" w:hAnsi="Arial" w:cs="Arial"/>
          <w:szCs w:val="21"/>
        </w:rPr>
        <w:t>Since PBFDO polymers are almost exclusively soluble in DMSO, conventional GPC mobile phases are not suitable for their molecular weight measurements. Therefore, we used DLS measurements to characterize the hydrodynamic diameter of polymer chains and understand polymer dynamics.</w:t>
      </w:r>
    </w:p>
    <w:p w14:paraId="56850E19" w14:textId="77777777" w:rsidR="00D91720" w:rsidRDefault="00000000">
      <w:pPr>
        <w:spacing w:after="100" w:line="480" w:lineRule="auto"/>
        <w:ind w:firstLineChars="200" w:firstLine="400"/>
      </w:pPr>
      <w:r>
        <w:rPr>
          <w:rFonts w:ascii="Arial" w:eastAsia="Arial" w:hAnsi="Arial" w:cs="Arial"/>
          <w:szCs w:val="21"/>
        </w:rPr>
        <w:t>General method for DLS characterization: In a nitrogen atmosphere, BFDO monomer (50 mg, 5 mg mL−1) and S</w:t>
      </w:r>
      <w:r w:rsidRPr="00B0745F">
        <w:rPr>
          <w:rFonts w:ascii="Arial" w:eastAsia="Arial" w:hAnsi="Arial" w:cs="Arial"/>
          <w:szCs w:val="21"/>
          <w:vertAlign w:val="subscript"/>
        </w:rPr>
        <w:t>8</w:t>
      </w:r>
      <w:r>
        <w:rPr>
          <w:rFonts w:ascii="Arial" w:eastAsia="Arial" w:hAnsi="Arial" w:cs="Arial"/>
          <w:szCs w:val="21"/>
        </w:rPr>
        <w:t xml:space="preserve"> (1–2 eq. S) were dissolved in DMSO at 120 °C. The mixture was stirred for several hours until the monomer conversion was complete (as checked by 1H NMR). At different reaction times, 200 </w:t>
      </w:r>
      <w:proofErr w:type="spellStart"/>
      <w:r>
        <w:rPr>
          <w:rFonts w:ascii="Arial" w:eastAsia="Arial" w:hAnsi="Arial" w:cs="Arial"/>
          <w:szCs w:val="21"/>
        </w:rPr>
        <w:t>μL</w:t>
      </w:r>
      <w:proofErr w:type="spellEnd"/>
      <w:r>
        <w:rPr>
          <w:rFonts w:ascii="Arial" w:eastAsia="Arial" w:hAnsi="Arial" w:cs="Arial"/>
          <w:szCs w:val="21"/>
        </w:rPr>
        <w:t xml:space="preserve"> of the mixture was taken from the reaction solution and diluted to 3 mL with DMSO. These diluted solutions were used for time-dependent UV-Vis-NIR absorption measurements and DLS studies. The summary of DLS results is presented in Supplementary Tables 4–5 and Supplementary Figs. 27–28.</w:t>
      </w:r>
    </w:p>
    <w:p w14:paraId="497AACF9" w14:textId="77777777" w:rsidR="00D91720" w:rsidRDefault="00000000">
      <w:pPr>
        <w:spacing w:line="480" w:lineRule="auto"/>
      </w:pPr>
      <w:r>
        <w:rPr>
          <w:noProof/>
        </w:rPr>
        <w:lastRenderedPageBreak/>
        <w:drawing>
          <wp:inline distT="0" distB="0" distL="114300" distR="114300" wp14:anchorId="00B94948" wp14:editId="5F3CF691">
            <wp:extent cx="5400040" cy="6704965"/>
            <wp:effectExtent l="0" t="0" r="0" b="0"/>
            <wp:docPr id="10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5"/>
                    <pic:cNvPicPr>
                      <a:picLocks noChangeAspect="1"/>
                    </pic:cNvPicPr>
                  </pic:nvPicPr>
                  <pic:blipFill>
                    <a:blip r:embed="rId39"/>
                    <a:stretch>
                      <a:fillRect/>
                    </a:stretch>
                  </pic:blipFill>
                  <pic:spPr>
                    <a:xfrm>
                      <a:off x="0" y="0"/>
                      <a:ext cx="5400040" cy="6704965"/>
                    </a:xfrm>
                    <a:prstGeom prst="rect">
                      <a:avLst/>
                    </a:prstGeom>
                    <a:noFill/>
                    <a:ln>
                      <a:noFill/>
                    </a:ln>
                  </pic:spPr>
                </pic:pic>
              </a:graphicData>
            </a:graphic>
          </wp:inline>
        </w:drawing>
      </w:r>
    </w:p>
    <w:p w14:paraId="024AA8C6" w14:textId="77777777" w:rsidR="00D91720" w:rsidRDefault="00000000">
      <w:pPr>
        <w:spacing w:before="160" w:after="60" w:line="480" w:lineRule="auto"/>
        <w:jc w:val="left"/>
        <w:rPr>
          <w:rFonts w:ascii="Arial" w:eastAsia="等线" w:hAnsi="Arial" w:cs="Arial"/>
          <w:bCs/>
          <w:szCs w:val="21"/>
        </w:rPr>
      </w:pPr>
      <w:r>
        <w:rPr>
          <w:rFonts w:ascii="Arial" w:eastAsia="Arial" w:hAnsi="Arial" w:cs="Arial"/>
          <w:b/>
          <w:bCs/>
          <w:szCs w:val="21"/>
        </w:rPr>
        <w:t>Supplementary Fig. 27</w:t>
      </w:r>
      <w:r>
        <w:rPr>
          <w:rFonts w:ascii="Arial" w:eastAsia="Arial" w:hAnsi="Arial" w:cs="Arial"/>
          <w:szCs w:val="21"/>
        </w:rPr>
        <w:t xml:space="preserve"> | DLS analysis of hydrodynamic diameter distribution of n-PBFDO particles at different polymerization time (polymerization condition: 5 mg mL−1 BFDO with 1 eq. S at 120 °C).</w:t>
      </w:r>
    </w:p>
    <w:p w14:paraId="05395F04" w14:textId="77777777" w:rsidR="00D91720" w:rsidRDefault="00D91720">
      <w:pPr>
        <w:spacing w:line="480" w:lineRule="auto"/>
        <w:rPr>
          <w:rFonts w:ascii="Arial" w:eastAsia="等线" w:hAnsi="Arial" w:cs="Arial"/>
          <w:bCs/>
          <w:szCs w:val="21"/>
        </w:rPr>
      </w:pPr>
    </w:p>
    <w:p w14:paraId="04FEE0F2" w14:textId="77777777" w:rsidR="00D91720" w:rsidRDefault="00D91720">
      <w:pPr>
        <w:spacing w:line="480" w:lineRule="auto"/>
        <w:rPr>
          <w:rFonts w:ascii="Arial" w:eastAsia="等线" w:hAnsi="Arial" w:cs="Arial"/>
          <w:bCs/>
          <w:szCs w:val="21"/>
        </w:rPr>
      </w:pPr>
    </w:p>
    <w:p w14:paraId="52DEEDB4" w14:textId="77777777" w:rsidR="004563D3" w:rsidRDefault="004563D3">
      <w:pPr>
        <w:spacing w:line="480" w:lineRule="auto"/>
        <w:rPr>
          <w:rFonts w:ascii="Arial" w:eastAsia="等线" w:hAnsi="Arial" w:cs="Arial"/>
          <w:bCs/>
          <w:szCs w:val="21"/>
        </w:rPr>
      </w:pPr>
    </w:p>
    <w:p w14:paraId="738C9737" w14:textId="77777777" w:rsidR="00163EFC" w:rsidRDefault="00163EFC">
      <w:pPr>
        <w:spacing w:line="480" w:lineRule="auto"/>
        <w:rPr>
          <w:rFonts w:ascii="Arial" w:eastAsia="等线" w:hAnsi="Arial" w:cs="Arial"/>
          <w:bCs/>
          <w:szCs w:val="21"/>
        </w:rPr>
      </w:pPr>
    </w:p>
    <w:p w14:paraId="410848C5" w14:textId="77777777" w:rsidR="00D91720" w:rsidRDefault="00000000">
      <w:pPr>
        <w:spacing w:before="160" w:after="60" w:line="480" w:lineRule="auto"/>
        <w:jc w:val="left"/>
        <w:rPr>
          <w:rFonts w:ascii="Arial" w:eastAsia="宋体" w:hAnsi="Arial" w:cs="Arial"/>
          <w:bCs/>
          <w:szCs w:val="21"/>
        </w:rPr>
      </w:pPr>
      <w:r w:rsidRPr="00A773E1">
        <w:rPr>
          <w:rFonts w:ascii="Arial" w:eastAsia="Arial" w:hAnsi="Arial" w:cs="Arial"/>
          <w:b/>
          <w:bCs/>
          <w:szCs w:val="21"/>
        </w:rPr>
        <w:lastRenderedPageBreak/>
        <w:t>Supplementary Table 4</w:t>
      </w:r>
      <w:r>
        <w:rPr>
          <w:rFonts w:ascii="Arial" w:eastAsia="Arial" w:hAnsi="Arial" w:cs="Arial"/>
          <w:szCs w:val="21"/>
        </w:rPr>
        <w:t xml:space="preserve"> | Hydrodynamic diameters of n-PBFDO particles at different polymerization time (polymerization condition: 5 mg mL</w:t>
      </w:r>
      <w:r>
        <w:rPr>
          <w:rFonts w:ascii="Arial" w:eastAsia="Arial" w:hAnsi="Arial" w:cs="Arial"/>
          <w:szCs w:val="21"/>
          <w:vertAlign w:val="superscript"/>
        </w:rPr>
        <w:t>−</w:t>
      </w:r>
      <w:proofErr w:type="gramStart"/>
      <w:r>
        <w:rPr>
          <w:rFonts w:ascii="Arial" w:eastAsia="Arial" w:hAnsi="Arial" w:cs="Arial"/>
          <w:szCs w:val="21"/>
          <w:vertAlign w:val="superscript"/>
        </w:rPr>
        <w:t>1</w:t>
      </w:r>
      <w:r>
        <w:rPr>
          <w:rFonts w:ascii="Arial" w:eastAsia="Arial" w:hAnsi="Arial" w:cs="Arial"/>
          <w:szCs w:val="21"/>
        </w:rPr>
        <w:t xml:space="preserve"> </w:t>
      </w:r>
      <w:r>
        <w:rPr>
          <w:rFonts w:ascii="Arial" w:eastAsia="Arial" w:hAnsi="Arial" w:cs="Arial"/>
          <w:szCs w:val="21"/>
          <w:vertAlign w:val="superscript"/>
        </w:rPr>
        <w:t xml:space="preserve"> </w:t>
      </w:r>
      <w:r>
        <w:rPr>
          <w:rFonts w:ascii="Arial" w:eastAsia="Arial" w:hAnsi="Arial" w:cs="Arial"/>
          <w:szCs w:val="21"/>
        </w:rPr>
        <w:t>BFDO</w:t>
      </w:r>
      <w:proofErr w:type="gramEnd"/>
      <w:r>
        <w:rPr>
          <w:rFonts w:ascii="Arial" w:eastAsia="Arial" w:hAnsi="Arial" w:cs="Arial"/>
          <w:szCs w:val="21"/>
        </w:rPr>
        <w:t xml:space="preserve"> with 1 eq. S at 120 °C).</w:t>
      </w:r>
    </w:p>
    <w:tbl>
      <w:tblPr>
        <w:tblW w:w="5000" w:type="pct"/>
        <w:jc w:val="center"/>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29"/>
        <w:gridCol w:w="3844"/>
        <w:gridCol w:w="4873"/>
      </w:tblGrid>
      <w:tr w:rsidR="00D91720" w14:paraId="32406892" w14:textId="77777777">
        <w:trPr>
          <w:trHeight w:val="511"/>
          <w:jc w:val="center"/>
        </w:trPr>
        <w:tc>
          <w:tcPr>
            <w:tcW w:w="528" w:type="pct"/>
            <w:tcBorders>
              <w:top w:val="nil"/>
              <w:left w:val="nil"/>
              <w:bottom w:val="single" w:sz="8" w:space="0" w:color="000000"/>
              <w:right w:val="nil"/>
            </w:tcBorders>
            <w:tcMar>
              <w:top w:w="54" w:type="dxa"/>
              <w:left w:w="108" w:type="dxa"/>
              <w:bottom w:w="54" w:type="dxa"/>
              <w:right w:w="108" w:type="dxa"/>
            </w:tcMar>
            <w:vAlign w:val="center"/>
          </w:tcPr>
          <w:p w14:paraId="75DC863B" w14:textId="77777777" w:rsidR="00D91720" w:rsidRDefault="00000000">
            <w:pPr>
              <w:widowControl/>
              <w:spacing w:before="40" w:after="40" w:afterAutospacing="1"/>
              <w:jc w:val="left"/>
              <w:rPr>
                <w:rFonts w:ascii="Arial" w:hAnsi="Arial" w:cs="Arial"/>
                <w:kern w:val="0"/>
                <w:szCs w:val="20"/>
                <w:lang w:bidi="ar"/>
              </w:rPr>
            </w:pPr>
            <w:r>
              <w:rPr>
                <w:rFonts w:ascii="Arial" w:eastAsia="Arial" w:hAnsi="Arial" w:cs="Arial"/>
                <w:b/>
                <w:color w:val="000000"/>
                <w:kern w:val="0"/>
                <w:sz w:val="18"/>
                <w:szCs w:val="20"/>
                <w:lang w:bidi="ar"/>
              </w:rPr>
              <w:t>Time</w:t>
            </w:r>
          </w:p>
        </w:tc>
        <w:tc>
          <w:tcPr>
            <w:tcW w:w="1972" w:type="pct"/>
            <w:tcBorders>
              <w:top w:val="nil"/>
              <w:left w:val="nil"/>
              <w:bottom w:val="single" w:sz="8" w:space="0" w:color="000000"/>
              <w:right w:val="nil"/>
            </w:tcBorders>
            <w:tcMar>
              <w:top w:w="54" w:type="dxa"/>
              <w:left w:w="108" w:type="dxa"/>
              <w:bottom w:w="54" w:type="dxa"/>
              <w:right w:w="108" w:type="dxa"/>
            </w:tcMar>
            <w:vAlign w:val="center"/>
          </w:tcPr>
          <w:p w14:paraId="2816887C" w14:textId="77777777" w:rsidR="00D91720" w:rsidRDefault="00000000">
            <w:pPr>
              <w:widowControl/>
              <w:spacing w:before="40" w:after="40" w:afterAutospacing="1"/>
              <w:jc w:val="center"/>
              <w:rPr>
                <w:rFonts w:ascii="Arial" w:hAnsi="Arial" w:cs="Arial"/>
                <w:kern w:val="0"/>
                <w:szCs w:val="20"/>
                <w:lang w:bidi="ar"/>
              </w:rPr>
            </w:pPr>
            <w:r>
              <w:rPr>
                <w:rFonts w:ascii="Arial" w:eastAsia="Arial" w:hAnsi="Arial" w:cs="Arial"/>
                <w:b/>
                <w:color w:val="000000"/>
                <w:kern w:val="0"/>
                <w:sz w:val="18"/>
                <w:szCs w:val="20"/>
                <w:lang w:bidi="ar"/>
              </w:rPr>
              <w:t>Monomer conversion</w:t>
            </w:r>
            <w:r>
              <w:rPr>
                <w:rFonts w:ascii="Arial" w:eastAsia="Arial" w:hAnsi="Arial" w:cs="Arial" w:hint="eastAsia"/>
                <w:b/>
                <w:color w:val="000000"/>
                <w:kern w:val="0"/>
                <w:sz w:val="18"/>
                <w:szCs w:val="20"/>
                <w:lang w:bidi="ar"/>
              </w:rPr>
              <w:t xml:space="preserve"> </w:t>
            </w:r>
            <w:r>
              <w:rPr>
                <w:rFonts w:ascii="Arial" w:eastAsia="Arial" w:hAnsi="Arial" w:cs="Arial"/>
                <w:b/>
                <w:color w:val="000000"/>
                <w:kern w:val="0"/>
                <w:sz w:val="18"/>
                <w:szCs w:val="20"/>
                <w:lang w:bidi="ar"/>
              </w:rPr>
              <w:t>(%)</w:t>
            </w:r>
          </w:p>
        </w:tc>
        <w:tc>
          <w:tcPr>
            <w:tcW w:w="2500" w:type="pct"/>
            <w:tcBorders>
              <w:top w:val="nil"/>
              <w:left w:val="nil"/>
              <w:bottom w:val="single" w:sz="8" w:space="0" w:color="000000"/>
              <w:right w:val="nil"/>
            </w:tcBorders>
            <w:tcMar>
              <w:top w:w="54" w:type="dxa"/>
              <w:left w:w="108" w:type="dxa"/>
              <w:bottom w:w="54" w:type="dxa"/>
              <w:right w:w="108" w:type="dxa"/>
            </w:tcMar>
            <w:vAlign w:val="center"/>
          </w:tcPr>
          <w:p w14:paraId="037ECB0D" w14:textId="77777777" w:rsidR="00D91720" w:rsidRDefault="00000000">
            <w:pPr>
              <w:widowControl/>
              <w:spacing w:before="40" w:after="40" w:afterAutospacing="1"/>
              <w:jc w:val="center"/>
              <w:rPr>
                <w:rFonts w:ascii="Arial" w:hAnsi="Arial" w:cs="Arial"/>
                <w:kern w:val="0"/>
                <w:szCs w:val="20"/>
                <w:lang w:bidi="ar"/>
              </w:rPr>
            </w:pPr>
            <w:r>
              <w:rPr>
                <w:rFonts w:ascii="Arial" w:eastAsia="Arial" w:hAnsi="Arial" w:cs="Arial"/>
                <w:b/>
                <w:color w:val="000000"/>
                <w:kern w:val="0"/>
                <w:sz w:val="18"/>
                <w:szCs w:val="20"/>
                <w:lang w:bidi="ar"/>
              </w:rPr>
              <w:t>Hydrodynamic diameter (nm)</w:t>
            </w:r>
          </w:p>
        </w:tc>
      </w:tr>
      <w:tr w:rsidR="00D91720" w14:paraId="41CA0DAE" w14:textId="77777777">
        <w:trPr>
          <w:trHeight w:val="246"/>
          <w:jc w:val="center"/>
        </w:trPr>
        <w:tc>
          <w:tcPr>
            <w:tcW w:w="528" w:type="pct"/>
            <w:tcBorders>
              <w:top w:val="nil"/>
              <w:left w:val="nil"/>
              <w:bottom w:val="nil"/>
              <w:right w:val="nil"/>
            </w:tcBorders>
            <w:tcMar>
              <w:top w:w="72" w:type="dxa"/>
              <w:left w:w="144" w:type="dxa"/>
              <w:bottom w:w="72" w:type="dxa"/>
              <w:right w:w="144" w:type="dxa"/>
            </w:tcMar>
            <w:vAlign w:val="center"/>
          </w:tcPr>
          <w:p w14:paraId="6BF88161" w14:textId="77777777" w:rsidR="00D91720" w:rsidRDefault="00000000">
            <w:pPr>
              <w:widowControl/>
              <w:spacing w:before="40" w:after="40" w:afterAutospacing="1"/>
              <w:jc w:val="left"/>
              <w:rPr>
                <w:rFonts w:ascii="Arial" w:hAnsi="Arial" w:cs="Arial"/>
                <w:kern w:val="0"/>
                <w:szCs w:val="20"/>
                <w:lang w:bidi="ar"/>
              </w:rPr>
            </w:pPr>
            <w:r>
              <w:rPr>
                <w:rFonts w:ascii="Arial" w:eastAsia="Arial" w:hAnsi="Arial" w:cs="Arial"/>
                <w:kern w:val="0"/>
                <w:sz w:val="18"/>
                <w:szCs w:val="20"/>
                <w:lang w:bidi="ar"/>
              </w:rPr>
              <w:t>2 h</w:t>
            </w:r>
          </w:p>
        </w:tc>
        <w:tc>
          <w:tcPr>
            <w:tcW w:w="1972" w:type="pct"/>
            <w:tcBorders>
              <w:top w:val="nil"/>
              <w:left w:val="nil"/>
              <w:bottom w:val="nil"/>
              <w:right w:val="nil"/>
            </w:tcBorders>
            <w:tcMar>
              <w:top w:w="40" w:type="dxa"/>
              <w:left w:w="81" w:type="dxa"/>
              <w:bottom w:w="40" w:type="dxa"/>
              <w:right w:w="81" w:type="dxa"/>
            </w:tcMar>
            <w:vAlign w:val="center"/>
          </w:tcPr>
          <w:p w14:paraId="378845FF" w14:textId="77777777" w:rsidR="00D91720" w:rsidRDefault="00000000">
            <w:pPr>
              <w:widowControl/>
              <w:spacing w:before="40" w:after="40" w:afterAutospacing="1"/>
              <w:jc w:val="center"/>
              <w:rPr>
                <w:rFonts w:ascii="Arial" w:hAnsi="Arial" w:cs="Arial"/>
                <w:kern w:val="0"/>
                <w:szCs w:val="20"/>
                <w:lang w:bidi="ar"/>
              </w:rPr>
            </w:pPr>
            <w:r>
              <w:rPr>
                <w:rFonts w:ascii="Arial" w:eastAsia="Arial" w:hAnsi="Arial" w:cs="Arial"/>
                <w:color w:val="000000"/>
                <w:kern w:val="0"/>
                <w:sz w:val="18"/>
                <w:szCs w:val="20"/>
                <w:lang w:bidi="ar"/>
              </w:rPr>
              <w:t>40.96</w:t>
            </w:r>
          </w:p>
        </w:tc>
        <w:tc>
          <w:tcPr>
            <w:tcW w:w="2500" w:type="pct"/>
            <w:tcBorders>
              <w:top w:val="nil"/>
              <w:left w:val="nil"/>
              <w:bottom w:val="nil"/>
              <w:right w:val="nil"/>
            </w:tcBorders>
            <w:tcMar>
              <w:top w:w="40" w:type="dxa"/>
              <w:left w:w="81" w:type="dxa"/>
              <w:bottom w:w="40" w:type="dxa"/>
              <w:right w:w="81" w:type="dxa"/>
            </w:tcMar>
            <w:vAlign w:val="center"/>
          </w:tcPr>
          <w:p w14:paraId="01F226E0" w14:textId="77777777" w:rsidR="00D91720" w:rsidRDefault="00000000">
            <w:pPr>
              <w:widowControl/>
              <w:spacing w:before="40" w:after="40" w:afterAutospacing="1"/>
              <w:jc w:val="center"/>
              <w:rPr>
                <w:rFonts w:ascii="Arial" w:hAnsi="Arial" w:cs="Arial"/>
                <w:kern w:val="0"/>
                <w:szCs w:val="20"/>
                <w:lang w:bidi="ar"/>
              </w:rPr>
            </w:pPr>
            <w:r>
              <w:rPr>
                <w:rFonts w:ascii="Arial" w:eastAsia="Arial" w:hAnsi="Arial" w:cs="Arial"/>
                <w:kern w:val="0"/>
                <w:sz w:val="18"/>
                <w:szCs w:val="20"/>
                <w:lang w:bidi="ar"/>
              </w:rPr>
              <w:t>–</w:t>
            </w:r>
          </w:p>
        </w:tc>
      </w:tr>
      <w:tr w:rsidR="00D91720" w14:paraId="513D3884" w14:textId="77777777">
        <w:trPr>
          <w:trHeight w:val="186"/>
          <w:jc w:val="center"/>
        </w:trPr>
        <w:tc>
          <w:tcPr>
            <w:tcW w:w="528" w:type="pct"/>
            <w:tcBorders>
              <w:top w:val="nil"/>
              <w:left w:val="nil"/>
              <w:bottom w:val="nil"/>
              <w:right w:val="nil"/>
            </w:tcBorders>
            <w:tcMar>
              <w:top w:w="72" w:type="dxa"/>
              <w:left w:w="144" w:type="dxa"/>
              <w:bottom w:w="72" w:type="dxa"/>
              <w:right w:w="144" w:type="dxa"/>
            </w:tcMar>
            <w:vAlign w:val="center"/>
          </w:tcPr>
          <w:p w14:paraId="7F7BAFCA" w14:textId="77777777" w:rsidR="00D91720" w:rsidRDefault="00000000">
            <w:pPr>
              <w:widowControl/>
              <w:spacing w:before="40" w:after="40" w:afterAutospacing="1"/>
              <w:jc w:val="left"/>
              <w:rPr>
                <w:rFonts w:ascii="Arial" w:hAnsi="Arial" w:cs="Arial"/>
                <w:kern w:val="0"/>
                <w:szCs w:val="20"/>
                <w:lang w:bidi="ar"/>
              </w:rPr>
            </w:pPr>
            <w:r>
              <w:rPr>
                <w:rFonts w:ascii="Arial" w:eastAsia="Arial" w:hAnsi="Arial" w:cs="Arial"/>
                <w:kern w:val="0"/>
                <w:sz w:val="18"/>
                <w:szCs w:val="20"/>
                <w:lang w:bidi="ar"/>
              </w:rPr>
              <w:t>3 h</w:t>
            </w:r>
          </w:p>
        </w:tc>
        <w:tc>
          <w:tcPr>
            <w:tcW w:w="1972" w:type="pct"/>
            <w:tcBorders>
              <w:top w:val="nil"/>
              <w:left w:val="nil"/>
              <w:bottom w:val="nil"/>
              <w:right w:val="nil"/>
            </w:tcBorders>
            <w:tcMar>
              <w:top w:w="40" w:type="dxa"/>
              <w:left w:w="81" w:type="dxa"/>
              <w:bottom w:w="40" w:type="dxa"/>
              <w:right w:w="81" w:type="dxa"/>
            </w:tcMar>
            <w:vAlign w:val="center"/>
          </w:tcPr>
          <w:p w14:paraId="4713D896" w14:textId="77777777" w:rsidR="00D91720" w:rsidRDefault="00000000">
            <w:pPr>
              <w:widowControl/>
              <w:spacing w:before="40" w:after="40" w:afterAutospacing="1"/>
              <w:jc w:val="center"/>
              <w:rPr>
                <w:rFonts w:ascii="Arial" w:hAnsi="Arial" w:cs="Arial"/>
                <w:kern w:val="0"/>
                <w:szCs w:val="20"/>
                <w:lang w:bidi="ar"/>
              </w:rPr>
            </w:pPr>
            <w:r>
              <w:rPr>
                <w:rFonts w:ascii="Arial" w:eastAsia="Arial" w:hAnsi="Arial" w:cs="Arial"/>
                <w:color w:val="000000"/>
                <w:kern w:val="0"/>
                <w:sz w:val="18"/>
                <w:szCs w:val="20"/>
                <w:lang w:bidi="ar"/>
              </w:rPr>
              <w:t>60.64</w:t>
            </w:r>
          </w:p>
        </w:tc>
        <w:tc>
          <w:tcPr>
            <w:tcW w:w="2500" w:type="pct"/>
            <w:tcBorders>
              <w:top w:val="nil"/>
              <w:left w:val="nil"/>
              <w:bottom w:val="nil"/>
              <w:right w:val="nil"/>
            </w:tcBorders>
            <w:tcMar>
              <w:top w:w="40" w:type="dxa"/>
              <w:left w:w="81" w:type="dxa"/>
              <w:bottom w:w="40" w:type="dxa"/>
              <w:right w:w="81" w:type="dxa"/>
            </w:tcMar>
          </w:tcPr>
          <w:p w14:paraId="5F68C43D" w14:textId="77777777" w:rsidR="00D91720" w:rsidRDefault="00000000">
            <w:pPr>
              <w:widowControl/>
              <w:spacing w:before="40" w:after="40" w:afterAutospacing="1"/>
              <w:jc w:val="center"/>
              <w:rPr>
                <w:rFonts w:ascii="Arial" w:hAnsi="Arial" w:cs="Arial"/>
                <w:kern w:val="0"/>
                <w:szCs w:val="20"/>
                <w:lang w:bidi="ar"/>
              </w:rPr>
            </w:pPr>
            <w:r>
              <w:rPr>
                <w:rFonts w:ascii="Arial" w:eastAsia="Arial" w:hAnsi="Arial" w:cs="Arial"/>
                <w:kern w:val="0"/>
                <w:sz w:val="18"/>
                <w:szCs w:val="20"/>
                <w:lang w:bidi="ar"/>
              </w:rPr>
              <w:t>–</w:t>
            </w:r>
          </w:p>
        </w:tc>
      </w:tr>
      <w:tr w:rsidR="00D91720" w14:paraId="131151CE" w14:textId="77777777">
        <w:trPr>
          <w:trHeight w:val="116"/>
          <w:jc w:val="center"/>
        </w:trPr>
        <w:tc>
          <w:tcPr>
            <w:tcW w:w="528" w:type="pct"/>
            <w:tcBorders>
              <w:top w:val="nil"/>
              <w:left w:val="nil"/>
              <w:bottom w:val="nil"/>
              <w:right w:val="nil"/>
            </w:tcBorders>
            <w:tcMar>
              <w:top w:w="72" w:type="dxa"/>
              <w:left w:w="144" w:type="dxa"/>
              <w:bottom w:w="72" w:type="dxa"/>
              <w:right w:w="144" w:type="dxa"/>
            </w:tcMar>
            <w:vAlign w:val="center"/>
          </w:tcPr>
          <w:p w14:paraId="34AE106C" w14:textId="77777777" w:rsidR="00D91720" w:rsidRDefault="00000000">
            <w:pPr>
              <w:widowControl/>
              <w:spacing w:before="40" w:after="40" w:afterAutospacing="1"/>
              <w:jc w:val="left"/>
              <w:rPr>
                <w:rFonts w:ascii="Arial" w:hAnsi="Arial" w:cs="Arial"/>
                <w:kern w:val="0"/>
                <w:szCs w:val="20"/>
                <w:lang w:bidi="ar"/>
              </w:rPr>
            </w:pPr>
            <w:r>
              <w:rPr>
                <w:rFonts w:ascii="Arial" w:eastAsia="Arial" w:hAnsi="Arial" w:cs="Arial"/>
                <w:color w:val="000000"/>
                <w:kern w:val="0"/>
                <w:sz w:val="18"/>
                <w:szCs w:val="20"/>
                <w:lang w:bidi="ar"/>
              </w:rPr>
              <w:t>4 h</w:t>
            </w:r>
          </w:p>
        </w:tc>
        <w:tc>
          <w:tcPr>
            <w:tcW w:w="1972" w:type="pct"/>
            <w:tcBorders>
              <w:top w:val="nil"/>
              <w:left w:val="nil"/>
              <w:bottom w:val="nil"/>
              <w:right w:val="nil"/>
            </w:tcBorders>
            <w:tcMar>
              <w:top w:w="40" w:type="dxa"/>
              <w:left w:w="81" w:type="dxa"/>
              <w:bottom w:w="40" w:type="dxa"/>
              <w:right w:w="81" w:type="dxa"/>
            </w:tcMar>
            <w:vAlign w:val="center"/>
          </w:tcPr>
          <w:p w14:paraId="14B8CB5D" w14:textId="77777777" w:rsidR="00D91720" w:rsidRDefault="00000000">
            <w:pPr>
              <w:widowControl/>
              <w:spacing w:before="40" w:after="40" w:afterAutospacing="1"/>
              <w:jc w:val="center"/>
              <w:rPr>
                <w:rFonts w:ascii="Arial" w:hAnsi="Arial" w:cs="Arial"/>
                <w:kern w:val="0"/>
                <w:szCs w:val="20"/>
                <w:lang w:bidi="ar"/>
              </w:rPr>
            </w:pPr>
            <w:r>
              <w:rPr>
                <w:rFonts w:ascii="Arial" w:eastAsia="Arial" w:hAnsi="Arial" w:cs="Arial"/>
                <w:kern w:val="0"/>
                <w:sz w:val="18"/>
                <w:szCs w:val="20"/>
                <w:lang w:bidi="ar"/>
              </w:rPr>
              <w:t>78.17</w:t>
            </w:r>
          </w:p>
        </w:tc>
        <w:tc>
          <w:tcPr>
            <w:tcW w:w="2500" w:type="pct"/>
            <w:tcBorders>
              <w:top w:val="nil"/>
              <w:left w:val="nil"/>
              <w:bottom w:val="nil"/>
              <w:right w:val="nil"/>
            </w:tcBorders>
            <w:tcMar>
              <w:top w:w="40" w:type="dxa"/>
              <w:left w:w="81" w:type="dxa"/>
              <w:bottom w:w="40" w:type="dxa"/>
              <w:right w:w="81" w:type="dxa"/>
            </w:tcMar>
          </w:tcPr>
          <w:p w14:paraId="105E773E" w14:textId="77777777" w:rsidR="00D91720" w:rsidRDefault="00000000">
            <w:pPr>
              <w:widowControl/>
              <w:spacing w:before="40" w:after="40" w:afterAutospacing="1"/>
              <w:jc w:val="center"/>
              <w:rPr>
                <w:rFonts w:ascii="Arial" w:hAnsi="Arial" w:cs="Arial"/>
                <w:color w:val="000000"/>
                <w:kern w:val="0"/>
                <w:szCs w:val="20"/>
                <w:lang w:bidi="ar"/>
              </w:rPr>
            </w:pPr>
            <w:r>
              <w:rPr>
                <w:rFonts w:ascii="Arial" w:eastAsia="Arial" w:hAnsi="Arial" w:cs="Arial"/>
                <w:kern w:val="0"/>
                <w:sz w:val="18"/>
                <w:szCs w:val="20"/>
                <w:lang w:bidi="ar"/>
              </w:rPr>
              <w:t>–</w:t>
            </w:r>
          </w:p>
        </w:tc>
      </w:tr>
      <w:tr w:rsidR="00D91720" w14:paraId="51494ED6" w14:textId="77777777">
        <w:trPr>
          <w:trHeight w:val="116"/>
          <w:jc w:val="center"/>
        </w:trPr>
        <w:tc>
          <w:tcPr>
            <w:tcW w:w="528" w:type="pct"/>
            <w:tcBorders>
              <w:top w:val="nil"/>
              <w:left w:val="nil"/>
              <w:bottom w:val="nil"/>
              <w:right w:val="nil"/>
            </w:tcBorders>
            <w:tcMar>
              <w:top w:w="72" w:type="dxa"/>
              <w:left w:w="144" w:type="dxa"/>
              <w:bottom w:w="72" w:type="dxa"/>
              <w:right w:w="144" w:type="dxa"/>
            </w:tcMar>
            <w:vAlign w:val="center"/>
          </w:tcPr>
          <w:p w14:paraId="1A7BFBDE" w14:textId="77777777" w:rsidR="00D91720" w:rsidRDefault="00000000">
            <w:pPr>
              <w:pStyle w:val="ad"/>
              <w:widowControl/>
              <w:spacing w:before="40" w:after="40" w:afterAutospacing="1"/>
              <w:jc w:val="left"/>
              <w:rPr>
                <w:rFonts w:ascii="Arial" w:hAnsi="Arial" w:cs="Arial"/>
                <w:color w:val="000000"/>
                <w:kern w:val="0"/>
                <w:sz w:val="20"/>
                <w:szCs w:val="20"/>
                <w:lang w:bidi="ar"/>
              </w:rPr>
            </w:pPr>
            <w:r>
              <w:rPr>
                <w:rFonts w:ascii="Arial" w:eastAsia="Arial" w:hAnsi="Arial" w:cs="Arial"/>
                <w:color w:val="000000"/>
                <w:sz w:val="18"/>
                <w:szCs w:val="20"/>
              </w:rPr>
              <w:t>5</w:t>
            </w:r>
            <w:r>
              <w:rPr>
                <w:rFonts w:ascii="Arial" w:eastAsia="Arial" w:hAnsi="Arial" w:cs="Arial" w:hint="eastAsia"/>
                <w:color w:val="000000"/>
                <w:sz w:val="18"/>
                <w:szCs w:val="20"/>
              </w:rPr>
              <w:t xml:space="preserve"> </w:t>
            </w:r>
            <w:r>
              <w:rPr>
                <w:rFonts w:ascii="Arial" w:eastAsia="Arial" w:hAnsi="Arial" w:cs="Arial"/>
                <w:color w:val="000000"/>
                <w:sz w:val="18"/>
                <w:szCs w:val="20"/>
              </w:rPr>
              <w:t>h</w:t>
            </w:r>
          </w:p>
        </w:tc>
        <w:tc>
          <w:tcPr>
            <w:tcW w:w="1972" w:type="pct"/>
            <w:tcBorders>
              <w:top w:val="nil"/>
              <w:left w:val="nil"/>
              <w:bottom w:val="nil"/>
              <w:right w:val="nil"/>
            </w:tcBorders>
            <w:tcMar>
              <w:top w:w="40" w:type="dxa"/>
              <w:left w:w="81" w:type="dxa"/>
              <w:bottom w:w="40" w:type="dxa"/>
              <w:right w:w="81" w:type="dxa"/>
            </w:tcMar>
            <w:vAlign w:val="center"/>
          </w:tcPr>
          <w:p w14:paraId="217A37AF" w14:textId="77777777" w:rsidR="00D91720" w:rsidRDefault="00000000">
            <w:pPr>
              <w:pStyle w:val="ad"/>
              <w:widowControl/>
              <w:spacing w:before="40" w:after="40" w:afterAutospacing="1"/>
              <w:jc w:val="center"/>
              <w:rPr>
                <w:rFonts w:ascii="Arial" w:hAnsi="Arial" w:cs="Arial"/>
                <w:kern w:val="0"/>
                <w:sz w:val="20"/>
                <w:szCs w:val="20"/>
                <w:lang w:bidi="ar"/>
              </w:rPr>
            </w:pPr>
            <w:r>
              <w:rPr>
                <w:rFonts w:ascii="Arial" w:eastAsia="Arial" w:hAnsi="Arial" w:cs="Arial" w:hint="eastAsia"/>
                <w:color w:val="000000"/>
                <w:sz w:val="18"/>
                <w:szCs w:val="20"/>
              </w:rPr>
              <w:t xml:space="preserve">&gt; </w:t>
            </w:r>
            <w:r>
              <w:rPr>
                <w:rFonts w:ascii="Arial" w:eastAsia="Arial" w:hAnsi="Arial" w:cs="Arial"/>
                <w:color w:val="000000"/>
                <w:sz w:val="18"/>
                <w:szCs w:val="20"/>
              </w:rPr>
              <w:t>99</w:t>
            </w:r>
          </w:p>
        </w:tc>
        <w:tc>
          <w:tcPr>
            <w:tcW w:w="2500" w:type="pct"/>
            <w:tcBorders>
              <w:top w:val="nil"/>
              <w:left w:val="nil"/>
              <w:bottom w:val="nil"/>
              <w:right w:val="nil"/>
            </w:tcBorders>
            <w:tcMar>
              <w:top w:w="40" w:type="dxa"/>
              <w:left w:w="81" w:type="dxa"/>
              <w:bottom w:w="40" w:type="dxa"/>
              <w:right w:w="81" w:type="dxa"/>
            </w:tcMar>
            <w:vAlign w:val="center"/>
          </w:tcPr>
          <w:p w14:paraId="68B70BB7" w14:textId="77777777" w:rsidR="00D91720" w:rsidRDefault="00000000">
            <w:pPr>
              <w:pStyle w:val="ad"/>
              <w:widowControl/>
              <w:spacing w:before="40" w:after="40" w:afterAutospacing="1"/>
              <w:jc w:val="center"/>
              <w:rPr>
                <w:rFonts w:ascii="Arial" w:hAnsi="Arial" w:cs="Arial"/>
                <w:color w:val="000000"/>
                <w:kern w:val="0"/>
                <w:sz w:val="20"/>
                <w:szCs w:val="20"/>
                <w:lang w:bidi="ar"/>
              </w:rPr>
            </w:pPr>
            <w:r>
              <w:rPr>
                <w:rFonts w:ascii="Arial" w:eastAsia="Arial" w:hAnsi="Arial" w:cs="Arial"/>
                <w:color w:val="000000"/>
                <w:sz w:val="18"/>
                <w:szCs w:val="20"/>
              </w:rPr>
              <w:t>46.33</w:t>
            </w:r>
            <w:r>
              <w:rPr>
                <w:rFonts w:ascii="Arial" w:eastAsia="Arial" w:hAnsi="Arial" w:cs="Arial" w:hint="eastAsia"/>
                <w:color w:val="000000"/>
                <w:sz w:val="18"/>
                <w:szCs w:val="20"/>
              </w:rPr>
              <w:t xml:space="preserve"> </w:t>
            </w:r>
            <w:r>
              <w:rPr>
                <w:rFonts w:ascii="Arial" w:eastAsia="Arial" w:hAnsi="Arial" w:cs="Arial"/>
                <w:color w:val="000000"/>
                <w:sz w:val="18"/>
                <w:szCs w:val="20"/>
              </w:rPr>
              <w:t>±</w:t>
            </w:r>
            <w:r>
              <w:rPr>
                <w:rFonts w:ascii="Arial" w:eastAsia="Arial" w:hAnsi="Arial" w:cs="Arial" w:hint="eastAsia"/>
                <w:color w:val="000000"/>
                <w:sz w:val="18"/>
                <w:szCs w:val="20"/>
              </w:rPr>
              <w:t xml:space="preserve"> </w:t>
            </w:r>
            <w:r>
              <w:rPr>
                <w:rFonts w:ascii="Arial" w:eastAsia="Arial" w:hAnsi="Arial" w:cs="Arial"/>
                <w:color w:val="000000"/>
                <w:sz w:val="18"/>
                <w:szCs w:val="20"/>
              </w:rPr>
              <w:t>0.31</w:t>
            </w:r>
          </w:p>
        </w:tc>
      </w:tr>
      <w:tr w:rsidR="00D91720" w14:paraId="4514BC81" w14:textId="77777777">
        <w:trPr>
          <w:trHeight w:val="116"/>
          <w:jc w:val="center"/>
        </w:trPr>
        <w:tc>
          <w:tcPr>
            <w:tcW w:w="528" w:type="pct"/>
            <w:tcBorders>
              <w:top w:val="nil"/>
              <w:left w:val="nil"/>
              <w:bottom w:val="nil"/>
              <w:right w:val="nil"/>
            </w:tcBorders>
            <w:tcMar>
              <w:top w:w="72" w:type="dxa"/>
              <w:left w:w="144" w:type="dxa"/>
              <w:bottom w:w="72" w:type="dxa"/>
              <w:right w:w="144" w:type="dxa"/>
            </w:tcMar>
            <w:vAlign w:val="center"/>
          </w:tcPr>
          <w:p w14:paraId="04623C0A" w14:textId="77777777" w:rsidR="00D91720" w:rsidRDefault="00000000">
            <w:pPr>
              <w:pStyle w:val="ad"/>
              <w:widowControl/>
              <w:spacing w:before="40" w:after="40" w:afterAutospacing="1"/>
              <w:jc w:val="left"/>
              <w:rPr>
                <w:rFonts w:ascii="Arial" w:hAnsi="Arial" w:cs="Arial"/>
                <w:color w:val="000000"/>
                <w:kern w:val="0"/>
                <w:sz w:val="20"/>
                <w:szCs w:val="20"/>
                <w:lang w:bidi="ar"/>
              </w:rPr>
            </w:pPr>
            <w:r>
              <w:rPr>
                <w:rFonts w:ascii="Arial" w:eastAsia="Arial" w:hAnsi="Arial" w:cs="Arial"/>
                <w:color w:val="000000"/>
                <w:sz w:val="18"/>
                <w:szCs w:val="20"/>
              </w:rPr>
              <w:t>6</w:t>
            </w:r>
            <w:r>
              <w:rPr>
                <w:rFonts w:ascii="Arial" w:eastAsia="Arial" w:hAnsi="Arial" w:cs="Arial" w:hint="eastAsia"/>
                <w:color w:val="000000"/>
                <w:sz w:val="18"/>
                <w:szCs w:val="20"/>
              </w:rPr>
              <w:t xml:space="preserve"> </w:t>
            </w:r>
            <w:r>
              <w:rPr>
                <w:rFonts w:ascii="Arial" w:eastAsia="Arial" w:hAnsi="Arial" w:cs="Arial"/>
                <w:color w:val="000000"/>
                <w:sz w:val="18"/>
                <w:szCs w:val="20"/>
              </w:rPr>
              <w:t>h</w:t>
            </w:r>
          </w:p>
        </w:tc>
        <w:tc>
          <w:tcPr>
            <w:tcW w:w="1972" w:type="pct"/>
            <w:tcBorders>
              <w:top w:val="nil"/>
              <w:left w:val="nil"/>
              <w:bottom w:val="nil"/>
              <w:right w:val="nil"/>
            </w:tcBorders>
            <w:tcMar>
              <w:top w:w="40" w:type="dxa"/>
              <w:left w:w="81" w:type="dxa"/>
              <w:bottom w:w="40" w:type="dxa"/>
              <w:right w:w="81" w:type="dxa"/>
            </w:tcMar>
            <w:vAlign w:val="center"/>
          </w:tcPr>
          <w:p w14:paraId="47A60C5F" w14:textId="77777777" w:rsidR="00D91720" w:rsidRDefault="00000000">
            <w:pPr>
              <w:pStyle w:val="ad"/>
              <w:widowControl/>
              <w:spacing w:before="40" w:after="40" w:afterAutospacing="1"/>
              <w:jc w:val="center"/>
              <w:rPr>
                <w:rFonts w:ascii="Arial" w:hAnsi="Arial" w:cs="Arial"/>
                <w:kern w:val="0"/>
                <w:sz w:val="20"/>
                <w:szCs w:val="20"/>
                <w:lang w:bidi="ar"/>
              </w:rPr>
            </w:pPr>
            <w:bookmarkStart w:id="15" w:name="OLE_LINK31"/>
            <w:r>
              <w:rPr>
                <w:rFonts w:ascii="Arial" w:eastAsia="Arial" w:hAnsi="Arial" w:cs="Arial" w:hint="eastAsia"/>
                <w:color w:val="000000"/>
                <w:sz w:val="18"/>
                <w:szCs w:val="20"/>
              </w:rPr>
              <w:t xml:space="preserve">&gt; </w:t>
            </w:r>
            <w:r>
              <w:rPr>
                <w:rFonts w:ascii="Arial" w:eastAsia="Arial" w:hAnsi="Arial" w:cs="Arial"/>
                <w:color w:val="000000"/>
                <w:sz w:val="18"/>
                <w:szCs w:val="20"/>
              </w:rPr>
              <w:t>99</w:t>
            </w:r>
            <w:bookmarkEnd w:id="15"/>
          </w:p>
        </w:tc>
        <w:tc>
          <w:tcPr>
            <w:tcW w:w="2500" w:type="pct"/>
            <w:tcBorders>
              <w:top w:val="nil"/>
              <w:left w:val="nil"/>
              <w:bottom w:val="nil"/>
              <w:right w:val="nil"/>
            </w:tcBorders>
            <w:tcMar>
              <w:top w:w="40" w:type="dxa"/>
              <w:left w:w="81" w:type="dxa"/>
              <w:bottom w:w="40" w:type="dxa"/>
              <w:right w:w="81" w:type="dxa"/>
            </w:tcMar>
            <w:vAlign w:val="center"/>
          </w:tcPr>
          <w:p w14:paraId="48356FF4" w14:textId="77777777" w:rsidR="00D91720" w:rsidRDefault="00000000">
            <w:pPr>
              <w:pStyle w:val="ad"/>
              <w:widowControl/>
              <w:spacing w:before="40" w:after="40" w:afterAutospacing="1"/>
              <w:jc w:val="center"/>
              <w:rPr>
                <w:rFonts w:ascii="Arial" w:hAnsi="Arial" w:cs="Arial"/>
                <w:color w:val="000000"/>
                <w:kern w:val="0"/>
                <w:sz w:val="20"/>
                <w:szCs w:val="20"/>
                <w:lang w:bidi="ar"/>
              </w:rPr>
            </w:pPr>
            <w:r>
              <w:rPr>
                <w:rFonts w:ascii="Arial" w:eastAsia="Arial" w:hAnsi="Arial" w:cs="Arial"/>
                <w:color w:val="000000"/>
                <w:sz w:val="18"/>
                <w:szCs w:val="20"/>
              </w:rPr>
              <w:t>61.08</w:t>
            </w:r>
            <w:r>
              <w:rPr>
                <w:rFonts w:ascii="Arial" w:eastAsia="Arial" w:hAnsi="Arial" w:cs="Arial" w:hint="eastAsia"/>
                <w:color w:val="000000"/>
                <w:sz w:val="18"/>
                <w:szCs w:val="20"/>
              </w:rPr>
              <w:t xml:space="preserve"> </w:t>
            </w:r>
            <w:r>
              <w:rPr>
                <w:rFonts w:ascii="Arial" w:eastAsia="Arial" w:hAnsi="Arial" w:cs="Arial"/>
                <w:color w:val="000000"/>
                <w:sz w:val="18"/>
                <w:szCs w:val="20"/>
              </w:rPr>
              <w:t>±</w:t>
            </w:r>
            <w:r>
              <w:rPr>
                <w:rFonts w:ascii="Arial" w:eastAsia="Arial" w:hAnsi="Arial" w:cs="Arial" w:hint="eastAsia"/>
                <w:color w:val="000000"/>
                <w:sz w:val="18"/>
                <w:szCs w:val="20"/>
              </w:rPr>
              <w:t xml:space="preserve"> </w:t>
            </w:r>
            <w:r>
              <w:rPr>
                <w:rFonts w:ascii="Arial" w:eastAsia="Arial" w:hAnsi="Arial" w:cs="Arial"/>
                <w:color w:val="000000"/>
                <w:sz w:val="18"/>
                <w:szCs w:val="20"/>
              </w:rPr>
              <w:t>0.97</w:t>
            </w:r>
          </w:p>
        </w:tc>
      </w:tr>
      <w:tr w:rsidR="00D91720" w14:paraId="7D348D51" w14:textId="77777777">
        <w:trPr>
          <w:trHeight w:val="116"/>
          <w:jc w:val="center"/>
        </w:trPr>
        <w:tc>
          <w:tcPr>
            <w:tcW w:w="528" w:type="pct"/>
            <w:tcBorders>
              <w:top w:val="nil"/>
              <w:left w:val="nil"/>
              <w:bottom w:val="nil"/>
              <w:right w:val="nil"/>
            </w:tcBorders>
            <w:tcMar>
              <w:top w:w="72" w:type="dxa"/>
              <w:left w:w="144" w:type="dxa"/>
              <w:bottom w:w="72" w:type="dxa"/>
              <w:right w:w="144" w:type="dxa"/>
            </w:tcMar>
            <w:vAlign w:val="center"/>
          </w:tcPr>
          <w:p w14:paraId="47908B09" w14:textId="77777777" w:rsidR="00D91720" w:rsidRDefault="00000000">
            <w:pPr>
              <w:pStyle w:val="ad"/>
              <w:widowControl/>
              <w:spacing w:before="40" w:after="40" w:afterAutospacing="1"/>
              <w:jc w:val="left"/>
              <w:rPr>
                <w:rFonts w:ascii="Arial" w:hAnsi="Arial" w:cs="Arial"/>
                <w:color w:val="000000"/>
                <w:sz w:val="20"/>
                <w:szCs w:val="20"/>
              </w:rPr>
            </w:pPr>
            <w:r>
              <w:rPr>
                <w:rFonts w:ascii="Arial" w:eastAsia="Arial" w:hAnsi="Arial" w:cs="Arial"/>
                <w:color w:val="000000"/>
                <w:sz w:val="18"/>
                <w:szCs w:val="20"/>
              </w:rPr>
              <w:t>7</w:t>
            </w:r>
            <w:r>
              <w:rPr>
                <w:rFonts w:ascii="Arial" w:eastAsia="Arial" w:hAnsi="Arial" w:cs="Arial" w:hint="eastAsia"/>
                <w:color w:val="000000"/>
                <w:sz w:val="18"/>
                <w:szCs w:val="20"/>
              </w:rPr>
              <w:t xml:space="preserve"> </w:t>
            </w:r>
            <w:r>
              <w:rPr>
                <w:rFonts w:ascii="Arial" w:eastAsia="Arial" w:hAnsi="Arial" w:cs="Arial"/>
                <w:color w:val="000000"/>
                <w:sz w:val="18"/>
                <w:szCs w:val="20"/>
              </w:rPr>
              <w:t>h</w:t>
            </w:r>
          </w:p>
        </w:tc>
        <w:tc>
          <w:tcPr>
            <w:tcW w:w="1972" w:type="pct"/>
            <w:tcBorders>
              <w:top w:val="nil"/>
              <w:left w:val="nil"/>
              <w:bottom w:val="nil"/>
              <w:right w:val="nil"/>
            </w:tcBorders>
            <w:tcMar>
              <w:top w:w="40" w:type="dxa"/>
              <w:left w:w="81" w:type="dxa"/>
              <w:bottom w:w="40" w:type="dxa"/>
              <w:right w:w="81" w:type="dxa"/>
            </w:tcMar>
          </w:tcPr>
          <w:p w14:paraId="0F32C0DF" w14:textId="77777777" w:rsidR="00D91720" w:rsidRDefault="00000000">
            <w:pPr>
              <w:pStyle w:val="ad"/>
              <w:widowControl/>
              <w:spacing w:before="40" w:after="40" w:afterAutospacing="1"/>
              <w:jc w:val="center"/>
              <w:rPr>
                <w:rFonts w:ascii="Arial" w:eastAsia="宋体" w:hAnsi="Arial" w:cs="Arial"/>
                <w:color w:val="000000"/>
                <w:sz w:val="20"/>
                <w:szCs w:val="20"/>
              </w:rPr>
            </w:pPr>
            <w:r>
              <w:rPr>
                <w:rFonts w:ascii="Arial" w:eastAsia="Arial" w:hAnsi="Arial" w:cs="Arial" w:hint="eastAsia"/>
                <w:color w:val="000000"/>
                <w:sz w:val="18"/>
                <w:szCs w:val="20"/>
              </w:rPr>
              <w:t xml:space="preserve">&gt; </w:t>
            </w:r>
            <w:r>
              <w:rPr>
                <w:rFonts w:ascii="Arial" w:eastAsia="Arial" w:hAnsi="Arial" w:cs="Arial"/>
                <w:color w:val="000000"/>
                <w:sz w:val="18"/>
                <w:szCs w:val="20"/>
              </w:rPr>
              <w:t>99</w:t>
            </w:r>
          </w:p>
        </w:tc>
        <w:tc>
          <w:tcPr>
            <w:tcW w:w="2500" w:type="pct"/>
            <w:tcBorders>
              <w:top w:val="nil"/>
              <w:left w:val="nil"/>
              <w:bottom w:val="nil"/>
              <w:right w:val="nil"/>
            </w:tcBorders>
            <w:tcMar>
              <w:top w:w="40" w:type="dxa"/>
              <w:left w:w="81" w:type="dxa"/>
              <w:bottom w:w="40" w:type="dxa"/>
              <w:right w:w="81" w:type="dxa"/>
            </w:tcMar>
            <w:vAlign w:val="center"/>
          </w:tcPr>
          <w:p w14:paraId="291DF45E" w14:textId="77777777" w:rsidR="00D91720" w:rsidRDefault="00000000">
            <w:pPr>
              <w:pStyle w:val="ad"/>
              <w:widowControl/>
              <w:spacing w:before="40" w:after="40" w:afterAutospacing="1"/>
              <w:jc w:val="center"/>
              <w:rPr>
                <w:rFonts w:ascii="Arial" w:hAnsi="Arial" w:cs="Arial"/>
                <w:color w:val="000000"/>
                <w:sz w:val="20"/>
                <w:szCs w:val="20"/>
              </w:rPr>
            </w:pPr>
            <w:r>
              <w:rPr>
                <w:rFonts w:ascii="Arial" w:eastAsia="Arial" w:hAnsi="Arial" w:cs="Arial"/>
                <w:color w:val="000000"/>
                <w:sz w:val="18"/>
                <w:szCs w:val="20"/>
              </w:rPr>
              <w:t>62.16</w:t>
            </w:r>
            <w:r>
              <w:rPr>
                <w:rFonts w:ascii="Arial" w:eastAsia="Arial" w:hAnsi="Arial" w:cs="Arial" w:hint="eastAsia"/>
                <w:color w:val="000000"/>
                <w:sz w:val="18"/>
                <w:szCs w:val="20"/>
              </w:rPr>
              <w:t xml:space="preserve"> </w:t>
            </w:r>
            <w:r>
              <w:rPr>
                <w:rFonts w:ascii="Arial" w:eastAsia="Arial" w:hAnsi="Arial" w:cs="Arial"/>
                <w:color w:val="000000"/>
                <w:sz w:val="18"/>
                <w:szCs w:val="20"/>
              </w:rPr>
              <w:t>±</w:t>
            </w:r>
            <w:r>
              <w:rPr>
                <w:rFonts w:ascii="Arial" w:eastAsia="Arial" w:hAnsi="Arial" w:cs="Arial" w:hint="eastAsia"/>
                <w:color w:val="000000"/>
                <w:sz w:val="18"/>
                <w:szCs w:val="20"/>
              </w:rPr>
              <w:t xml:space="preserve"> </w:t>
            </w:r>
            <w:r>
              <w:rPr>
                <w:rFonts w:ascii="Arial" w:eastAsia="Arial" w:hAnsi="Arial" w:cs="Arial"/>
                <w:color w:val="000000"/>
                <w:sz w:val="18"/>
                <w:szCs w:val="20"/>
              </w:rPr>
              <w:t>0.35</w:t>
            </w:r>
          </w:p>
        </w:tc>
      </w:tr>
      <w:tr w:rsidR="00D91720" w14:paraId="5647754C" w14:textId="77777777">
        <w:trPr>
          <w:trHeight w:val="116"/>
          <w:jc w:val="center"/>
        </w:trPr>
        <w:tc>
          <w:tcPr>
            <w:tcW w:w="528" w:type="pct"/>
            <w:tcBorders>
              <w:top w:val="nil"/>
              <w:left w:val="nil"/>
              <w:bottom w:val="nil"/>
              <w:right w:val="nil"/>
            </w:tcBorders>
            <w:tcMar>
              <w:top w:w="72" w:type="dxa"/>
              <w:left w:w="144" w:type="dxa"/>
              <w:bottom w:w="72" w:type="dxa"/>
              <w:right w:w="144" w:type="dxa"/>
            </w:tcMar>
            <w:vAlign w:val="center"/>
          </w:tcPr>
          <w:p w14:paraId="641E4E17" w14:textId="77777777" w:rsidR="00D91720" w:rsidRDefault="00000000">
            <w:pPr>
              <w:pStyle w:val="ad"/>
              <w:widowControl/>
              <w:spacing w:before="40" w:after="40" w:afterAutospacing="1"/>
              <w:jc w:val="left"/>
              <w:rPr>
                <w:rFonts w:ascii="Arial" w:hAnsi="Arial" w:cs="Arial"/>
                <w:color w:val="000000"/>
                <w:sz w:val="20"/>
                <w:szCs w:val="20"/>
              </w:rPr>
            </w:pPr>
            <w:r>
              <w:rPr>
                <w:rFonts w:ascii="Arial" w:eastAsia="Arial" w:hAnsi="Arial" w:cs="Arial"/>
                <w:color w:val="000000"/>
                <w:sz w:val="18"/>
                <w:szCs w:val="20"/>
              </w:rPr>
              <w:t>8</w:t>
            </w:r>
            <w:r>
              <w:rPr>
                <w:rFonts w:ascii="Arial" w:eastAsia="Arial" w:hAnsi="Arial" w:cs="Arial" w:hint="eastAsia"/>
                <w:color w:val="000000"/>
                <w:sz w:val="18"/>
                <w:szCs w:val="20"/>
              </w:rPr>
              <w:t xml:space="preserve"> </w:t>
            </w:r>
            <w:r>
              <w:rPr>
                <w:rFonts w:ascii="Arial" w:eastAsia="Arial" w:hAnsi="Arial" w:cs="Arial"/>
                <w:color w:val="000000"/>
                <w:sz w:val="18"/>
                <w:szCs w:val="20"/>
              </w:rPr>
              <w:t>h</w:t>
            </w:r>
          </w:p>
        </w:tc>
        <w:tc>
          <w:tcPr>
            <w:tcW w:w="1972" w:type="pct"/>
            <w:tcBorders>
              <w:top w:val="nil"/>
              <w:left w:val="nil"/>
              <w:bottom w:val="nil"/>
              <w:right w:val="nil"/>
            </w:tcBorders>
            <w:tcMar>
              <w:top w:w="40" w:type="dxa"/>
              <w:left w:w="81" w:type="dxa"/>
              <w:bottom w:w="40" w:type="dxa"/>
              <w:right w:w="81" w:type="dxa"/>
            </w:tcMar>
          </w:tcPr>
          <w:p w14:paraId="79A6B752" w14:textId="77777777" w:rsidR="00D91720" w:rsidRDefault="00000000">
            <w:pPr>
              <w:pStyle w:val="ad"/>
              <w:widowControl/>
              <w:spacing w:before="40" w:after="40" w:afterAutospacing="1"/>
              <w:jc w:val="center"/>
              <w:rPr>
                <w:rFonts w:ascii="Arial" w:eastAsia="宋体" w:hAnsi="Arial" w:cs="Arial"/>
                <w:color w:val="000000"/>
                <w:sz w:val="20"/>
                <w:szCs w:val="20"/>
              </w:rPr>
            </w:pPr>
            <w:r>
              <w:rPr>
                <w:rFonts w:ascii="Arial" w:eastAsia="Arial" w:hAnsi="Arial" w:cs="Arial" w:hint="eastAsia"/>
                <w:color w:val="000000"/>
                <w:sz w:val="18"/>
                <w:szCs w:val="20"/>
              </w:rPr>
              <w:t xml:space="preserve">&gt; </w:t>
            </w:r>
            <w:r>
              <w:rPr>
                <w:rFonts w:ascii="Arial" w:eastAsia="Arial" w:hAnsi="Arial" w:cs="Arial"/>
                <w:color w:val="000000"/>
                <w:sz w:val="18"/>
                <w:szCs w:val="20"/>
              </w:rPr>
              <w:t>99</w:t>
            </w:r>
          </w:p>
        </w:tc>
        <w:tc>
          <w:tcPr>
            <w:tcW w:w="2500" w:type="pct"/>
            <w:tcBorders>
              <w:top w:val="nil"/>
              <w:left w:val="nil"/>
              <w:bottom w:val="nil"/>
              <w:right w:val="nil"/>
            </w:tcBorders>
            <w:tcMar>
              <w:top w:w="40" w:type="dxa"/>
              <w:left w:w="81" w:type="dxa"/>
              <w:bottom w:w="40" w:type="dxa"/>
              <w:right w:w="81" w:type="dxa"/>
            </w:tcMar>
            <w:vAlign w:val="center"/>
          </w:tcPr>
          <w:p w14:paraId="0BD3C55F" w14:textId="77777777" w:rsidR="00D91720" w:rsidRDefault="00000000">
            <w:pPr>
              <w:pStyle w:val="ad"/>
              <w:widowControl/>
              <w:spacing w:before="40" w:after="40" w:afterAutospacing="1"/>
              <w:jc w:val="center"/>
              <w:rPr>
                <w:rFonts w:ascii="Arial" w:hAnsi="Arial" w:cs="Arial"/>
                <w:color w:val="000000"/>
                <w:sz w:val="20"/>
                <w:szCs w:val="20"/>
              </w:rPr>
            </w:pPr>
            <w:r>
              <w:rPr>
                <w:rFonts w:ascii="Arial" w:eastAsia="Arial" w:hAnsi="Arial" w:cs="Arial"/>
                <w:color w:val="000000"/>
                <w:sz w:val="18"/>
                <w:szCs w:val="20"/>
              </w:rPr>
              <w:t>64.74</w:t>
            </w:r>
            <w:r>
              <w:rPr>
                <w:rFonts w:ascii="Arial" w:eastAsia="Arial" w:hAnsi="Arial" w:cs="Arial" w:hint="eastAsia"/>
                <w:color w:val="000000"/>
                <w:sz w:val="18"/>
                <w:szCs w:val="20"/>
              </w:rPr>
              <w:t xml:space="preserve"> </w:t>
            </w:r>
            <w:r>
              <w:rPr>
                <w:rFonts w:ascii="Arial" w:eastAsia="Arial" w:hAnsi="Arial" w:cs="Arial"/>
                <w:color w:val="000000"/>
                <w:sz w:val="18"/>
                <w:szCs w:val="20"/>
              </w:rPr>
              <w:t>±</w:t>
            </w:r>
            <w:r>
              <w:rPr>
                <w:rFonts w:ascii="Arial" w:eastAsia="Arial" w:hAnsi="Arial" w:cs="Arial" w:hint="eastAsia"/>
                <w:color w:val="000000"/>
                <w:sz w:val="18"/>
                <w:szCs w:val="20"/>
              </w:rPr>
              <w:t xml:space="preserve"> </w:t>
            </w:r>
            <w:r>
              <w:rPr>
                <w:rFonts w:ascii="Arial" w:eastAsia="Arial" w:hAnsi="Arial" w:cs="Arial"/>
                <w:color w:val="000000"/>
                <w:sz w:val="18"/>
                <w:szCs w:val="20"/>
              </w:rPr>
              <w:t>0.13</w:t>
            </w:r>
          </w:p>
        </w:tc>
      </w:tr>
      <w:tr w:rsidR="00D91720" w14:paraId="21B72AB0" w14:textId="77777777">
        <w:trPr>
          <w:trHeight w:val="116"/>
          <w:jc w:val="center"/>
        </w:trPr>
        <w:tc>
          <w:tcPr>
            <w:tcW w:w="528" w:type="pct"/>
            <w:tcBorders>
              <w:top w:val="nil"/>
              <w:left w:val="nil"/>
              <w:bottom w:val="nil"/>
              <w:right w:val="nil"/>
            </w:tcBorders>
            <w:tcMar>
              <w:top w:w="72" w:type="dxa"/>
              <w:left w:w="144" w:type="dxa"/>
              <w:bottom w:w="72" w:type="dxa"/>
              <w:right w:w="144" w:type="dxa"/>
            </w:tcMar>
            <w:vAlign w:val="center"/>
          </w:tcPr>
          <w:p w14:paraId="0E6BCFC3" w14:textId="77777777" w:rsidR="00D91720" w:rsidRDefault="00000000">
            <w:pPr>
              <w:pStyle w:val="ad"/>
              <w:widowControl/>
              <w:spacing w:before="40" w:after="40" w:afterAutospacing="1"/>
              <w:jc w:val="left"/>
              <w:rPr>
                <w:rFonts w:ascii="Arial" w:hAnsi="Arial" w:cs="Arial"/>
                <w:color w:val="000000"/>
                <w:sz w:val="20"/>
                <w:szCs w:val="20"/>
              </w:rPr>
            </w:pPr>
            <w:r>
              <w:rPr>
                <w:rFonts w:ascii="Arial" w:eastAsia="Arial" w:hAnsi="Arial" w:cs="Arial"/>
                <w:color w:val="000000"/>
                <w:sz w:val="18"/>
                <w:szCs w:val="20"/>
              </w:rPr>
              <w:t>9</w:t>
            </w:r>
            <w:r>
              <w:rPr>
                <w:rFonts w:ascii="Arial" w:eastAsia="Arial" w:hAnsi="Arial" w:cs="Arial" w:hint="eastAsia"/>
                <w:color w:val="000000"/>
                <w:sz w:val="18"/>
                <w:szCs w:val="20"/>
              </w:rPr>
              <w:t xml:space="preserve"> </w:t>
            </w:r>
            <w:r>
              <w:rPr>
                <w:rFonts w:ascii="Arial" w:eastAsia="Arial" w:hAnsi="Arial" w:cs="Arial"/>
                <w:color w:val="000000"/>
                <w:sz w:val="18"/>
                <w:szCs w:val="20"/>
              </w:rPr>
              <w:t>h</w:t>
            </w:r>
          </w:p>
        </w:tc>
        <w:tc>
          <w:tcPr>
            <w:tcW w:w="1972" w:type="pct"/>
            <w:tcBorders>
              <w:top w:val="nil"/>
              <w:left w:val="nil"/>
              <w:bottom w:val="nil"/>
              <w:right w:val="nil"/>
            </w:tcBorders>
            <w:tcMar>
              <w:top w:w="40" w:type="dxa"/>
              <w:left w:w="81" w:type="dxa"/>
              <w:bottom w:w="40" w:type="dxa"/>
              <w:right w:w="81" w:type="dxa"/>
            </w:tcMar>
          </w:tcPr>
          <w:p w14:paraId="590E1593" w14:textId="77777777" w:rsidR="00D91720" w:rsidRDefault="00000000">
            <w:pPr>
              <w:pStyle w:val="ad"/>
              <w:widowControl/>
              <w:spacing w:before="40" w:after="40" w:afterAutospacing="1"/>
              <w:jc w:val="center"/>
              <w:rPr>
                <w:rFonts w:ascii="Arial" w:eastAsia="宋体" w:hAnsi="Arial" w:cs="Arial"/>
                <w:color w:val="000000"/>
                <w:sz w:val="20"/>
                <w:szCs w:val="20"/>
              </w:rPr>
            </w:pPr>
            <w:r>
              <w:rPr>
                <w:rFonts w:ascii="Arial" w:eastAsia="Arial" w:hAnsi="Arial" w:cs="Arial" w:hint="eastAsia"/>
                <w:color w:val="000000"/>
                <w:sz w:val="18"/>
                <w:szCs w:val="20"/>
              </w:rPr>
              <w:t xml:space="preserve">&gt; </w:t>
            </w:r>
            <w:r>
              <w:rPr>
                <w:rFonts w:ascii="Arial" w:eastAsia="Arial" w:hAnsi="Arial" w:cs="Arial"/>
                <w:color w:val="000000"/>
                <w:sz w:val="18"/>
                <w:szCs w:val="20"/>
              </w:rPr>
              <w:t>99</w:t>
            </w:r>
          </w:p>
        </w:tc>
        <w:tc>
          <w:tcPr>
            <w:tcW w:w="2500" w:type="pct"/>
            <w:tcBorders>
              <w:top w:val="nil"/>
              <w:left w:val="nil"/>
              <w:bottom w:val="nil"/>
              <w:right w:val="nil"/>
            </w:tcBorders>
            <w:tcMar>
              <w:top w:w="40" w:type="dxa"/>
              <w:left w:w="81" w:type="dxa"/>
              <w:bottom w:w="40" w:type="dxa"/>
              <w:right w:w="81" w:type="dxa"/>
            </w:tcMar>
            <w:vAlign w:val="center"/>
          </w:tcPr>
          <w:p w14:paraId="0C5E88EA" w14:textId="77777777" w:rsidR="00D91720" w:rsidRDefault="00000000">
            <w:pPr>
              <w:pStyle w:val="ad"/>
              <w:widowControl/>
              <w:spacing w:before="40" w:after="40" w:afterAutospacing="1"/>
              <w:jc w:val="center"/>
              <w:rPr>
                <w:rFonts w:ascii="Arial" w:hAnsi="Arial" w:cs="Arial"/>
                <w:color w:val="000000"/>
                <w:sz w:val="20"/>
                <w:szCs w:val="20"/>
              </w:rPr>
            </w:pPr>
            <w:r>
              <w:rPr>
                <w:rFonts w:ascii="Arial" w:eastAsia="Arial" w:hAnsi="Arial" w:cs="Arial"/>
                <w:color w:val="000000"/>
                <w:sz w:val="18"/>
                <w:szCs w:val="20"/>
              </w:rPr>
              <w:t>67.89</w:t>
            </w:r>
            <w:r>
              <w:rPr>
                <w:rFonts w:ascii="Arial" w:eastAsia="Arial" w:hAnsi="Arial" w:cs="Arial" w:hint="eastAsia"/>
                <w:color w:val="000000"/>
                <w:sz w:val="18"/>
                <w:szCs w:val="20"/>
              </w:rPr>
              <w:t xml:space="preserve"> </w:t>
            </w:r>
            <w:r>
              <w:rPr>
                <w:rFonts w:ascii="Arial" w:eastAsia="Arial" w:hAnsi="Arial" w:cs="Arial"/>
                <w:color w:val="000000"/>
                <w:sz w:val="18"/>
                <w:szCs w:val="20"/>
              </w:rPr>
              <w:t>±</w:t>
            </w:r>
            <w:r>
              <w:rPr>
                <w:rFonts w:ascii="Arial" w:eastAsia="Arial" w:hAnsi="Arial" w:cs="Arial" w:hint="eastAsia"/>
                <w:color w:val="000000"/>
                <w:sz w:val="18"/>
                <w:szCs w:val="20"/>
              </w:rPr>
              <w:t xml:space="preserve"> </w:t>
            </w:r>
            <w:r>
              <w:rPr>
                <w:rFonts w:ascii="Arial" w:eastAsia="Arial" w:hAnsi="Arial" w:cs="Arial"/>
                <w:color w:val="000000"/>
                <w:sz w:val="18"/>
                <w:szCs w:val="20"/>
              </w:rPr>
              <w:t>1.24</w:t>
            </w:r>
          </w:p>
        </w:tc>
      </w:tr>
      <w:tr w:rsidR="00D91720" w14:paraId="28315314" w14:textId="77777777">
        <w:trPr>
          <w:trHeight w:val="116"/>
          <w:jc w:val="center"/>
        </w:trPr>
        <w:tc>
          <w:tcPr>
            <w:tcW w:w="528" w:type="pct"/>
            <w:tcBorders>
              <w:top w:val="nil"/>
              <w:left w:val="nil"/>
              <w:bottom w:val="nil"/>
              <w:right w:val="nil"/>
            </w:tcBorders>
            <w:tcMar>
              <w:top w:w="72" w:type="dxa"/>
              <w:left w:w="144" w:type="dxa"/>
              <w:bottom w:w="72" w:type="dxa"/>
              <w:right w:w="144" w:type="dxa"/>
            </w:tcMar>
            <w:vAlign w:val="center"/>
          </w:tcPr>
          <w:p w14:paraId="0AED65D3" w14:textId="77777777" w:rsidR="00D91720" w:rsidRDefault="00000000">
            <w:pPr>
              <w:pStyle w:val="ad"/>
              <w:widowControl/>
              <w:spacing w:before="40" w:after="40" w:afterAutospacing="1"/>
              <w:jc w:val="left"/>
              <w:rPr>
                <w:rFonts w:ascii="Arial" w:hAnsi="Arial" w:cs="Arial"/>
                <w:color w:val="000000"/>
                <w:kern w:val="0"/>
                <w:sz w:val="20"/>
                <w:szCs w:val="20"/>
                <w:lang w:bidi="ar"/>
              </w:rPr>
            </w:pPr>
            <w:r>
              <w:rPr>
                <w:rFonts w:ascii="Arial" w:eastAsia="Arial" w:hAnsi="Arial" w:cs="Arial"/>
                <w:color w:val="000000"/>
                <w:sz w:val="18"/>
                <w:szCs w:val="20"/>
              </w:rPr>
              <w:t>10</w:t>
            </w:r>
            <w:r>
              <w:rPr>
                <w:rFonts w:ascii="Arial" w:eastAsia="Arial" w:hAnsi="Arial" w:cs="Arial" w:hint="eastAsia"/>
                <w:color w:val="000000"/>
                <w:sz w:val="18"/>
                <w:szCs w:val="20"/>
              </w:rPr>
              <w:t xml:space="preserve"> </w:t>
            </w:r>
            <w:r>
              <w:rPr>
                <w:rFonts w:ascii="Arial" w:eastAsia="Arial" w:hAnsi="Arial" w:cs="Arial"/>
                <w:color w:val="000000"/>
                <w:sz w:val="18"/>
                <w:szCs w:val="20"/>
              </w:rPr>
              <w:t>h</w:t>
            </w:r>
          </w:p>
        </w:tc>
        <w:tc>
          <w:tcPr>
            <w:tcW w:w="1972" w:type="pct"/>
            <w:tcBorders>
              <w:top w:val="nil"/>
              <w:left w:val="nil"/>
              <w:bottom w:val="nil"/>
              <w:right w:val="nil"/>
            </w:tcBorders>
            <w:tcMar>
              <w:top w:w="40" w:type="dxa"/>
              <w:left w:w="81" w:type="dxa"/>
              <w:bottom w:w="40" w:type="dxa"/>
              <w:right w:w="81" w:type="dxa"/>
            </w:tcMar>
          </w:tcPr>
          <w:p w14:paraId="506818DB" w14:textId="77777777" w:rsidR="00D91720" w:rsidRDefault="00000000">
            <w:pPr>
              <w:pStyle w:val="ad"/>
              <w:widowControl/>
              <w:spacing w:before="40" w:after="40" w:afterAutospacing="1"/>
              <w:jc w:val="center"/>
              <w:rPr>
                <w:rFonts w:ascii="Arial" w:hAnsi="Arial" w:cs="Arial"/>
                <w:kern w:val="0"/>
                <w:sz w:val="20"/>
                <w:szCs w:val="20"/>
                <w:lang w:bidi="ar"/>
              </w:rPr>
            </w:pPr>
            <w:r>
              <w:rPr>
                <w:rFonts w:ascii="Arial" w:eastAsia="Arial" w:hAnsi="Arial" w:cs="Arial" w:hint="eastAsia"/>
                <w:color w:val="000000"/>
                <w:sz w:val="18"/>
                <w:szCs w:val="20"/>
              </w:rPr>
              <w:t xml:space="preserve">&gt; </w:t>
            </w:r>
            <w:r>
              <w:rPr>
                <w:rFonts w:ascii="Arial" w:eastAsia="Arial" w:hAnsi="Arial" w:cs="Arial"/>
                <w:color w:val="000000"/>
                <w:sz w:val="18"/>
                <w:szCs w:val="20"/>
              </w:rPr>
              <w:t>99</w:t>
            </w:r>
          </w:p>
        </w:tc>
        <w:tc>
          <w:tcPr>
            <w:tcW w:w="2500" w:type="pct"/>
            <w:tcBorders>
              <w:top w:val="nil"/>
              <w:left w:val="nil"/>
              <w:bottom w:val="nil"/>
              <w:right w:val="nil"/>
            </w:tcBorders>
            <w:tcMar>
              <w:top w:w="40" w:type="dxa"/>
              <w:left w:w="81" w:type="dxa"/>
              <w:bottom w:w="40" w:type="dxa"/>
              <w:right w:w="81" w:type="dxa"/>
            </w:tcMar>
            <w:vAlign w:val="center"/>
          </w:tcPr>
          <w:p w14:paraId="448E7528" w14:textId="77777777" w:rsidR="00D91720" w:rsidRDefault="00000000">
            <w:pPr>
              <w:pStyle w:val="ad"/>
              <w:widowControl/>
              <w:spacing w:before="40" w:after="40" w:afterAutospacing="1"/>
              <w:jc w:val="center"/>
              <w:rPr>
                <w:rFonts w:ascii="Arial" w:hAnsi="Arial" w:cs="Arial"/>
                <w:color w:val="000000"/>
                <w:kern w:val="0"/>
                <w:sz w:val="20"/>
                <w:szCs w:val="20"/>
                <w:lang w:bidi="ar"/>
              </w:rPr>
            </w:pPr>
            <w:r>
              <w:rPr>
                <w:rFonts w:ascii="Arial" w:eastAsia="Arial" w:hAnsi="Arial" w:cs="Arial"/>
                <w:color w:val="000000"/>
                <w:sz w:val="18"/>
                <w:szCs w:val="20"/>
              </w:rPr>
              <w:t>68.62</w:t>
            </w:r>
            <w:r>
              <w:rPr>
                <w:rFonts w:ascii="Arial" w:eastAsia="Arial" w:hAnsi="Arial" w:cs="Arial" w:hint="eastAsia"/>
                <w:color w:val="000000"/>
                <w:sz w:val="18"/>
                <w:szCs w:val="20"/>
              </w:rPr>
              <w:t xml:space="preserve"> </w:t>
            </w:r>
            <w:r>
              <w:rPr>
                <w:rFonts w:ascii="Arial" w:eastAsia="Arial" w:hAnsi="Arial" w:cs="Arial"/>
                <w:color w:val="000000"/>
                <w:sz w:val="18"/>
                <w:szCs w:val="20"/>
              </w:rPr>
              <w:t>±</w:t>
            </w:r>
            <w:r>
              <w:rPr>
                <w:rFonts w:ascii="Arial" w:eastAsia="Arial" w:hAnsi="Arial" w:cs="Arial" w:hint="eastAsia"/>
                <w:color w:val="000000"/>
                <w:sz w:val="18"/>
                <w:szCs w:val="20"/>
              </w:rPr>
              <w:t xml:space="preserve"> </w:t>
            </w:r>
            <w:r>
              <w:rPr>
                <w:rFonts w:ascii="Arial" w:eastAsia="Arial" w:hAnsi="Arial" w:cs="Arial"/>
                <w:color w:val="000000"/>
                <w:sz w:val="18"/>
                <w:szCs w:val="20"/>
              </w:rPr>
              <w:t>0.50</w:t>
            </w:r>
          </w:p>
        </w:tc>
      </w:tr>
    </w:tbl>
    <w:p w14:paraId="074CEE0D" w14:textId="77777777" w:rsidR="00D91720" w:rsidRDefault="00000000">
      <w:pPr>
        <w:spacing w:after="120" w:line="480" w:lineRule="auto"/>
        <w:jc w:val="left"/>
        <w:rPr>
          <w:rFonts w:ascii="Arial" w:eastAsia="宋体" w:hAnsi="Arial" w:cs="Arial"/>
          <w:bCs/>
          <w:sz w:val="18"/>
          <w:szCs w:val="18"/>
        </w:rPr>
      </w:pPr>
      <w:r>
        <w:rPr>
          <w:rFonts w:ascii="Arial" w:eastAsia="Arial" w:hAnsi="Arial" w:cs="Arial"/>
          <w:sz w:val="18"/>
          <w:szCs w:val="18"/>
        </w:rPr>
        <w:t>[a] Due to the weak scattering intensity of the sample, the hydrodynamic diameter data could not be measured for the polymer solution with short polymerization time. It can be seen that the particle size remained basically unchanged after the conversion rate reached 99%.</w:t>
      </w:r>
    </w:p>
    <w:p w14:paraId="2D551CA6" w14:textId="77777777" w:rsidR="00D91720" w:rsidRDefault="00000000">
      <w:pPr>
        <w:spacing w:line="480" w:lineRule="auto"/>
        <w:rPr>
          <w:rFonts w:ascii="Arial" w:hAnsi="Arial" w:cs="Arial"/>
        </w:rPr>
      </w:pPr>
      <w:r>
        <w:rPr>
          <w:noProof/>
        </w:rPr>
        <w:lastRenderedPageBreak/>
        <w:drawing>
          <wp:inline distT="0" distB="0" distL="114300" distR="114300" wp14:anchorId="40CC0759" wp14:editId="6E42AB22">
            <wp:extent cx="5400040" cy="4735195"/>
            <wp:effectExtent l="0" t="0" r="0" b="0"/>
            <wp:docPr id="104"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30"/>
                    <pic:cNvPicPr>
                      <a:picLocks noChangeAspect="1"/>
                    </pic:cNvPicPr>
                  </pic:nvPicPr>
                  <pic:blipFill>
                    <a:blip r:embed="rId40"/>
                    <a:stretch>
                      <a:fillRect/>
                    </a:stretch>
                  </pic:blipFill>
                  <pic:spPr>
                    <a:xfrm>
                      <a:off x="0" y="0"/>
                      <a:ext cx="5400040" cy="4735195"/>
                    </a:xfrm>
                    <a:prstGeom prst="rect">
                      <a:avLst/>
                    </a:prstGeom>
                    <a:noFill/>
                    <a:ln>
                      <a:noFill/>
                    </a:ln>
                  </pic:spPr>
                </pic:pic>
              </a:graphicData>
            </a:graphic>
          </wp:inline>
        </w:drawing>
      </w:r>
    </w:p>
    <w:p w14:paraId="3538E16D" w14:textId="77777777" w:rsidR="00D91720" w:rsidRDefault="00000000">
      <w:pPr>
        <w:spacing w:before="160" w:after="60" w:line="480" w:lineRule="auto"/>
        <w:jc w:val="left"/>
        <w:rPr>
          <w:rFonts w:ascii="Arial" w:eastAsia="等线" w:hAnsi="Arial" w:cs="Arial"/>
          <w:bCs/>
          <w:szCs w:val="21"/>
        </w:rPr>
      </w:pPr>
      <w:r>
        <w:rPr>
          <w:rFonts w:ascii="Arial" w:eastAsia="Arial" w:hAnsi="Arial" w:cs="Arial"/>
          <w:b/>
          <w:bCs/>
          <w:szCs w:val="21"/>
        </w:rPr>
        <w:t>Supplementary Fig. 28</w:t>
      </w:r>
      <w:r>
        <w:rPr>
          <w:rFonts w:ascii="Arial" w:eastAsia="Arial" w:hAnsi="Arial" w:cs="Arial"/>
          <w:szCs w:val="21"/>
        </w:rPr>
        <w:t xml:space="preserve"> | DLS analysis of hydrodynamic diameter distribution of n-PBFDO particles at different polymerization time (polymerization condition: 5 mg mL−1 BFDO with 2 eq. S at 120 °C).</w:t>
      </w:r>
    </w:p>
    <w:p w14:paraId="622CD342" w14:textId="77777777" w:rsidR="00D91720" w:rsidRDefault="00D91720">
      <w:pPr>
        <w:spacing w:line="480" w:lineRule="auto"/>
        <w:rPr>
          <w:rFonts w:ascii="Arial" w:eastAsia="等线" w:hAnsi="Arial" w:cs="Arial"/>
          <w:bCs/>
          <w:szCs w:val="21"/>
        </w:rPr>
      </w:pPr>
    </w:p>
    <w:p w14:paraId="6CB181CF" w14:textId="77777777" w:rsidR="00D91720" w:rsidRDefault="00D91720">
      <w:pPr>
        <w:spacing w:line="480" w:lineRule="auto"/>
        <w:rPr>
          <w:rFonts w:ascii="Arial" w:eastAsia="等线" w:hAnsi="Arial" w:cs="Arial"/>
          <w:bCs/>
          <w:szCs w:val="21"/>
        </w:rPr>
      </w:pPr>
    </w:p>
    <w:p w14:paraId="70CDE58C" w14:textId="77777777" w:rsidR="00D91720" w:rsidRDefault="00D91720">
      <w:pPr>
        <w:spacing w:line="480" w:lineRule="auto"/>
        <w:rPr>
          <w:rFonts w:ascii="Arial" w:eastAsia="等线" w:hAnsi="Arial" w:cs="Arial"/>
          <w:bCs/>
          <w:szCs w:val="21"/>
        </w:rPr>
      </w:pPr>
    </w:p>
    <w:p w14:paraId="25EC15BC" w14:textId="77777777" w:rsidR="00D91720" w:rsidRDefault="00D91720">
      <w:pPr>
        <w:spacing w:line="480" w:lineRule="auto"/>
        <w:rPr>
          <w:rFonts w:ascii="Arial" w:eastAsia="等线" w:hAnsi="Arial" w:cs="Arial"/>
          <w:bCs/>
          <w:szCs w:val="21"/>
        </w:rPr>
      </w:pPr>
    </w:p>
    <w:p w14:paraId="6D0A9A19" w14:textId="77777777" w:rsidR="00D91720" w:rsidRDefault="00D91720">
      <w:pPr>
        <w:spacing w:line="480" w:lineRule="auto"/>
        <w:rPr>
          <w:rFonts w:ascii="Arial" w:eastAsia="等线" w:hAnsi="Arial" w:cs="Arial"/>
          <w:bCs/>
          <w:szCs w:val="21"/>
        </w:rPr>
      </w:pPr>
    </w:p>
    <w:p w14:paraId="4AC691E4" w14:textId="77777777" w:rsidR="00D91720" w:rsidRDefault="00D91720">
      <w:pPr>
        <w:spacing w:line="480" w:lineRule="auto"/>
        <w:rPr>
          <w:rFonts w:ascii="Arial" w:eastAsia="等线" w:hAnsi="Arial" w:cs="Arial"/>
          <w:bCs/>
          <w:szCs w:val="21"/>
        </w:rPr>
      </w:pPr>
    </w:p>
    <w:p w14:paraId="3ED7A561" w14:textId="77777777" w:rsidR="00D91720" w:rsidRDefault="00D91720">
      <w:pPr>
        <w:spacing w:line="480" w:lineRule="auto"/>
        <w:rPr>
          <w:rFonts w:ascii="Arial" w:eastAsia="等线" w:hAnsi="Arial" w:cs="Arial"/>
          <w:bCs/>
          <w:szCs w:val="21"/>
        </w:rPr>
      </w:pPr>
    </w:p>
    <w:p w14:paraId="5B3F40D6" w14:textId="77777777" w:rsidR="004563D3" w:rsidRDefault="004563D3">
      <w:pPr>
        <w:spacing w:line="480" w:lineRule="auto"/>
        <w:rPr>
          <w:rFonts w:ascii="Arial" w:eastAsia="等线" w:hAnsi="Arial" w:cs="Arial"/>
          <w:bCs/>
          <w:szCs w:val="21"/>
        </w:rPr>
      </w:pPr>
    </w:p>
    <w:p w14:paraId="43115D89" w14:textId="77777777" w:rsidR="00163EFC" w:rsidRDefault="00163EFC">
      <w:pPr>
        <w:spacing w:line="480" w:lineRule="auto"/>
        <w:rPr>
          <w:rFonts w:ascii="Arial" w:eastAsia="等线" w:hAnsi="Arial" w:cs="Arial"/>
          <w:bCs/>
          <w:szCs w:val="21"/>
        </w:rPr>
      </w:pPr>
    </w:p>
    <w:p w14:paraId="71F05400" w14:textId="77777777" w:rsidR="00D91720" w:rsidRDefault="00000000">
      <w:pPr>
        <w:spacing w:before="160" w:after="60" w:line="480" w:lineRule="auto"/>
        <w:jc w:val="left"/>
        <w:rPr>
          <w:rFonts w:ascii="Arial" w:eastAsia="等线" w:hAnsi="Arial" w:cs="Arial"/>
          <w:bCs/>
          <w:szCs w:val="21"/>
        </w:rPr>
      </w:pPr>
      <w:r w:rsidRPr="004563D3">
        <w:rPr>
          <w:rFonts w:ascii="Arial" w:eastAsia="Arial" w:hAnsi="Arial" w:cs="Arial"/>
          <w:b/>
          <w:bCs/>
          <w:szCs w:val="21"/>
        </w:rPr>
        <w:lastRenderedPageBreak/>
        <w:t>Supplementary Table 5</w:t>
      </w:r>
      <w:r>
        <w:rPr>
          <w:rFonts w:ascii="Arial" w:eastAsia="Arial" w:hAnsi="Arial" w:cs="Arial"/>
          <w:szCs w:val="21"/>
        </w:rPr>
        <w:t xml:space="preserve"> | Hydrodynamic diameters of n-PBFDO particles at different polymerization time (polymerization condition: 5 mg mL</w:t>
      </w:r>
      <w:r>
        <w:rPr>
          <w:rFonts w:ascii="Arial" w:eastAsia="Arial" w:hAnsi="Arial" w:cs="Arial"/>
          <w:szCs w:val="21"/>
          <w:vertAlign w:val="superscript"/>
        </w:rPr>
        <w:t>−</w:t>
      </w:r>
      <w:proofErr w:type="gramStart"/>
      <w:r>
        <w:rPr>
          <w:rFonts w:ascii="Arial" w:eastAsia="Arial" w:hAnsi="Arial" w:cs="Arial"/>
          <w:szCs w:val="21"/>
          <w:vertAlign w:val="superscript"/>
        </w:rPr>
        <w:t>1</w:t>
      </w:r>
      <w:r>
        <w:rPr>
          <w:rFonts w:ascii="Arial" w:eastAsia="Arial" w:hAnsi="Arial" w:cs="Arial"/>
          <w:szCs w:val="21"/>
        </w:rPr>
        <w:t xml:space="preserve"> </w:t>
      </w:r>
      <w:r>
        <w:rPr>
          <w:rFonts w:ascii="Arial" w:eastAsia="Arial" w:hAnsi="Arial" w:cs="Arial"/>
          <w:szCs w:val="21"/>
          <w:vertAlign w:val="superscript"/>
        </w:rPr>
        <w:t xml:space="preserve"> </w:t>
      </w:r>
      <w:r>
        <w:rPr>
          <w:rFonts w:ascii="Arial" w:eastAsia="Arial" w:hAnsi="Arial" w:cs="Arial"/>
          <w:szCs w:val="21"/>
        </w:rPr>
        <w:t>BFDO</w:t>
      </w:r>
      <w:proofErr w:type="gramEnd"/>
      <w:r>
        <w:rPr>
          <w:rFonts w:ascii="Arial" w:eastAsia="Arial" w:hAnsi="Arial" w:cs="Arial"/>
          <w:szCs w:val="21"/>
        </w:rPr>
        <w:t xml:space="preserve"> with 2 eq. S at 120 °C).</w:t>
      </w:r>
    </w:p>
    <w:tbl>
      <w:tblPr>
        <w:tblW w:w="5000" w:type="pct"/>
        <w:jc w:val="center"/>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27"/>
        <w:gridCol w:w="3846"/>
        <w:gridCol w:w="4873"/>
      </w:tblGrid>
      <w:tr w:rsidR="00D91720" w14:paraId="2B82918D" w14:textId="77777777">
        <w:trPr>
          <w:trHeight w:val="660"/>
          <w:jc w:val="center"/>
        </w:trPr>
        <w:tc>
          <w:tcPr>
            <w:tcW w:w="527" w:type="pct"/>
            <w:tcBorders>
              <w:top w:val="nil"/>
              <w:left w:val="nil"/>
              <w:bottom w:val="single" w:sz="8" w:space="0" w:color="000000"/>
              <w:right w:val="nil"/>
            </w:tcBorders>
            <w:tcMar>
              <w:top w:w="54" w:type="dxa"/>
              <w:left w:w="108" w:type="dxa"/>
              <w:bottom w:w="54" w:type="dxa"/>
              <w:right w:w="108" w:type="dxa"/>
            </w:tcMar>
            <w:vAlign w:val="center"/>
          </w:tcPr>
          <w:p w14:paraId="2BD37511" w14:textId="77777777" w:rsidR="00D91720" w:rsidRDefault="00000000">
            <w:pPr>
              <w:pStyle w:val="ad"/>
              <w:widowControl/>
              <w:spacing w:before="40" w:after="40" w:afterAutospacing="1"/>
              <w:jc w:val="left"/>
              <w:rPr>
                <w:rFonts w:ascii="Arial" w:hAnsi="Arial" w:cs="Arial"/>
              </w:rPr>
            </w:pPr>
            <w:r>
              <w:rPr>
                <w:rFonts w:ascii="Arial" w:eastAsia="Arial" w:hAnsi="Arial" w:cs="Arial"/>
                <w:b/>
                <w:color w:val="000000"/>
                <w:sz w:val="18"/>
                <w:szCs w:val="20"/>
              </w:rPr>
              <w:t>Time</w:t>
            </w:r>
          </w:p>
        </w:tc>
        <w:tc>
          <w:tcPr>
            <w:tcW w:w="1973" w:type="pct"/>
            <w:tcBorders>
              <w:top w:val="nil"/>
              <w:left w:val="nil"/>
              <w:bottom w:val="single" w:sz="8" w:space="0" w:color="000000"/>
              <w:right w:val="nil"/>
            </w:tcBorders>
            <w:tcMar>
              <w:top w:w="54" w:type="dxa"/>
              <w:left w:w="108" w:type="dxa"/>
              <w:bottom w:w="54" w:type="dxa"/>
              <w:right w:w="108" w:type="dxa"/>
            </w:tcMar>
            <w:vAlign w:val="center"/>
          </w:tcPr>
          <w:p w14:paraId="6A3EEAC2" w14:textId="77777777" w:rsidR="00D91720" w:rsidRDefault="00000000">
            <w:pPr>
              <w:pStyle w:val="ad"/>
              <w:widowControl/>
              <w:spacing w:before="40" w:after="40" w:afterAutospacing="1"/>
              <w:jc w:val="center"/>
              <w:rPr>
                <w:rFonts w:ascii="Arial" w:hAnsi="Arial" w:cs="Arial"/>
              </w:rPr>
            </w:pPr>
            <w:r>
              <w:rPr>
                <w:rFonts w:ascii="Arial" w:eastAsia="Arial" w:hAnsi="Arial" w:cs="Arial"/>
                <w:b/>
                <w:color w:val="000000"/>
                <w:sz w:val="18"/>
                <w:szCs w:val="20"/>
              </w:rPr>
              <w:t>Monomer</w:t>
            </w:r>
            <w:r>
              <w:rPr>
                <w:rFonts w:ascii="Arial" w:eastAsia="Arial" w:hAnsi="Arial" w:cs="Arial" w:hint="eastAsia"/>
                <w:b/>
                <w:color w:val="000000"/>
                <w:sz w:val="18"/>
                <w:szCs w:val="20"/>
              </w:rPr>
              <w:t xml:space="preserve"> </w:t>
            </w:r>
            <w:r>
              <w:rPr>
                <w:rFonts w:ascii="Arial" w:eastAsia="Arial" w:hAnsi="Arial" w:cs="Arial"/>
                <w:b/>
                <w:color w:val="000000"/>
                <w:sz w:val="18"/>
                <w:szCs w:val="20"/>
              </w:rPr>
              <w:t>conversion</w:t>
            </w:r>
            <w:r>
              <w:rPr>
                <w:rFonts w:ascii="Arial" w:eastAsia="Arial" w:hAnsi="Arial" w:cs="Arial" w:hint="eastAsia"/>
                <w:b/>
                <w:color w:val="000000"/>
                <w:sz w:val="18"/>
                <w:szCs w:val="20"/>
              </w:rPr>
              <w:t xml:space="preserve"> </w:t>
            </w:r>
            <w:r>
              <w:rPr>
                <w:rFonts w:ascii="Arial" w:eastAsia="Arial" w:hAnsi="Arial" w:cs="Arial"/>
                <w:b/>
                <w:color w:val="000000"/>
                <w:sz w:val="18"/>
                <w:szCs w:val="20"/>
              </w:rPr>
              <w:t>(%)</w:t>
            </w:r>
          </w:p>
        </w:tc>
        <w:tc>
          <w:tcPr>
            <w:tcW w:w="2500" w:type="pct"/>
            <w:tcBorders>
              <w:top w:val="nil"/>
              <w:left w:val="nil"/>
              <w:bottom w:val="single" w:sz="8" w:space="0" w:color="000000"/>
              <w:right w:val="nil"/>
            </w:tcBorders>
            <w:tcMar>
              <w:top w:w="54" w:type="dxa"/>
              <w:left w:w="108" w:type="dxa"/>
              <w:bottom w:w="54" w:type="dxa"/>
              <w:right w:w="108" w:type="dxa"/>
            </w:tcMar>
            <w:vAlign w:val="center"/>
          </w:tcPr>
          <w:p w14:paraId="0AC10FAA" w14:textId="77777777" w:rsidR="00D91720" w:rsidRDefault="00000000">
            <w:pPr>
              <w:pStyle w:val="ad"/>
              <w:widowControl/>
              <w:spacing w:before="40" w:after="40" w:afterAutospacing="1"/>
              <w:jc w:val="center"/>
              <w:rPr>
                <w:rFonts w:ascii="Arial" w:hAnsi="Arial" w:cs="Arial"/>
              </w:rPr>
            </w:pPr>
            <w:r>
              <w:rPr>
                <w:rFonts w:ascii="Arial" w:eastAsia="Arial" w:hAnsi="Arial" w:cs="Arial"/>
                <w:b/>
                <w:color w:val="000000"/>
                <w:sz w:val="18"/>
                <w:szCs w:val="20"/>
              </w:rPr>
              <w:t>Hydrodynamic</w:t>
            </w:r>
            <w:r>
              <w:rPr>
                <w:rFonts w:ascii="Arial" w:eastAsia="Arial" w:hAnsi="Arial" w:cs="Arial" w:hint="eastAsia"/>
                <w:b/>
                <w:color w:val="000000"/>
                <w:sz w:val="18"/>
                <w:szCs w:val="20"/>
              </w:rPr>
              <w:t xml:space="preserve"> </w:t>
            </w:r>
            <w:r>
              <w:rPr>
                <w:rFonts w:ascii="Arial" w:eastAsia="Arial" w:hAnsi="Arial" w:cs="Arial"/>
                <w:b/>
                <w:color w:val="000000"/>
                <w:sz w:val="18"/>
                <w:szCs w:val="20"/>
              </w:rPr>
              <w:t>diameter</w:t>
            </w:r>
            <w:r>
              <w:rPr>
                <w:rFonts w:ascii="Arial" w:eastAsia="Arial" w:hAnsi="Arial" w:cs="Arial" w:hint="eastAsia"/>
                <w:b/>
                <w:color w:val="000000"/>
                <w:sz w:val="18"/>
                <w:szCs w:val="20"/>
              </w:rPr>
              <w:t xml:space="preserve"> </w:t>
            </w:r>
            <w:r>
              <w:rPr>
                <w:rFonts w:ascii="Arial" w:eastAsia="Arial" w:hAnsi="Arial" w:cs="Arial"/>
                <w:b/>
                <w:color w:val="000000"/>
                <w:sz w:val="18"/>
                <w:szCs w:val="20"/>
              </w:rPr>
              <w:t>(nm)</w:t>
            </w:r>
          </w:p>
        </w:tc>
      </w:tr>
      <w:tr w:rsidR="00D91720" w14:paraId="66CC5F5B" w14:textId="77777777">
        <w:trPr>
          <w:trHeight w:val="404"/>
          <w:jc w:val="center"/>
        </w:trPr>
        <w:tc>
          <w:tcPr>
            <w:tcW w:w="527" w:type="pct"/>
            <w:tcBorders>
              <w:top w:val="nil"/>
              <w:left w:val="nil"/>
              <w:bottom w:val="nil"/>
              <w:right w:val="nil"/>
            </w:tcBorders>
            <w:tcMar>
              <w:top w:w="72" w:type="dxa"/>
              <w:left w:w="144" w:type="dxa"/>
              <w:bottom w:w="72" w:type="dxa"/>
              <w:right w:w="144" w:type="dxa"/>
            </w:tcMar>
            <w:vAlign w:val="center"/>
          </w:tcPr>
          <w:p w14:paraId="4B1688D1" w14:textId="77777777" w:rsidR="00D91720" w:rsidRDefault="00000000">
            <w:pPr>
              <w:pStyle w:val="ad"/>
              <w:widowControl/>
              <w:spacing w:before="40" w:after="40" w:afterAutospacing="1"/>
              <w:jc w:val="left"/>
              <w:rPr>
                <w:rFonts w:ascii="Arial" w:hAnsi="Arial" w:cs="Arial"/>
              </w:rPr>
            </w:pPr>
            <w:r>
              <w:rPr>
                <w:rFonts w:ascii="Arial" w:eastAsia="Arial" w:hAnsi="Arial" w:cs="Arial"/>
                <w:color w:val="000000"/>
                <w:sz w:val="18"/>
                <w:szCs w:val="20"/>
              </w:rPr>
              <w:t>1</w:t>
            </w:r>
            <w:r>
              <w:rPr>
                <w:rFonts w:ascii="Arial" w:eastAsia="Arial" w:hAnsi="Arial" w:cs="Arial" w:hint="eastAsia"/>
                <w:color w:val="000000"/>
                <w:sz w:val="18"/>
                <w:szCs w:val="20"/>
              </w:rPr>
              <w:t xml:space="preserve"> </w:t>
            </w:r>
            <w:r>
              <w:rPr>
                <w:rFonts w:ascii="Arial" w:eastAsia="Arial" w:hAnsi="Arial" w:cs="Arial"/>
                <w:color w:val="000000"/>
                <w:sz w:val="18"/>
                <w:szCs w:val="20"/>
              </w:rPr>
              <w:t>h</w:t>
            </w:r>
          </w:p>
        </w:tc>
        <w:tc>
          <w:tcPr>
            <w:tcW w:w="1973" w:type="pct"/>
            <w:tcBorders>
              <w:top w:val="nil"/>
              <w:left w:val="nil"/>
              <w:bottom w:val="nil"/>
              <w:right w:val="nil"/>
            </w:tcBorders>
            <w:tcMar>
              <w:top w:w="40" w:type="dxa"/>
              <w:left w:w="81" w:type="dxa"/>
              <w:bottom w:w="40" w:type="dxa"/>
              <w:right w:w="81" w:type="dxa"/>
            </w:tcMar>
            <w:vAlign w:val="center"/>
          </w:tcPr>
          <w:p w14:paraId="3A8B956A" w14:textId="77777777" w:rsidR="00D91720" w:rsidRDefault="00000000">
            <w:pPr>
              <w:pStyle w:val="ad"/>
              <w:widowControl/>
              <w:spacing w:before="40" w:after="40" w:afterAutospacing="1"/>
              <w:jc w:val="center"/>
              <w:rPr>
                <w:rFonts w:ascii="Arial" w:hAnsi="Arial" w:cs="Arial"/>
              </w:rPr>
            </w:pPr>
            <w:r>
              <w:rPr>
                <w:rFonts w:ascii="Arial" w:eastAsia="Arial" w:hAnsi="Arial" w:cs="Arial"/>
                <w:color w:val="000000"/>
                <w:sz w:val="18"/>
                <w:szCs w:val="20"/>
              </w:rPr>
              <w:t>26.14</w:t>
            </w:r>
          </w:p>
        </w:tc>
        <w:tc>
          <w:tcPr>
            <w:tcW w:w="2500" w:type="pct"/>
            <w:tcBorders>
              <w:top w:val="nil"/>
              <w:left w:val="nil"/>
              <w:bottom w:val="nil"/>
              <w:right w:val="nil"/>
            </w:tcBorders>
            <w:tcMar>
              <w:top w:w="40" w:type="dxa"/>
              <w:left w:w="81" w:type="dxa"/>
              <w:bottom w:w="40" w:type="dxa"/>
              <w:right w:w="81" w:type="dxa"/>
            </w:tcMar>
          </w:tcPr>
          <w:p w14:paraId="17EFD508" w14:textId="77777777" w:rsidR="00D91720" w:rsidRDefault="00000000">
            <w:pPr>
              <w:pStyle w:val="ad"/>
              <w:widowControl/>
              <w:spacing w:before="40" w:after="40" w:afterAutospacing="1"/>
              <w:jc w:val="center"/>
              <w:rPr>
                <w:rFonts w:ascii="Arial" w:hAnsi="Arial" w:cs="Arial"/>
              </w:rPr>
            </w:pPr>
            <w:r>
              <w:rPr>
                <w:rFonts w:ascii="Arial" w:eastAsia="Arial" w:hAnsi="Arial" w:cs="Arial"/>
                <w:kern w:val="0"/>
                <w:sz w:val="18"/>
                <w:szCs w:val="20"/>
                <w:lang w:bidi="ar"/>
              </w:rPr>
              <w:t>–</w:t>
            </w:r>
          </w:p>
        </w:tc>
      </w:tr>
      <w:tr w:rsidR="00D91720" w14:paraId="542039C9" w14:textId="77777777">
        <w:trPr>
          <w:trHeight w:val="420"/>
          <w:jc w:val="center"/>
        </w:trPr>
        <w:tc>
          <w:tcPr>
            <w:tcW w:w="527" w:type="pct"/>
            <w:tcBorders>
              <w:top w:val="nil"/>
              <w:left w:val="nil"/>
              <w:bottom w:val="nil"/>
              <w:right w:val="nil"/>
            </w:tcBorders>
            <w:tcMar>
              <w:top w:w="72" w:type="dxa"/>
              <w:left w:w="144" w:type="dxa"/>
              <w:bottom w:w="72" w:type="dxa"/>
              <w:right w:w="144" w:type="dxa"/>
            </w:tcMar>
            <w:vAlign w:val="center"/>
          </w:tcPr>
          <w:p w14:paraId="497322E4" w14:textId="77777777" w:rsidR="00D91720" w:rsidRDefault="00000000">
            <w:pPr>
              <w:pStyle w:val="ad"/>
              <w:widowControl/>
              <w:spacing w:before="40" w:after="40" w:afterAutospacing="1"/>
              <w:jc w:val="left"/>
              <w:rPr>
                <w:rFonts w:ascii="Arial" w:hAnsi="Arial" w:cs="Arial"/>
              </w:rPr>
            </w:pPr>
            <w:r>
              <w:rPr>
                <w:rFonts w:ascii="Arial" w:eastAsia="Arial" w:hAnsi="Arial" w:cs="Arial"/>
                <w:color w:val="000000"/>
                <w:sz w:val="18"/>
                <w:szCs w:val="20"/>
              </w:rPr>
              <w:t>2</w:t>
            </w:r>
            <w:r>
              <w:rPr>
                <w:rFonts w:ascii="Arial" w:eastAsia="Arial" w:hAnsi="Arial" w:cs="Arial" w:hint="eastAsia"/>
                <w:color w:val="000000"/>
                <w:sz w:val="18"/>
                <w:szCs w:val="20"/>
              </w:rPr>
              <w:t xml:space="preserve"> </w:t>
            </w:r>
            <w:r>
              <w:rPr>
                <w:rFonts w:ascii="Arial" w:eastAsia="Arial" w:hAnsi="Arial" w:cs="Arial"/>
                <w:color w:val="000000"/>
                <w:sz w:val="18"/>
                <w:szCs w:val="20"/>
              </w:rPr>
              <w:t>h</w:t>
            </w:r>
          </w:p>
        </w:tc>
        <w:tc>
          <w:tcPr>
            <w:tcW w:w="1973" w:type="pct"/>
            <w:tcBorders>
              <w:top w:val="nil"/>
              <w:left w:val="nil"/>
              <w:bottom w:val="nil"/>
              <w:right w:val="nil"/>
            </w:tcBorders>
            <w:tcMar>
              <w:top w:w="40" w:type="dxa"/>
              <w:left w:w="81" w:type="dxa"/>
              <w:bottom w:w="40" w:type="dxa"/>
              <w:right w:w="81" w:type="dxa"/>
            </w:tcMar>
            <w:vAlign w:val="center"/>
          </w:tcPr>
          <w:p w14:paraId="610E4FD4" w14:textId="77777777" w:rsidR="00D91720" w:rsidRDefault="00000000">
            <w:pPr>
              <w:pStyle w:val="ad"/>
              <w:widowControl/>
              <w:spacing w:before="40" w:after="40" w:afterAutospacing="1"/>
              <w:jc w:val="center"/>
              <w:rPr>
                <w:rFonts w:ascii="Arial" w:hAnsi="Arial" w:cs="Arial"/>
              </w:rPr>
            </w:pPr>
            <w:r>
              <w:rPr>
                <w:rFonts w:ascii="Arial" w:eastAsia="Arial" w:hAnsi="Arial" w:cs="Arial"/>
                <w:color w:val="000000"/>
                <w:sz w:val="18"/>
                <w:szCs w:val="20"/>
              </w:rPr>
              <w:t>41.42</w:t>
            </w:r>
          </w:p>
        </w:tc>
        <w:tc>
          <w:tcPr>
            <w:tcW w:w="2500" w:type="pct"/>
            <w:tcBorders>
              <w:top w:val="nil"/>
              <w:left w:val="nil"/>
              <w:bottom w:val="nil"/>
              <w:right w:val="nil"/>
            </w:tcBorders>
            <w:tcMar>
              <w:top w:w="40" w:type="dxa"/>
              <w:left w:w="81" w:type="dxa"/>
              <w:bottom w:w="40" w:type="dxa"/>
              <w:right w:w="81" w:type="dxa"/>
            </w:tcMar>
          </w:tcPr>
          <w:p w14:paraId="7D197165" w14:textId="77777777" w:rsidR="00D91720" w:rsidRDefault="00000000">
            <w:pPr>
              <w:pStyle w:val="ad"/>
              <w:widowControl/>
              <w:spacing w:before="40" w:after="40" w:afterAutospacing="1"/>
              <w:jc w:val="center"/>
              <w:rPr>
                <w:rFonts w:ascii="Arial" w:hAnsi="Arial" w:cs="Arial"/>
              </w:rPr>
            </w:pPr>
            <w:r>
              <w:rPr>
                <w:rFonts w:ascii="Arial" w:eastAsia="Arial" w:hAnsi="Arial" w:cs="Arial"/>
                <w:kern w:val="0"/>
                <w:sz w:val="18"/>
                <w:szCs w:val="20"/>
                <w:lang w:bidi="ar"/>
              </w:rPr>
              <w:t>–</w:t>
            </w:r>
          </w:p>
        </w:tc>
      </w:tr>
      <w:tr w:rsidR="00D91720" w14:paraId="1741A84F" w14:textId="77777777">
        <w:trPr>
          <w:trHeight w:val="420"/>
          <w:jc w:val="center"/>
        </w:trPr>
        <w:tc>
          <w:tcPr>
            <w:tcW w:w="527" w:type="pct"/>
            <w:tcBorders>
              <w:top w:val="nil"/>
              <w:left w:val="nil"/>
              <w:bottom w:val="nil"/>
              <w:right w:val="nil"/>
            </w:tcBorders>
            <w:tcMar>
              <w:top w:w="72" w:type="dxa"/>
              <w:left w:w="144" w:type="dxa"/>
              <w:bottom w:w="72" w:type="dxa"/>
              <w:right w:w="144" w:type="dxa"/>
            </w:tcMar>
            <w:vAlign w:val="center"/>
          </w:tcPr>
          <w:p w14:paraId="7355A4DD" w14:textId="77777777" w:rsidR="00D91720" w:rsidRDefault="00000000">
            <w:pPr>
              <w:pStyle w:val="ad"/>
              <w:widowControl/>
              <w:spacing w:before="40" w:after="40" w:afterAutospacing="1"/>
              <w:jc w:val="left"/>
              <w:rPr>
                <w:rFonts w:ascii="Arial" w:hAnsi="Arial" w:cs="Arial"/>
              </w:rPr>
            </w:pPr>
            <w:r>
              <w:rPr>
                <w:rFonts w:ascii="Arial" w:eastAsia="Arial" w:hAnsi="Arial" w:cs="Arial"/>
                <w:color w:val="000000"/>
                <w:sz w:val="18"/>
                <w:szCs w:val="20"/>
              </w:rPr>
              <w:t>3</w:t>
            </w:r>
            <w:r>
              <w:rPr>
                <w:rFonts w:ascii="Arial" w:eastAsia="Arial" w:hAnsi="Arial" w:cs="Arial" w:hint="eastAsia"/>
                <w:color w:val="000000"/>
                <w:sz w:val="18"/>
                <w:szCs w:val="20"/>
              </w:rPr>
              <w:t xml:space="preserve"> </w:t>
            </w:r>
            <w:r>
              <w:rPr>
                <w:rFonts w:ascii="Arial" w:eastAsia="Arial" w:hAnsi="Arial" w:cs="Arial"/>
                <w:color w:val="000000"/>
                <w:sz w:val="18"/>
                <w:szCs w:val="20"/>
              </w:rPr>
              <w:t>h</w:t>
            </w:r>
          </w:p>
        </w:tc>
        <w:tc>
          <w:tcPr>
            <w:tcW w:w="1973" w:type="pct"/>
            <w:tcBorders>
              <w:top w:val="nil"/>
              <w:left w:val="nil"/>
              <w:bottom w:val="nil"/>
              <w:right w:val="nil"/>
            </w:tcBorders>
            <w:tcMar>
              <w:top w:w="40" w:type="dxa"/>
              <w:left w:w="81" w:type="dxa"/>
              <w:bottom w:w="40" w:type="dxa"/>
              <w:right w:w="81" w:type="dxa"/>
            </w:tcMar>
            <w:vAlign w:val="center"/>
          </w:tcPr>
          <w:p w14:paraId="37A2B21D" w14:textId="77777777" w:rsidR="00D91720" w:rsidRDefault="00000000">
            <w:pPr>
              <w:pStyle w:val="ad"/>
              <w:widowControl/>
              <w:spacing w:before="40" w:after="40" w:afterAutospacing="1"/>
              <w:jc w:val="center"/>
              <w:rPr>
                <w:rFonts w:ascii="Arial" w:hAnsi="Arial" w:cs="Arial"/>
              </w:rPr>
            </w:pPr>
            <w:r>
              <w:rPr>
                <w:rFonts w:ascii="Arial" w:eastAsia="Arial" w:hAnsi="Arial" w:cs="Arial"/>
                <w:color w:val="000000"/>
                <w:sz w:val="18"/>
                <w:szCs w:val="20"/>
              </w:rPr>
              <w:t>56.92</w:t>
            </w:r>
          </w:p>
        </w:tc>
        <w:tc>
          <w:tcPr>
            <w:tcW w:w="2500" w:type="pct"/>
            <w:tcBorders>
              <w:top w:val="nil"/>
              <w:left w:val="nil"/>
              <w:bottom w:val="nil"/>
              <w:right w:val="nil"/>
            </w:tcBorders>
            <w:tcMar>
              <w:top w:w="40" w:type="dxa"/>
              <w:left w:w="81" w:type="dxa"/>
              <w:bottom w:w="40" w:type="dxa"/>
              <w:right w:w="81" w:type="dxa"/>
            </w:tcMar>
          </w:tcPr>
          <w:p w14:paraId="7797D7E0" w14:textId="77777777" w:rsidR="00D91720" w:rsidRDefault="00000000">
            <w:pPr>
              <w:pStyle w:val="ad"/>
              <w:widowControl/>
              <w:spacing w:before="40" w:after="40" w:afterAutospacing="1"/>
              <w:jc w:val="center"/>
              <w:rPr>
                <w:rFonts w:ascii="Arial" w:hAnsi="Arial" w:cs="Arial"/>
              </w:rPr>
            </w:pPr>
            <w:r>
              <w:rPr>
                <w:rFonts w:ascii="Arial" w:eastAsia="Arial" w:hAnsi="Arial" w:cs="Arial"/>
                <w:kern w:val="0"/>
                <w:sz w:val="18"/>
                <w:szCs w:val="20"/>
                <w:lang w:bidi="ar"/>
              </w:rPr>
              <w:t>–</w:t>
            </w:r>
          </w:p>
        </w:tc>
      </w:tr>
      <w:tr w:rsidR="00D91720" w14:paraId="52AA6BE6" w14:textId="77777777">
        <w:trPr>
          <w:trHeight w:val="420"/>
          <w:jc w:val="center"/>
        </w:trPr>
        <w:tc>
          <w:tcPr>
            <w:tcW w:w="527" w:type="pct"/>
            <w:tcBorders>
              <w:top w:val="nil"/>
              <w:left w:val="nil"/>
              <w:bottom w:val="nil"/>
              <w:right w:val="nil"/>
            </w:tcBorders>
            <w:tcMar>
              <w:top w:w="72" w:type="dxa"/>
              <w:left w:w="144" w:type="dxa"/>
              <w:bottom w:w="72" w:type="dxa"/>
              <w:right w:w="144" w:type="dxa"/>
            </w:tcMar>
            <w:vAlign w:val="center"/>
          </w:tcPr>
          <w:p w14:paraId="4CE2A2F5" w14:textId="77777777" w:rsidR="00D91720" w:rsidRDefault="00000000">
            <w:pPr>
              <w:pStyle w:val="ad"/>
              <w:widowControl/>
              <w:spacing w:before="40" w:after="40" w:afterAutospacing="1"/>
              <w:jc w:val="left"/>
              <w:rPr>
                <w:rFonts w:ascii="Arial" w:hAnsi="Arial" w:cs="Arial"/>
              </w:rPr>
            </w:pPr>
            <w:r>
              <w:rPr>
                <w:rFonts w:ascii="Arial" w:eastAsia="Arial" w:hAnsi="Arial" w:cs="Arial"/>
                <w:color w:val="000000"/>
                <w:sz w:val="18"/>
                <w:szCs w:val="20"/>
              </w:rPr>
              <w:t>4</w:t>
            </w:r>
            <w:r>
              <w:rPr>
                <w:rFonts w:ascii="Arial" w:eastAsia="Arial" w:hAnsi="Arial" w:cs="Arial" w:hint="eastAsia"/>
                <w:color w:val="000000"/>
                <w:sz w:val="18"/>
                <w:szCs w:val="20"/>
              </w:rPr>
              <w:t xml:space="preserve"> </w:t>
            </w:r>
            <w:r>
              <w:rPr>
                <w:rFonts w:ascii="Arial" w:eastAsia="Arial" w:hAnsi="Arial" w:cs="Arial"/>
                <w:color w:val="000000"/>
                <w:sz w:val="18"/>
                <w:szCs w:val="20"/>
              </w:rPr>
              <w:t>h</w:t>
            </w:r>
          </w:p>
        </w:tc>
        <w:tc>
          <w:tcPr>
            <w:tcW w:w="1973" w:type="pct"/>
            <w:tcBorders>
              <w:top w:val="nil"/>
              <w:left w:val="nil"/>
              <w:bottom w:val="nil"/>
              <w:right w:val="nil"/>
            </w:tcBorders>
            <w:tcMar>
              <w:top w:w="40" w:type="dxa"/>
              <w:left w:w="81" w:type="dxa"/>
              <w:bottom w:w="40" w:type="dxa"/>
              <w:right w:w="81" w:type="dxa"/>
            </w:tcMar>
            <w:vAlign w:val="center"/>
          </w:tcPr>
          <w:p w14:paraId="2D927D0D" w14:textId="77777777" w:rsidR="00D91720" w:rsidRDefault="00000000">
            <w:pPr>
              <w:pStyle w:val="ad"/>
              <w:widowControl/>
              <w:spacing w:before="40" w:after="40" w:afterAutospacing="1"/>
              <w:jc w:val="center"/>
              <w:rPr>
                <w:rFonts w:ascii="Arial" w:hAnsi="Arial" w:cs="Arial"/>
              </w:rPr>
            </w:pPr>
            <w:r>
              <w:rPr>
                <w:rFonts w:ascii="Arial" w:eastAsia="Arial" w:hAnsi="Arial" w:cs="Arial"/>
                <w:color w:val="000000"/>
                <w:sz w:val="18"/>
                <w:szCs w:val="20"/>
              </w:rPr>
              <w:t>87.22</w:t>
            </w:r>
          </w:p>
        </w:tc>
        <w:tc>
          <w:tcPr>
            <w:tcW w:w="2500" w:type="pct"/>
            <w:tcBorders>
              <w:top w:val="nil"/>
              <w:left w:val="nil"/>
              <w:bottom w:val="nil"/>
              <w:right w:val="nil"/>
            </w:tcBorders>
            <w:tcMar>
              <w:top w:w="40" w:type="dxa"/>
              <w:left w:w="81" w:type="dxa"/>
              <w:bottom w:w="40" w:type="dxa"/>
              <w:right w:w="81" w:type="dxa"/>
            </w:tcMar>
            <w:vAlign w:val="center"/>
          </w:tcPr>
          <w:p w14:paraId="67D432B6" w14:textId="77777777" w:rsidR="00D91720" w:rsidRDefault="00000000">
            <w:pPr>
              <w:pStyle w:val="ad"/>
              <w:widowControl/>
              <w:spacing w:before="40" w:after="40" w:afterAutospacing="1"/>
              <w:jc w:val="center"/>
              <w:rPr>
                <w:rFonts w:ascii="Arial" w:hAnsi="Arial" w:cs="Arial"/>
              </w:rPr>
            </w:pPr>
            <w:r>
              <w:rPr>
                <w:rFonts w:ascii="Arial" w:eastAsia="Arial" w:hAnsi="Arial" w:cs="Arial"/>
                <w:color w:val="000000"/>
                <w:sz w:val="18"/>
                <w:szCs w:val="20"/>
              </w:rPr>
              <w:t>85.45</w:t>
            </w:r>
            <w:r>
              <w:rPr>
                <w:rFonts w:ascii="Arial" w:eastAsia="Arial" w:hAnsi="Arial" w:cs="Arial" w:hint="eastAsia"/>
                <w:color w:val="000000"/>
                <w:sz w:val="18"/>
                <w:szCs w:val="20"/>
              </w:rPr>
              <w:t xml:space="preserve"> </w:t>
            </w:r>
            <w:r>
              <w:rPr>
                <w:rFonts w:ascii="Arial" w:eastAsia="Arial" w:hAnsi="Arial" w:cs="Arial"/>
                <w:color w:val="000000"/>
                <w:sz w:val="18"/>
                <w:szCs w:val="20"/>
              </w:rPr>
              <w:t>±</w:t>
            </w:r>
            <w:r>
              <w:rPr>
                <w:rFonts w:ascii="Arial" w:eastAsia="Arial" w:hAnsi="Arial" w:cs="Arial" w:hint="eastAsia"/>
                <w:color w:val="000000"/>
                <w:sz w:val="18"/>
                <w:szCs w:val="20"/>
              </w:rPr>
              <w:t xml:space="preserve"> </w:t>
            </w:r>
            <w:r>
              <w:rPr>
                <w:rFonts w:ascii="Arial" w:eastAsia="Arial" w:hAnsi="Arial" w:cs="Arial"/>
                <w:color w:val="000000"/>
                <w:sz w:val="18"/>
                <w:szCs w:val="20"/>
              </w:rPr>
              <w:t>0.79</w:t>
            </w:r>
          </w:p>
        </w:tc>
      </w:tr>
      <w:tr w:rsidR="00D91720" w14:paraId="0CDF1C9E" w14:textId="77777777">
        <w:trPr>
          <w:trHeight w:val="420"/>
          <w:jc w:val="center"/>
        </w:trPr>
        <w:tc>
          <w:tcPr>
            <w:tcW w:w="527" w:type="pct"/>
            <w:tcBorders>
              <w:top w:val="nil"/>
              <w:left w:val="nil"/>
              <w:bottom w:val="nil"/>
              <w:right w:val="nil"/>
            </w:tcBorders>
            <w:tcMar>
              <w:top w:w="72" w:type="dxa"/>
              <w:left w:w="144" w:type="dxa"/>
              <w:bottom w:w="72" w:type="dxa"/>
              <w:right w:w="144" w:type="dxa"/>
            </w:tcMar>
            <w:vAlign w:val="center"/>
          </w:tcPr>
          <w:p w14:paraId="6EFA3317" w14:textId="77777777" w:rsidR="00D91720" w:rsidRDefault="00000000">
            <w:pPr>
              <w:pStyle w:val="ad"/>
              <w:widowControl/>
              <w:spacing w:before="40" w:after="40" w:afterAutospacing="1"/>
              <w:jc w:val="left"/>
              <w:rPr>
                <w:rFonts w:ascii="Arial" w:hAnsi="Arial" w:cs="Arial"/>
              </w:rPr>
            </w:pPr>
            <w:r>
              <w:rPr>
                <w:rFonts w:ascii="Arial" w:eastAsia="Arial" w:hAnsi="Arial" w:cs="Arial"/>
                <w:color w:val="000000"/>
                <w:sz w:val="18"/>
                <w:szCs w:val="20"/>
              </w:rPr>
              <w:t>5</w:t>
            </w:r>
            <w:r>
              <w:rPr>
                <w:rFonts w:ascii="Arial" w:eastAsia="Arial" w:hAnsi="Arial" w:cs="Arial" w:hint="eastAsia"/>
                <w:color w:val="000000"/>
                <w:sz w:val="18"/>
                <w:szCs w:val="20"/>
              </w:rPr>
              <w:t xml:space="preserve"> </w:t>
            </w:r>
            <w:r>
              <w:rPr>
                <w:rFonts w:ascii="Arial" w:eastAsia="Arial" w:hAnsi="Arial" w:cs="Arial"/>
                <w:color w:val="000000"/>
                <w:sz w:val="18"/>
                <w:szCs w:val="20"/>
              </w:rPr>
              <w:t>h</w:t>
            </w:r>
          </w:p>
        </w:tc>
        <w:tc>
          <w:tcPr>
            <w:tcW w:w="1973" w:type="pct"/>
            <w:tcBorders>
              <w:top w:val="nil"/>
              <w:left w:val="nil"/>
              <w:bottom w:val="nil"/>
              <w:right w:val="nil"/>
            </w:tcBorders>
            <w:tcMar>
              <w:top w:w="40" w:type="dxa"/>
              <w:left w:w="81" w:type="dxa"/>
              <w:bottom w:w="40" w:type="dxa"/>
              <w:right w:w="81" w:type="dxa"/>
            </w:tcMar>
          </w:tcPr>
          <w:p w14:paraId="0F86DFB6" w14:textId="77777777" w:rsidR="00D91720" w:rsidRDefault="00000000">
            <w:pPr>
              <w:pStyle w:val="ad"/>
              <w:widowControl/>
              <w:spacing w:before="40" w:after="40" w:afterAutospacing="1"/>
              <w:jc w:val="center"/>
              <w:rPr>
                <w:rFonts w:ascii="Arial" w:hAnsi="Arial" w:cs="Arial"/>
              </w:rPr>
            </w:pPr>
            <w:r>
              <w:rPr>
                <w:rFonts w:ascii="Arial" w:eastAsia="Arial" w:hAnsi="Arial" w:cs="Arial" w:hint="eastAsia"/>
                <w:color w:val="000000"/>
                <w:sz w:val="18"/>
                <w:szCs w:val="20"/>
              </w:rPr>
              <w:t xml:space="preserve">&gt; </w:t>
            </w:r>
            <w:r>
              <w:rPr>
                <w:rFonts w:ascii="Arial" w:eastAsia="Arial" w:hAnsi="Arial" w:cs="Arial"/>
                <w:color w:val="000000"/>
                <w:sz w:val="18"/>
                <w:szCs w:val="20"/>
              </w:rPr>
              <w:t>99</w:t>
            </w:r>
          </w:p>
        </w:tc>
        <w:tc>
          <w:tcPr>
            <w:tcW w:w="2500" w:type="pct"/>
            <w:tcBorders>
              <w:top w:val="nil"/>
              <w:left w:val="nil"/>
              <w:bottom w:val="nil"/>
              <w:right w:val="nil"/>
            </w:tcBorders>
            <w:tcMar>
              <w:top w:w="40" w:type="dxa"/>
              <w:left w:w="81" w:type="dxa"/>
              <w:bottom w:w="40" w:type="dxa"/>
              <w:right w:w="81" w:type="dxa"/>
            </w:tcMar>
            <w:vAlign w:val="center"/>
          </w:tcPr>
          <w:p w14:paraId="44410163" w14:textId="77777777" w:rsidR="00D91720" w:rsidRDefault="00000000">
            <w:pPr>
              <w:pStyle w:val="ad"/>
              <w:widowControl/>
              <w:spacing w:before="40" w:after="40" w:afterAutospacing="1"/>
              <w:jc w:val="center"/>
              <w:rPr>
                <w:rFonts w:ascii="Arial" w:hAnsi="Arial" w:cs="Arial"/>
              </w:rPr>
            </w:pPr>
            <w:r>
              <w:rPr>
                <w:rFonts w:ascii="Arial" w:eastAsia="Arial" w:hAnsi="Arial" w:cs="Arial"/>
                <w:color w:val="000000"/>
                <w:sz w:val="18"/>
                <w:szCs w:val="20"/>
              </w:rPr>
              <w:t>92.63</w:t>
            </w:r>
            <w:r>
              <w:rPr>
                <w:rFonts w:ascii="Arial" w:eastAsia="Arial" w:hAnsi="Arial" w:cs="Arial" w:hint="eastAsia"/>
                <w:color w:val="000000"/>
                <w:sz w:val="18"/>
                <w:szCs w:val="20"/>
              </w:rPr>
              <w:t xml:space="preserve"> </w:t>
            </w:r>
            <w:r>
              <w:rPr>
                <w:rFonts w:ascii="Arial" w:eastAsia="Arial" w:hAnsi="Arial" w:cs="Arial"/>
                <w:color w:val="000000"/>
                <w:sz w:val="18"/>
                <w:szCs w:val="20"/>
              </w:rPr>
              <w:t>±</w:t>
            </w:r>
            <w:r>
              <w:rPr>
                <w:rFonts w:ascii="Arial" w:eastAsia="Arial" w:hAnsi="Arial" w:cs="Arial" w:hint="eastAsia"/>
                <w:color w:val="000000"/>
                <w:sz w:val="18"/>
                <w:szCs w:val="20"/>
              </w:rPr>
              <w:t xml:space="preserve"> </w:t>
            </w:r>
            <w:r>
              <w:rPr>
                <w:rFonts w:ascii="Arial" w:eastAsia="Arial" w:hAnsi="Arial" w:cs="Arial"/>
                <w:color w:val="000000"/>
                <w:sz w:val="18"/>
                <w:szCs w:val="20"/>
              </w:rPr>
              <w:t>1.37</w:t>
            </w:r>
          </w:p>
        </w:tc>
      </w:tr>
      <w:tr w:rsidR="00D91720" w14:paraId="27E627BD" w14:textId="77777777">
        <w:trPr>
          <w:trHeight w:val="420"/>
          <w:jc w:val="center"/>
        </w:trPr>
        <w:tc>
          <w:tcPr>
            <w:tcW w:w="527" w:type="pct"/>
            <w:tcBorders>
              <w:top w:val="nil"/>
              <w:left w:val="nil"/>
              <w:bottom w:val="nil"/>
              <w:right w:val="nil"/>
            </w:tcBorders>
            <w:tcMar>
              <w:top w:w="72" w:type="dxa"/>
              <w:left w:w="144" w:type="dxa"/>
              <w:bottom w:w="72" w:type="dxa"/>
              <w:right w:w="144" w:type="dxa"/>
            </w:tcMar>
            <w:vAlign w:val="center"/>
          </w:tcPr>
          <w:p w14:paraId="66599138" w14:textId="77777777" w:rsidR="00D91720" w:rsidRDefault="00000000">
            <w:pPr>
              <w:pStyle w:val="ad"/>
              <w:widowControl/>
              <w:spacing w:before="40" w:after="40" w:afterAutospacing="1"/>
              <w:jc w:val="left"/>
              <w:rPr>
                <w:rFonts w:ascii="Arial" w:hAnsi="Arial" w:cs="Arial"/>
              </w:rPr>
            </w:pPr>
            <w:r>
              <w:rPr>
                <w:rFonts w:ascii="Arial" w:eastAsia="Arial" w:hAnsi="Arial" w:cs="Arial"/>
                <w:color w:val="000000"/>
                <w:sz w:val="18"/>
                <w:szCs w:val="20"/>
              </w:rPr>
              <w:t>6</w:t>
            </w:r>
            <w:r>
              <w:rPr>
                <w:rFonts w:ascii="Arial" w:eastAsia="Arial" w:hAnsi="Arial" w:cs="Arial" w:hint="eastAsia"/>
                <w:color w:val="000000"/>
                <w:sz w:val="18"/>
                <w:szCs w:val="20"/>
              </w:rPr>
              <w:t xml:space="preserve"> </w:t>
            </w:r>
            <w:r>
              <w:rPr>
                <w:rFonts w:ascii="Arial" w:eastAsia="Arial" w:hAnsi="Arial" w:cs="Arial"/>
                <w:color w:val="000000"/>
                <w:sz w:val="18"/>
                <w:szCs w:val="20"/>
              </w:rPr>
              <w:t>h</w:t>
            </w:r>
          </w:p>
        </w:tc>
        <w:tc>
          <w:tcPr>
            <w:tcW w:w="1973" w:type="pct"/>
            <w:tcBorders>
              <w:top w:val="nil"/>
              <w:left w:val="nil"/>
              <w:bottom w:val="nil"/>
              <w:right w:val="nil"/>
            </w:tcBorders>
            <w:tcMar>
              <w:top w:w="40" w:type="dxa"/>
              <w:left w:w="81" w:type="dxa"/>
              <w:bottom w:w="40" w:type="dxa"/>
              <w:right w:w="81" w:type="dxa"/>
            </w:tcMar>
          </w:tcPr>
          <w:p w14:paraId="1524F78D" w14:textId="77777777" w:rsidR="00D91720" w:rsidRDefault="00000000">
            <w:pPr>
              <w:pStyle w:val="ad"/>
              <w:widowControl/>
              <w:spacing w:before="40" w:after="40" w:afterAutospacing="1"/>
              <w:jc w:val="center"/>
              <w:rPr>
                <w:rFonts w:ascii="Arial" w:hAnsi="Arial" w:cs="Arial"/>
              </w:rPr>
            </w:pPr>
            <w:r>
              <w:rPr>
                <w:rFonts w:ascii="Arial" w:eastAsia="Arial" w:hAnsi="Arial" w:cs="Arial" w:hint="eastAsia"/>
                <w:color w:val="000000"/>
                <w:sz w:val="18"/>
                <w:szCs w:val="20"/>
              </w:rPr>
              <w:t xml:space="preserve">&gt; </w:t>
            </w:r>
            <w:r>
              <w:rPr>
                <w:rFonts w:ascii="Arial" w:eastAsia="Arial" w:hAnsi="Arial" w:cs="Arial"/>
                <w:color w:val="000000"/>
                <w:sz w:val="18"/>
                <w:szCs w:val="20"/>
              </w:rPr>
              <w:t>99</w:t>
            </w:r>
          </w:p>
        </w:tc>
        <w:tc>
          <w:tcPr>
            <w:tcW w:w="2500" w:type="pct"/>
            <w:tcBorders>
              <w:top w:val="nil"/>
              <w:left w:val="nil"/>
              <w:bottom w:val="nil"/>
              <w:right w:val="nil"/>
            </w:tcBorders>
            <w:tcMar>
              <w:top w:w="40" w:type="dxa"/>
              <w:left w:w="81" w:type="dxa"/>
              <w:bottom w:w="40" w:type="dxa"/>
              <w:right w:w="81" w:type="dxa"/>
            </w:tcMar>
            <w:vAlign w:val="center"/>
          </w:tcPr>
          <w:p w14:paraId="46398668" w14:textId="77777777" w:rsidR="00D91720" w:rsidRDefault="00000000">
            <w:pPr>
              <w:pStyle w:val="ad"/>
              <w:widowControl/>
              <w:spacing w:before="40" w:after="40" w:afterAutospacing="1"/>
              <w:jc w:val="center"/>
              <w:rPr>
                <w:rFonts w:ascii="Arial" w:hAnsi="Arial" w:cs="Arial"/>
              </w:rPr>
            </w:pPr>
            <w:r>
              <w:rPr>
                <w:rFonts w:ascii="Arial" w:eastAsia="Arial" w:hAnsi="Arial" w:cs="Arial"/>
                <w:color w:val="000000"/>
                <w:sz w:val="18"/>
                <w:szCs w:val="20"/>
              </w:rPr>
              <w:t>94.10</w:t>
            </w:r>
            <w:r>
              <w:rPr>
                <w:rFonts w:ascii="Arial" w:eastAsia="Arial" w:hAnsi="Arial" w:cs="Arial" w:hint="eastAsia"/>
                <w:color w:val="000000"/>
                <w:sz w:val="18"/>
                <w:szCs w:val="20"/>
              </w:rPr>
              <w:t xml:space="preserve"> </w:t>
            </w:r>
            <w:r>
              <w:rPr>
                <w:rFonts w:ascii="Arial" w:eastAsia="Arial" w:hAnsi="Arial" w:cs="Arial"/>
                <w:color w:val="000000"/>
                <w:sz w:val="18"/>
                <w:szCs w:val="20"/>
              </w:rPr>
              <w:t>±</w:t>
            </w:r>
            <w:r>
              <w:rPr>
                <w:rFonts w:ascii="Arial" w:eastAsia="Arial" w:hAnsi="Arial" w:cs="Arial" w:hint="eastAsia"/>
                <w:color w:val="000000"/>
                <w:sz w:val="18"/>
                <w:szCs w:val="20"/>
              </w:rPr>
              <w:t xml:space="preserve"> 1</w:t>
            </w:r>
            <w:r>
              <w:rPr>
                <w:rFonts w:ascii="Arial" w:eastAsia="Arial" w:hAnsi="Arial" w:cs="Arial"/>
                <w:color w:val="000000"/>
                <w:sz w:val="18"/>
                <w:szCs w:val="20"/>
              </w:rPr>
              <w:t>.93</w:t>
            </w:r>
          </w:p>
        </w:tc>
      </w:tr>
      <w:tr w:rsidR="00D91720" w14:paraId="334F0952" w14:textId="77777777">
        <w:trPr>
          <w:trHeight w:val="420"/>
          <w:jc w:val="center"/>
        </w:trPr>
        <w:tc>
          <w:tcPr>
            <w:tcW w:w="527" w:type="pct"/>
            <w:tcBorders>
              <w:top w:val="nil"/>
              <w:left w:val="nil"/>
              <w:bottom w:val="nil"/>
              <w:right w:val="nil"/>
            </w:tcBorders>
            <w:tcMar>
              <w:top w:w="72" w:type="dxa"/>
              <w:left w:w="144" w:type="dxa"/>
              <w:bottom w:w="72" w:type="dxa"/>
              <w:right w:w="144" w:type="dxa"/>
            </w:tcMar>
            <w:vAlign w:val="center"/>
          </w:tcPr>
          <w:p w14:paraId="438F3CFA" w14:textId="77777777" w:rsidR="00D91720" w:rsidRDefault="00000000">
            <w:pPr>
              <w:pStyle w:val="ad"/>
              <w:widowControl/>
              <w:spacing w:before="40" w:after="40" w:afterAutospacing="1"/>
              <w:jc w:val="left"/>
              <w:rPr>
                <w:rFonts w:ascii="Arial" w:hAnsi="Arial" w:cs="Arial"/>
              </w:rPr>
            </w:pPr>
            <w:r>
              <w:rPr>
                <w:rFonts w:ascii="Arial" w:eastAsia="Arial" w:hAnsi="Arial" w:cs="Arial"/>
                <w:color w:val="000000"/>
                <w:sz w:val="18"/>
                <w:szCs w:val="20"/>
              </w:rPr>
              <w:t>7</w:t>
            </w:r>
            <w:r>
              <w:rPr>
                <w:rFonts w:ascii="Arial" w:eastAsia="Arial" w:hAnsi="Arial" w:cs="Arial" w:hint="eastAsia"/>
                <w:color w:val="000000"/>
                <w:sz w:val="18"/>
                <w:szCs w:val="20"/>
              </w:rPr>
              <w:t xml:space="preserve"> </w:t>
            </w:r>
            <w:r>
              <w:rPr>
                <w:rFonts w:ascii="Arial" w:eastAsia="Arial" w:hAnsi="Arial" w:cs="Arial"/>
                <w:color w:val="000000"/>
                <w:sz w:val="18"/>
                <w:szCs w:val="20"/>
              </w:rPr>
              <w:t>h</w:t>
            </w:r>
          </w:p>
        </w:tc>
        <w:tc>
          <w:tcPr>
            <w:tcW w:w="1973" w:type="pct"/>
            <w:tcBorders>
              <w:top w:val="nil"/>
              <w:left w:val="nil"/>
              <w:bottom w:val="nil"/>
              <w:right w:val="nil"/>
            </w:tcBorders>
            <w:tcMar>
              <w:top w:w="40" w:type="dxa"/>
              <w:left w:w="81" w:type="dxa"/>
              <w:bottom w:w="40" w:type="dxa"/>
              <w:right w:w="81" w:type="dxa"/>
            </w:tcMar>
          </w:tcPr>
          <w:p w14:paraId="692308F3" w14:textId="77777777" w:rsidR="00D91720" w:rsidRDefault="00000000">
            <w:pPr>
              <w:pStyle w:val="ad"/>
              <w:widowControl/>
              <w:spacing w:before="40" w:after="40" w:afterAutospacing="1"/>
              <w:jc w:val="center"/>
              <w:rPr>
                <w:rFonts w:ascii="Arial" w:hAnsi="Arial" w:cs="Arial"/>
              </w:rPr>
            </w:pPr>
            <w:r>
              <w:rPr>
                <w:rFonts w:ascii="Arial" w:eastAsia="Arial" w:hAnsi="Arial" w:cs="Arial" w:hint="eastAsia"/>
                <w:color w:val="000000"/>
                <w:sz w:val="18"/>
                <w:szCs w:val="20"/>
              </w:rPr>
              <w:t xml:space="preserve">&gt; </w:t>
            </w:r>
            <w:r>
              <w:rPr>
                <w:rFonts w:ascii="Arial" w:eastAsia="Arial" w:hAnsi="Arial" w:cs="Arial"/>
                <w:color w:val="000000"/>
                <w:sz w:val="18"/>
                <w:szCs w:val="20"/>
              </w:rPr>
              <w:t>99</w:t>
            </w:r>
          </w:p>
        </w:tc>
        <w:tc>
          <w:tcPr>
            <w:tcW w:w="2500" w:type="pct"/>
            <w:tcBorders>
              <w:top w:val="nil"/>
              <w:left w:val="nil"/>
              <w:bottom w:val="nil"/>
              <w:right w:val="nil"/>
            </w:tcBorders>
            <w:tcMar>
              <w:top w:w="40" w:type="dxa"/>
              <w:left w:w="81" w:type="dxa"/>
              <w:bottom w:w="40" w:type="dxa"/>
              <w:right w:w="81" w:type="dxa"/>
            </w:tcMar>
            <w:vAlign w:val="center"/>
          </w:tcPr>
          <w:p w14:paraId="001B5315" w14:textId="77777777" w:rsidR="00D91720" w:rsidRDefault="00000000">
            <w:pPr>
              <w:pStyle w:val="ad"/>
              <w:widowControl/>
              <w:spacing w:before="40" w:after="40" w:afterAutospacing="1"/>
              <w:jc w:val="center"/>
              <w:rPr>
                <w:rFonts w:ascii="Arial" w:hAnsi="Arial" w:cs="Arial"/>
              </w:rPr>
            </w:pPr>
            <w:r>
              <w:rPr>
                <w:rFonts w:ascii="Arial" w:eastAsia="Arial" w:hAnsi="Arial" w:cs="Arial"/>
                <w:color w:val="000000"/>
                <w:sz w:val="18"/>
                <w:szCs w:val="20"/>
              </w:rPr>
              <w:t>92.00</w:t>
            </w:r>
            <w:r>
              <w:rPr>
                <w:rFonts w:ascii="Arial" w:eastAsia="Arial" w:hAnsi="Arial" w:cs="Arial" w:hint="eastAsia"/>
                <w:color w:val="000000"/>
                <w:sz w:val="18"/>
                <w:szCs w:val="20"/>
              </w:rPr>
              <w:t xml:space="preserve"> </w:t>
            </w:r>
            <w:r>
              <w:rPr>
                <w:rFonts w:ascii="Arial" w:eastAsia="Arial" w:hAnsi="Arial" w:cs="Arial"/>
                <w:color w:val="000000"/>
                <w:sz w:val="18"/>
                <w:szCs w:val="20"/>
              </w:rPr>
              <w:t>±</w:t>
            </w:r>
            <w:r>
              <w:rPr>
                <w:rFonts w:ascii="Arial" w:eastAsia="Arial" w:hAnsi="Arial" w:cs="Arial" w:hint="eastAsia"/>
                <w:color w:val="000000"/>
                <w:sz w:val="18"/>
                <w:szCs w:val="20"/>
              </w:rPr>
              <w:t xml:space="preserve"> </w:t>
            </w:r>
            <w:r>
              <w:rPr>
                <w:rFonts w:ascii="Arial" w:eastAsia="Arial" w:hAnsi="Arial" w:cs="Arial"/>
                <w:color w:val="000000"/>
                <w:sz w:val="18"/>
                <w:szCs w:val="20"/>
              </w:rPr>
              <w:t>1.51</w:t>
            </w:r>
          </w:p>
        </w:tc>
      </w:tr>
    </w:tbl>
    <w:p w14:paraId="7A256D92" w14:textId="6516CF1A" w:rsidR="004563D3" w:rsidRDefault="00000000">
      <w:pPr>
        <w:spacing w:after="120" w:line="480" w:lineRule="auto"/>
        <w:jc w:val="left"/>
        <w:rPr>
          <w:rFonts w:ascii="Arial" w:eastAsia="Arial" w:hAnsi="Arial" w:cs="Arial"/>
          <w:sz w:val="18"/>
          <w:szCs w:val="18"/>
        </w:rPr>
      </w:pPr>
      <w:r>
        <w:rPr>
          <w:rFonts w:ascii="Arial" w:eastAsia="Arial" w:hAnsi="Arial" w:cs="Arial"/>
          <w:sz w:val="18"/>
          <w:szCs w:val="18"/>
        </w:rPr>
        <w:t xml:space="preserve">[a] Due to the weak scattering intensity of the sample, the hydrodynamic diameter data could not be measured for the polymer solution with short polymerization time. </w:t>
      </w:r>
      <w:r w:rsidR="004563D3">
        <w:rPr>
          <w:rFonts w:ascii="Arial" w:eastAsia="Arial" w:hAnsi="Arial" w:cs="Arial"/>
          <w:sz w:val="18"/>
          <w:szCs w:val="18"/>
        </w:rPr>
        <w:br w:type="page"/>
      </w:r>
    </w:p>
    <w:p w14:paraId="00E0C43E" w14:textId="3DDDAB0B" w:rsidR="00D91720" w:rsidRDefault="00000000">
      <w:pPr>
        <w:numPr>
          <w:ilvl w:val="0"/>
          <w:numId w:val="2"/>
        </w:numPr>
        <w:spacing w:before="200" w:after="100" w:line="480" w:lineRule="auto"/>
        <w:jc w:val="left"/>
        <w:rPr>
          <w:rFonts w:ascii="Arial" w:hAnsi="Arial" w:cs="Arial"/>
        </w:rPr>
      </w:pPr>
      <w:r>
        <w:rPr>
          <w:rFonts w:ascii="Arial" w:eastAsia="Arial" w:hAnsi="Arial" w:cs="Arial"/>
          <w:b/>
          <w:sz w:val="24"/>
          <w:szCs w:val="24"/>
        </w:rPr>
        <w:lastRenderedPageBreak/>
        <w:t>General characterization of polymers</w:t>
      </w:r>
    </w:p>
    <w:p w14:paraId="2FE5946A" w14:textId="77777777" w:rsidR="00D91720" w:rsidRDefault="00000000">
      <w:pPr>
        <w:spacing w:line="480" w:lineRule="auto"/>
        <w:jc w:val="center"/>
        <w:rPr>
          <w:rFonts w:ascii="Arial" w:hAnsi="Arial" w:cs="Arial"/>
        </w:rPr>
      </w:pPr>
      <w:r>
        <w:rPr>
          <w:rFonts w:hint="eastAsia"/>
          <w:noProof/>
        </w:rPr>
        <w:drawing>
          <wp:inline distT="0" distB="0" distL="0" distR="0" wp14:anchorId="332E3812" wp14:editId="0F29C8CF">
            <wp:extent cx="3599815" cy="2987675"/>
            <wp:effectExtent l="0" t="0" r="0" b="0"/>
            <wp:docPr id="1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5"/>
                    <pic:cNvPicPr>
                      <a:picLocks noChangeAspect="1" noChangeArrowheads="1"/>
                    </pic:cNvPicPr>
                  </pic:nvPicPr>
                  <pic:blipFill>
                    <a:blip r:embed="rId41"/>
                    <a:srcRect/>
                    <a:stretch>
                      <a:fillRect/>
                    </a:stretch>
                  </pic:blipFill>
                  <pic:spPr>
                    <a:xfrm>
                      <a:off x="0" y="0"/>
                      <a:ext cx="3600000" cy="2988000"/>
                    </a:xfrm>
                    <a:prstGeom prst="rect">
                      <a:avLst/>
                    </a:prstGeom>
                    <a:noFill/>
                    <a:ln>
                      <a:noFill/>
                    </a:ln>
                  </pic:spPr>
                </pic:pic>
              </a:graphicData>
            </a:graphic>
          </wp:inline>
        </w:drawing>
      </w:r>
    </w:p>
    <w:p w14:paraId="157B6D78" w14:textId="77777777" w:rsidR="00D91720" w:rsidRDefault="00000000">
      <w:pPr>
        <w:spacing w:before="160" w:after="60" w:line="480" w:lineRule="auto"/>
        <w:jc w:val="left"/>
        <w:rPr>
          <w:rFonts w:ascii="Arial" w:eastAsia="宋体" w:hAnsi="Arial" w:cs="Arial"/>
          <w:szCs w:val="21"/>
          <w:lang w:bidi="ar"/>
        </w:rPr>
      </w:pPr>
      <w:r>
        <w:rPr>
          <w:rFonts w:ascii="Arial" w:eastAsia="Arial" w:hAnsi="Arial" w:cs="Arial"/>
          <w:b/>
          <w:bCs/>
          <w:szCs w:val="21"/>
        </w:rPr>
        <w:t xml:space="preserve">Supplementary Fig. 29 </w:t>
      </w:r>
      <w:r>
        <w:rPr>
          <w:rFonts w:ascii="Arial" w:eastAsia="Arial" w:hAnsi="Arial" w:cs="Arial"/>
          <w:szCs w:val="21"/>
        </w:rPr>
        <w:t>| FTIR spectrum of PBFDO-(S).</w:t>
      </w:r>
    </w:p>
    <w:p w14:paraId="3B234898" w14:textId="77777777" w:rsidR="00D91720" w:rsidRDefault="00D91720">
      <w:pPr>
        <w:spacing w:line="480" w:lineRule="auto"/>
        <w:rPr>
          <w:rFonts w:ascii="Arial" w:hAnsi="Arial" w:cs="Arial"/>
        </w:rPr>
      </w:pPr>
    </w:p>
    <w:p w14:paraId="53A4CB4E" w14:textId="77777777" w:rsidR="00D91720" w:rsidRDefault="00000000">
      <w:pPr>
        <w:spacing w:line="480" w:lineRule="auto"/>
        <w:ind w:left="200" w:hangingChars="100" w:hanging="200"/>
        <w:rPr>
          <w:rFonts w:ascii="Arial" w:hAnsi="Arial" w:cs="Arial"/>
        </w:rPr>
      </w:pPr>
      <w:r>
        <w:rPr>
          <w:noProof/>
        </w:rPr>
        <w:drawing>
          <wp:inline distT="0" distB="0" distL="114300" distR="114300" wp14:anchorId="51095E80" wp14:editId="6F7B4244">
            <wp:extent cx="5400040" cy="2467610"/>
            <wp:effectExtent l="0" t="0" r="0" b="0"/>
            <wp:docPr id="11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33"/>
                    <pic:cNvPicPr>
                      <a:picLocks noChangeAspect="1"/>
                    </pic:cNvPicPr>
                  </pic:nvPicPr>
                  <pic:blipFill>
                    <a:blip r:embed="rId42"/>
                    <a:stretch>
                      <a:fillRect/>
                    </a:stretch>
                  </pic:blipFill>
                  <pic:spPr>
                    <a:xfrm>
                      <a:off x="0" y="0"/>
                      <a:ext cx="5400040" cy="2467610"/>
                    </a:xfrm>
                    <a:prstGeom prst="rect">
                      <a:avLst/>
                    </a:prstGeom>
                    <a:noFill/>
                    <a:ln>
                      <a:noFill/>
                    </a:ln>
                  </pic:spPr>
                </pic:pic>
              </a:graphicData>
            </a:graphic>
          </wp:inline>
        </w:drawing>
      </w:r>
    </w:p>
    <w:p w14:paraId="7418523D" w14:textId="77777777" w:rsidR="00D91720" w:rsidRDefault="00000000">
      <w:pPr>
        <w:spacing w:before="160" w:after="60" w:line="480" w:lineRule="auto"/>
        <w:jc w:val="left"/>
        <w:rPr>
          <w:rFonts w:ascii="Arial" w:hAnsi="Arial" w:cs="Arial"/>
          <w:szCs w:val="21"/>
        </w:rPr>
      </w:pPr>
      <w:r>
        <w:rPr>
          <w:rFonts w:ascii="Arial" w:eastAsia="Arial" w:hAnsi="Arial" w:cs="Arial"/>
          <w:b/>
          <w:bCs/>
          <w:szCs w:val="21"/>
        </w:rPr>
        <w:t xml:space="preserve">Supplementary Fig. 30 </w:t>
      </w:r>
      <w:r>
        <w:rPr>
          <w:rFonts w:ascii="Arial" w:eastAsia="Arial" w:hAnsi="Arial" w:cs="Arial"/>
          <w:szCs w:val="21"/>
        </w:rPr>
        <w:t xml:space="preserve">| (a) Cyclic voltametric curves of the polymer films. (b) Cyclic voltammetry scan of the polymer films in 0.1 M </w:t>
      </w:r>
      <w:r w:rsidRPr="00C845CC">
        <w:rPr>
          <w:rFonts w:ascii="Arial" w:eastAsia="Arial" w:hAnsi="Arial" w:cs="Arial"/>
          <w:i/>
          <w:iCs/>
          <w:szCs w:val="21"/>
        </w:rPr>
        <w:t>n</w:t>
      </w:r>
      <w:r>
        <w:rPr>
          <w:rFonts w:ascii="Arial" w:eastAsia="Arial" w:hAnsi="Arial" w:cs="Arial"/>
          <w:szCs w:val="21"/>
        </w:rPr>
        <w:t>-Bu</w:t>
      </w:r>
      <w:r w:rsidRPr="00C845CC">
        <w:rPr>
          <w:rFonts w:ascii="Arial" w:eastAsia="Arial" w:hAnsi="Arial" w:cs="Arial"/>
          <w:szCs w:val="21"/>
          <w:vertAlign w:val="subscript"/>
        </w:rPr>
        <w:t>4</w:t>
      </w:r>
      <w:r>
        <w:rPr>
          <w:rFonts w:ascii="Arial" w:eastAsia="Arial" w:hAnsi="Arial" w:cs="Arial"/>
          <w:szCs w:val="21"/>
        </w:rPr>
        <w:t>NPF</w:t>
      </w:r>
      <w:r w:rsidRPr="00C845CC">
        <w:rPr>
          <w:rFonts w:ascii="Arial" w:eastAsia="Arial" w:hAnsi="Arial" w:cs="Arial"/>
          <w:szCs w:val="21"/>
          <w:vertAlign w:val="subscript"/>
        </w:rPr>
        <w:t>6</w:t>
      </w:r>
      <w:r>
        <w:rPr>
          <w:rFonts w:ascii="Arial" w:eastAsia="Arial" w:hAnsi="Arial" w:cs="Arial"/>
          <w:szCs w:val="21"/>
        </w:rPr>
        <w:t xml:space="preserve"> acetonitrile solution. </w:t>
      </w:r>
      <w:bookmarkStart w:id="16" w:name="_Hlk179462802"/>
      <w:bookmarkEnd w:id="16"/>
    </w:p>
    <w:p w14:paraId="6417E55F" w14:textId="77777777" w:rsidR="00D91720" w:rsidRDefault="00D91720">
      <w:pPr>
        <w:spacing w:line="480" w:lineRule="auto"/>
        <w:rPr>
          <w:rFonts w:ascii="Arial" w:hAnsi="Arial" w:cs="Arial"/>
        </w:rPr>
      </w:pPr>
    </w:p>
    <w:p w14:paraId="03C7470E" w14:textId="77777777" w:rsidR="00D91720" w:rsidRDefault="00000000">
      <w:pPr>
        <w:spacing w:line="480" w:lineRule="auto"/>
        <w:jc w:val="center"/>
        <w:rPr>
          <w:rFonts w:ascii="Arial" w:hAnsi="Arial" w:cs="Arial"/>
        </w:rPr>
      </w:pPr>
      <w:r>
        <w:rPr>
          <w:rFonts w:ascii="Arial" w:hAnsi="Arial" w:cs="Arial" w:hint="eastAsia"/>
          <w:noProof/>
        </w:rPr>
        <w:lastRenderedPageBreak/>
        <w:drawing>
          <wp:inline distT="0" distB="0" distL="0" distR="0" wp14:anchorId="66AA2EE0" wp14:editId="29D5311A">
            <wp:extent cx="3599815" cy="3070225"/>
            <wp:effectExtent l="0" t="0" r="0" b="0"/>
            <wp:docPr id="1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7"/>
                    <pic:cNvPicPr>
                      <a:picLocks noChangeAspect="1" noChangeArrowheads="1"/>
                    </pic:cNvPicPr>
                  </pic:nvPicPr>
                  <pic:blipFill>
                    <a:blip r:embed="rId43"/>
                    <a:srcRect/>
                    <a:stretch>
                      <a:fillRect/>
                    </a:stretch>
                  </pic:blipFill>
                  <pic:spPr>
                    <a:xfrm>
                      <a:off x="0" y="0"/>
                      <a:ext cx="3600000" cy="3070800"/>
                    </a:xfrm>
                    <a:prstGeom prst="rect">
                      <a:avLst/>
                    </a:prstGeom>
                    <a:noFill/>
                    <a:ln>
                      <a:noFill/>
                    </a:ln>
                  </pic:spPr>
                </pic:pic>
              </a:graphicData>
            </a:graphic>
          </wp:inline>
        </w:drawing>
      </w:r>
    </w:p>
    <w:p w14:paraId="0EFD99E3" w14:textId="548E1B15" w:rsidR="00D91720" w:rsidRDefault="00000000">
      <w:pPr>
        <w:spacing w:before="160" w:after="60" w:line="480" w:lineRule="auto"/>
        <w:jc w:val="left"/>
        <w:rPr>
          <w:rFonts w:ascii="Arial" w:hAnsi="Arial" w:cs="Arial"/>
          <w:b/>
          <w:bCs/>
        </w:rPr>
      </w:pPr>
      <w:r>
        <w:rPr>
          <w:rFonts w:ascii="Arial" w:eastAsia="Arial" w:hAnsi="Arial" w:cs="Arial"/>
          <w:b/>
          <w:bCs/>
        </w:rPr>
        <w:t>Supplementary Fig. 31</w:t>
      </w:r>
      <w:r>
        <w:rPr>
          <w:rFonts w:ascii="Arial" w:eastAsia="Arial" w:hAnsi="Arial" w:cs="Arial"/>
        </w:rPr>
        <w:t xml:space="preserve"> | Ultraviolet photoelectron spectrum (UPS) of PBFDO deposited on Si substrate.</w:t>
      </w:r>
    </w:p>
    <w:p w14:paraId="32055CFA" w14:textId="77777777" w:rsidR="00D91720" w:rsidRDefault="00D91720">
      <w:pPr>
        <w:spacing w:line="480" w:lineRule="auto"/>
      </w:pPr>
    </w:p>
    <w:p w14:paraId="12CCAF8D" w14:textId="77777777" w:rsidR="00D91720" w:rsidRDefault="00000000">
      <w:pPr>
        <w:spacing w:line="480" w:lineRule="auto"/>
        <w:jc w:val="center"/>
      </w:pPr>
      <w:r>
        <w:rPr>
          <w:rFonts w:hint="eastAsia"/>
          <w:noProof/>
        </w:rPr>
        <w:drawing>
          <wp:inline distT="0" distB="0" distL="0" distR="0" wp14:anchorId="72C9713C" wp14:editId="3509ECE1">
            <wp:extent cx="3599815" cy="3009265"/>
            <wp:effectExtent l="0" t="0" r="0" b="0"/>
            <wp:docPr id="11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6"/>
                    <pic:cNvPicPr>
                      <a:picLocks noChangeAspect="1" noChangeArrowheads="1"/>
                    </pic:cNvPicPr>
                  </pic:nvPicPr>
                  <pic:blipFill>
                    <a:blip r:embed="rId44"/>
                    <a:srcRect/>
                    <a:stretch>
                      <a:fillRect/>
                    </a:stretch>
                  </pic:blipFill>
                  <pic:spPr>
                    <a:xfrm>
                      <a:off x="0" y="0"/>
                      <a:ext cx="3600000" cy="3009600"/>
                    </a:xfrm>
                    <a:prstGeom prst="rect">
                      <a:avLst/>
                    </a:prstGeom>
                    <a:noFill/>
                    <a:ln>
                      <a:noFill/>
                    </a:ln>
                  </pic:spPr>
                </pic:pic>
              </a:graphicData>
            </a:graphic>
          </wp:inline>
        </w:drawing>
      </w:r>
    </w:p>
    <w:p w14:paraId="517767B3" w14:textId="77777777" w:rsidR="00D91720" w:rsidRDefault="00000000">
      <w:pPr>
        <w:spacing w:before="160" w:after="60" w:line="480" w:lineRule="auto"/>
        <w:jc w:val="left"/>
        <w:rPr>
          <w:rFonts w:ascii="Arial" w:eastAsia="等线" w:hAnsi="Arial" w:cs="Arial"/>
          <w:szCs w:val="21"/>
        </w:rPr>
      </w:pPr>
      <w:r>
        <w:rPr>
          <w:rFonts w:ascii="Arial" w:eastAsia="Arial" w:hAnsi="Arial" w:cs="Arial"/>
          <w:b/>
          <w:bCs/>
          <w:szCs w:val="21"/>
        </w:rPr>
        <w:t>Supplementary Fig. 32</w:t>
      </w:r>
      <w:r>
        <w:rPr>
          <w:rFonts w:ascii="Arial" w:eastAsia="Arial" w:hAnsi="Arial" w:cs="Arial"/>
          <w:szCs w:val="21"/>
        </w:rPr>
        <w:t xml:space="preserve"> | Thermogravimetric (TGA) curves of the polymers. (N</w:t>
      </w:r>
      <w:r w:rsidRPr="009D0187">
        <w:rPr>
          <w:rFonts w:ascii="Arial" w:eastAsia="Arial" w:hAnsi="Arial" w:cs="Arial"/>
          <w:szCs w:val="21"/>
          <w:vertAlign w:val="subscript"/>
        </w:rPr>
        <w:t>2</w:t>
      </w:r>
      <w:r>
        <w:rPr>
          <w:rFonts w:ascii="Arial" w:eastAsia="Arial" w:hAnsi="Arial" w:cs="Arial"/>
          <w:szCs w:val="21"/>
        </w:rPr>
        <w:t>, 10 °C min−1, 30 °C–800 °C)</w:t>
      </w:r>
      <w:bookmarkStart w:id="17" w:name="OLE_LINK32"/>
      <w:bookmarkEnd w:id="17"/>
    </w:p>
    <w:p w14:paraId="6CD20FB2" w14:textId="050CE4F5" w:rsidR="004563D3" w:rsidRDefault="004563D3">
      <w:pPr>
        <w:spacing w:line="480" w:lineRule="auto"/>
        <w:jc w:val="left"/>
        <w:rPr>
          <w:rFonts w:ascii="Arial" w:eastAsia="等线" w:hAnsi="Arial" w:cs="Arial"/>
          <w:szCs w:val="21"/>
        </w:rPr>
      </w:pPr>
      <w:r>
        <w:rPr>
          <w:rFonts w:ascii="Arial" w:eastAsia="等线" w:hAnsi="Arial" w:cs="Arial"/>
          <w:szCs w:val="21"/>
        </w:rPr>
        <w:br w:type="page"/>
      </w:r>
    </w:p>
    <w:p w14:paraId="51B11F6B" w14:textId="3B623A5D" w:rsidR="00D91720" w:rsidRDefault="00000000">
      <w:pPr>
        <w:numPr>
          <w:ilvl w:val="0"/>
          <w:numId w:val="2"/>
        </w:numPr>
        <w:spacing w:before="200" w:after="100" w:line="480" w:lineRule="auto"/>
        <w:jc w:val="left"/>
        <w:rPr>
          <w:rFonts w:ascii="Arial" w:hAnsi="Arial" w:cs="Arial"/>
        </w:rPr>
      </w:pPr>
      <w:r>
        <w:rPr>
          <w:rFonts w:ascii="Arial" w:eastAsia="Arial" w:hAnsi="Arial" w:cs="Arial"/>
          <w:b/>
          <w:sz w:val="24"/>
          <w:szCs w:val="24"/>
        </w:rPr>
        <w:lastRenderedPageBreak/>
        <w:t>Thermoelectric and OECT measurements</w:t>
      </w:r>
    </w:p>
    <w:p w14:paraId="130F1A2D" w14:textId="77777777" w:rsidR="00D91720" w:rsidRDefault="00000000">
      <w:pPr>
        <w:spacing w:line="480" w:lineRule="auto"/>
        <w:jc w:val="center"/>
        <w:rPr>
          <w:rFonts w:ascii="Arial" w:hAnsi="Arial" w:cs="Arial"/>
        </w:rPr>
      </w:pPr>
      <w:r>
        <w:rPr>
          <w:noProof/>
        </w:rPr>
        <w:drawing>
          <wp:inline distT="0" distB="0" distL="114300" distR="114300" wp14:anchorId="58D144BC" wp14:editId="6F46C7B2">
            <wp:extent cx="5400040" cy="3136900"/>
            <wp:effectExtent l="0" t="0" r="0" b="2540"/>
            <wp:docPr id="122"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36"/>
                    <pic:cNvPicPr>
                      <a:picLocks noChangeAspect="1"/>
                    </pic:cNvPicPr>
                  </pic:nvPicPr>
                  <pic:blipFill>
                    <a:blip r:embed="rId45"/>
                    <a:stretch>
                      <a:fillRect/>
                    </a:stretch>
                  </pic:blipFill>
                  <pic:spPr>
                    <a:xfrm>
                      <a:off x="0" y="0"/>
                      <a:ext cx="5400040" cy="3136900"/>
                    </a:xfrm>
                    <a:prstGeom prst="rect">
                      <a:avLst/>
                    </a:prstGeom>
                    <a:noFill/>
                    <a:ln>
                      <a:noFill/>
                    </a:ln>
                  </pic:spPr>
                </pic:pic>
              </a:graphicData>
            </a:graphic>
          </wp:inline>
        </w:drawing>
      </w:r>
    </w:p>
    <w:p w14:paraId="456BDCB5" w14:textId="77777777" w:rsidR="00D91720" w:rsidRDefault="00000000">
      <w:pPr>
        <w:spacing w:before="160" w:after="60" w:line="360" w:lineRule="auto"/>
        <w:jc w:val="left"/>
        <w:rPr>
          <w:rFonts w:ascii="Arial" w:eastAsia="等线" w:hAnsi="Arial" w:cs="Arial"/>
          <w:bCs/>
          <w:szCs w:val="21"/>
        </w:rPr>
      </w:pPr>
      <w:bookmarkStart w:id="18" w:name="OLE_LINK13"/>
      <w:r>
        <w:rPr>
          <w:rFonts w:ascii="Arial" w:eastAsia="Arial" w:hAnsi="Arial" w:cs="Arial"/>
          <w:b/>
          <w:bCs/>
          <w:szCs w:val="21"/>
        </w:rPr>
        <w:t>Supplementary Fig. 33</w:t>
      </w:r>
      <w:r>
        <w:rPr>
          <w:rFonts w:ascii="Arial" w:eastAsia="Arial" w:hAnsi="Arial" w:cs="Arial"/>
          <w:szCs w:val="21"/>
        </w:rPr>
        <w:t xml:space="preserve"> | Device architecture for conductivity and </w:t>
      </w:r>
      <w:proofErr w:type="spellStart"/>
      <w:r>
        <w:rPr>
          <w:rFonts w:ascii="Arial" w:eastAsia="Arial" w:hAnsi="Arial" w:cs="Arial"/>
          <w:szCs w:val="21"/>
        </w:rPr>
        <w:t>Seebeck</w:t>
      </w:r>
      <w:proofErr w:type="spellEnd"/>
      <w:r>
        <w:rPr>
          <w:rFonts w:ascii="Arial" w:eastAsia="Arial" w:hAnsi="Arial" w:cs="Arial"/>
          <w:szCs w:val="21"/>
        </w:rPr>
        <w:t xml:space="preserve"> measurements.</w:t>
      </w:r>
      <w:bookmarkEnd w:id="18"/>
    </w:p>
    <w:p w14:paraId="2C08E8EE" w14:textId="77777777" w:rsidR="00D91720" w:rsidRDefault="00000000">
      <w:pPr>
        <w:spacing w:line="360" w:lineRule="auto"/>
        <w:jc w:val="center"/>
        <w:rPr>
          <w:rFonts w:ascii="Arial" w:hAnsi="Arial" w:cs="Arial"/>
        </w:rPr>
      </w:pPr>
      <w:r>
        <w:rPr>
          <w:noProof/>
        </w:rPr>
        <w:drawing>
          <wp:inline distT="0" distB="0" distL="114300" distR="114300" wp14:anchorId="0967EAFB" wp14:editId="3114C372">
            <wp:extent cx="5041915" cy="4283612"/>
            <wp:effectExtent l="0" t="0" r="0" b="0"/>
            <wp:docPr id="12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37"/>
                    <pic:cNvPicPr>
                      <a:picLocks noChangeAspect="1"/>
                    </pic:cNvPicPr>
                  </pic:nvPicPr>
                  <pic:blipFill>
                    <a:blip r:embed="rId46"/>
                    <a:srcRect r="15169"/>
                    <a:stretch>
                      <a:fillRect/>
                    </a:stretch>
                  </pic:blipFill>
                  <pic:spPr>
                    <a:xfrm>
                      <a:off x="0" y="0"/>
                      <a:ext cx="5043811" cy="4285223"/>
                    </a:xfrm>
                    <a:prstGeom prst="rect">
                      <a:avLst/>
                    </a:prstGeom>
                    <a:noFill/>
                    <a:ln>
                      <a:noFill/>
                    </a:ln>
                  </pic:spPr>
                </pic:pic>
              </a:graphicData>
            </a:graphic>
          </wp:inline>
        </w:drawing>
      </w:r>
    </w:p>
    <w:p w14:paraId="6CDCC375" w14:textId="77777777" w:rsidR="00D91720" w:rsidRDefault="00000000">
      <w:pPr>
        <w:spacing w:before="160" w:after="60" w:line="480" w:lineRule="auto"/>
        <w:jc w:val="left"/>
        <w:rPr>
          <w:rFonts w:ascii="Arial" w:eastAsia="等线" w:hAnsi="Arial" w:cs="Arial"/>
          <w:b/>
          <w:szCs w:val="21"/>
        </w:rPr>
      </w:pPr>
      <w:r>
        <w:rPr>
          <w:rFonts w:ascii="Arial" w:eastAsia="Arial" w:hAnsi="Arial" w:cs="Arial"/>
          <w:b/>
          <w:bCs/>
          <w:szCs w:val="21"/>
        </w:rPr>
        <w:t>Supplementary Fig. 34</w:t>
      </w:r>
      <w:r>
        <w:rPr>
          <w:rFonts w:ascii="Arial" w:eastAsia="Arial" w:hAnsi="Arial" w:cs="Arial"/>
          <w:szCs w:val="21"/>
        </w:rPr>
        <w:t xml:space="preserve"> | OECT performance of PBFDO synthesized by 0.1 eq. S.</w:t>
      </w:r>
    </w:p>
    <w:p w14:paraId="6C4346E7" w14:textId="77777777" w:rsidR="00D91720" w:rsidRDefault="00000000">
      <w:pPr>
        <w:spacing w:line="480" w:lineRule="auto"/>
        <w:jc w:val="center"/>
        <w:rPr>
          <w:rFonts w:ascii="Arial" w:hAnsi="Arial" w:cs="Arial"/>
        </w:rPr>
      </w:pPr>
      <w:r>
        <w:rPr>
          <w:noProof/>
        </w:rPr>
        <w:lastRenderedPageBreak/>
        <w:drawing>
          <wp:inline distT="0" distB="0" distL="114300" distR="114300" wp14:anchorId="27CACADB" wp14:editId="3CA6CBF9">
            <wp:extent cx="4985103" cy="4284000"/>
            <wp:effectExtent l="0" t="0" r="0" b="0"/>
            <wp:docPr id="12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38"/>
                    <pic:cNvPicPr>
                      <a:picLocks noChangeAspect="1"/>
                    </pic:cNvPicPr>
                  </pic:nvPicPr>
                  <pic:blipFill>
                    <a:blip r:embed="rId47"/>
                    <a:stretch>
                      <a:fillRect/>
                    </a:stretch>
                  </pic:blipFill>
                  <pic:spPr>
                    <a:xfrm>
                      <a:off x="0" y="0"/>
                      <a:ext cx="4985103" cy="4284000"/>
                    </a:xfrm>
                    <a:prstGeom prst="rect">
                      <a:avLst/>
                    </a:prstGeom>
                    <a:noFill/>
                    <a:ln>
                      <a:noFill/>
                    </a:ln>
                  </pic:spPr>
                </pic:pic>
              </a:graphicData>
            </a:graphic>
          </wp:inline>
        </w:drawing>
      </w:r>
    </w:p>
    <w:p w14:paraId="6C03FF3B" w14:textId="77777777" w:rsidR="00D91720" w:rsidRDefault="00000000">
      <w:pPr>
        <w:spacing w:before="160" w:after="60" w:line="480" w:lineRule="auto"/>
        <w:jc w:val="left"/>
        <w:rPr>
          <w:rFonts w:ascii="Arial" w:hAnsi="Arial" w:cs="Arial"/>
          <w:szCs w:val="21"/>
        </w:rPr>
      </w:pPr>
      <w:r>
        <w:rPr>
          <w:rFonts w:ascii="Arial" w:eastAsia="Arial" w:hAnsi="Arial" w:cs="Arial"/>
          <w:b/>
          <w:bCs/>
          <w:szCs w:val="21"/>
        </w:rPr>
        <w:t>Supplementary Fig. 35</w:t>
      </w:r>
      <w:r>
        <w:rPr>
          <w:rFonts w:ascii="Arial" w:eastAsia="Arial" w:hAnsi="Arial" w:cs="Arial"/>
          <w:szCs w:val="21"/>
        </w:rPr>
        <w:t xml:space="preserve"> | OECT performance of PBFDO synthesized by 2 eq. S.</w:t>
      </w:r>
    </w:p>
    <w:p w14:paraId="7BC94739" w14:textId="77777777" w:rsidR="004563D3" w:rsidRPr="004563D3" w:rsidRDefault="004563D3">
      <w:pPr>
        <w:spacing w:before="160" w:after="60" w:line="480" w:lineRule="auto"/>
        <w:jc w:val="left"/>
        <w:rPr>
          <w:rFonts w:ascii="Arial" w:hAnsi="Arial" w:cs="Arial"/>
          <w:szCs w:val="21"/>
        </w:rPr>
      </w:pPr>
    </w:p>
    <w:p w14:paraId="4C107853" w14:textId="77777777" w:rsidR="004B26C2" w:rsidRDefault="004B26C2" w:rsidP="004B26C2">
      <w:pPr>
        <w:spacing w:before="160" w:after="60" w:line="480" w:lineRule="auto"/>
        <w:jc w:val="left"/>
        <w:rPr>
          <w:rFonts w:ascii="Arial" w:hAnsi="Arial" w:cs="Arial"/>
          <w:szCs w:val="21"/>
        </w:rPr>
      </w:pPr>
      <w:r w:rsidRPr="004563D3">
        <w:rPr>
          <w:rFonts w:ascii="Arial" w:eastAsia="Arial" w:hAnsi="Arial" w:cs="Arial"/>
          <w:b/>
          <w:bCs/>
          <w:szCs w:val="21"/>
        </w:rPr>
        <w:t>Supplementary Table 6</w:t>
      </w:r>
      <w:r>
        <w:rPr>
          <w:rFonts w:ascii="Arial" w:eastAsia="Arial" w:hAnsi="Arial" w:cs="Arial"/>
          <w:szCs w:val="21"/>
        </w:rPr>
        <w:t xml:space="preserve"> | OECT performance summary of PBFDO synthesized with different S loadings.</w:t>
      </w:r>
    </w:p>
    <w:tbl>
      <w:tblPr>
        <w:tblW w:w="5074" w:type="pct"/>
        <w:jc w:val="center"/>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66"/>
        <w:gridCol w:w="1561"/>
        <w:gridCol w:w="530"/>
        <w:gridCol w:w="688"/>
        <w:gridCol w:w="1938"/>
        <w:gridCol w:w="1901"/>
        <w:gridCol w:w="1179"/>
        <w:gridCol w:w="1327"/>
      </w:tblGrid>
      <w:tr w:rsidR="004B26C2" w:rsidRPr="004B26C2" w14:paraId="0328EDAB" w14:textId="77777777" w:rsidTr="0015015B">
        <w:trPr>
          <w:trHeight w:val="549"/>
          <w:jc w:val="center"/>
        </w:trPr>
        <w:tc>
          <w:tcPr>
            <w:tcW w:w="387" w:type="pct"/>
            <w:tcBorders>
              <w:top w:val="nil"/>
              <w:left w:val="nil"/>
              <w:bottom w:val="single" w:sz="8" w:space="0" w:color="000000"/>
              <w:right w:val="nil"/>
            </w:tcBorders>
            <w:tcMar>
              <w:top w:w="9" w:type="dxa"/>
              <w:left w:w="9" w:type="dxa"/>
              <w:bottom w:w="0" w:type="dxa"/>
              <w:right w:w="9" w:type="dxa"/>
            </w:tcMar>
            <w:vAlign w:val="center"/>
          </w:tcPr>
          <w:p w14:paraId="2EE4E1C5" w14:textId="77777777" w:rsidR="004B26C2" w:rsidRPr="004B26C2" w:rsidRDefault="004B26C2" w:rsidP="0015015B">
            <w:pPr>
              <w:pStyle w:val="Body"/>
              <w:spacing w:before="40" w:after="40" w:line="240" w:lineRule="auto"/>
              <w:jc w:val="left"/>
              <w:rPr>
                <w:rFonts w:ascii="Arial" w:eastAsiaTheme="minorEastAsia" w:hAnsi="Arial"/>
              </w:rPr>
            </w:pPr>
            <w:r w:rsidRPr="004B26C2">
              <w:rPr>
                <w:rFonts w:ascii="Arial" w:eastAsiaTheme="minorEastAsia" w:hAnsi="Arial" w:cs="Arial"/>
                <w:b/>
                <w:sz w:val="18"/>
              </w:rPr>
              <w:t>S</w:t>
            </w:r>
            <w:r w:rsidRPr="004B26C2">
              <w:rPr>
                <w:rFonts w:ascii="Arial" w:eastAsiaTheme="minorEastAsia" w:hAnsi="Arial" w:cs="Arial"/>
                <w:b/>
                <w:sz w:val="18"/>
                <w:vertAlign w:val="subscript"/>
              </w:rPr>
              <w:t>8</w:t>
            </w:r>
            <w:r w:rsidRPr="004B26C2">
              <w:rPr>
                <w:rFonts w:ascii="Arial" w:eastAsiaTheme="minorEastAsia" w:hAnsi="Arial" w:cs="Arial"/>
                <w:b/>
                <w:sz w:val="18"/>
              </w:rPr>
              <w:t xml:space="preserve"> (eq. S)</w:t>
            </w:r>
          </w:p>
        </w:tc>
        <w:tc>
          <w:tcPr>
            <w:tcW w:w="789" w:type="pct"/>
            <w:tcBorders>
              <w:top w:val="nil"/>
              <w:left w:val="nil"/>
              <w:bottom w:val="single" w:sz="8" w:space="0" w:color="000000"/>
              <w:right w:val="nil"/>
            </w:tcBorders>
            <w:tcMar>
              <w:top w:w="9" w:type="dxa"/>
              <w:left w:w="9" w:type="dxa"/>
              <w:bottom w:w="0" w:type="dxa"/>
              <w:right w:w="9" w:type="dxa"/>
            </w:tcMar>
            <w:vAlign w:val="center"/>
          </w:tcPr>
          <w:p w14:paraId="1DB5FF56" w14:textId="77777777" w:rsidR="004B26C2" w:rsidRPr="004B26C2" w:rsidRDefault="004B26C2" w:rsidP="0015015B">
            <w:pPr>
              <w:pStyle w:val="Body"/>
              <w:spacing w:before="40" w:after="40" w:line="240" w:lineRule="auto"/>
              <w:jc w:val="center"/>
              <w:rPr>
                <w:rFonts w:ascii="Arial" w:eastAsiaTheme="minorEastAsia" w:hAnsi="Arial"/>
              </w:rPr>
            </w:pPr>
            <w:proofErr w:type="spellStart"/>
            <w:proofErr w:type="gramStart"/>
            <w:r w:rsidRPr="004B26C2">
              <w:rPr>
                <w:rFonts w:ascii="Arial" w:eastAsiaTheme="minorEastAsia" w:hAnsi="Arial" w:cs="Arial"/>
                <w:b/>
                <w:i/>
                <w:iCs/>
                <w:sz w:val="18"/>
              </w:rPr>
              <w:t>g</w:t>
            </w:r>
            <w:r w:rsidRPr="004B26C2">
              <w:rPr>
                <w:rFonts w:ascii="Arial" w:eastAsiaTheme="minorEastAsia" w:hAnsi="Arial" w:cs="Arial"/>
                <w:b/>
                <w:i/>
                <w:iCs/>
                <w:sz w:val="18"/>
                <w:vertAlign w:val="subscript"/>
              </w:rPr>
              <w:t>m,norm</w:t>
            </w:r>
            <w:proofErr w:type="spellEnd"/>
            <w:proofErr w:type="gramEnd"/>
            <w:r w:rsidRPr="004B26C2">
              <w:rPr>
                <w:rFonts w:ascii="Arial" w:eastAsiaTheme="minorEastAsia" w:hAnsi="Arial" w:cs="Arial" w:hint="eastAsia"/>
                <w:b/>
                <w:sz w:val="18"/>
              </w:rPr>
              <w:t xml:space="preserve"> </w:t>
            </w:r>
            <w:r w:rsidRPr="004B26C2">
              <w:rPr>
                <w:rFonts w:ascii="Arial" w:eastAsiaTheme="minorEastAsia" w:hAnsi="Arial" w:cs="Arial"/>
                <w:b/>
                <w:sz w:val="18"/>
              </w:rPr>
              <w:t>(S</w:t>
            </w:r>
            <w:r w:rsidRPr="004B26C2">
              <w:rPr>
                <w:rFonts w:ascii="Arial" w:eastAsiaTheme="minorEastAsia" w:hAnsi="Arial" w:cs="Arial" w:hint="eastAsia"/>
                <w:b/>
                <w:sz w:val="18"/>
              </w:rPr>
              <w:t xml:space="preserve"> </w:t>
            </w:r>
            <w:r w:rsidRPr="004B26C2">
              <w:rPr>
                <w:rFonts w:ascii="Arial" w:eastAsiaTheme="minorEastAsia" w:hAnsi="Arial" w:cs="Arial"/>
                <w:b/>
                <w:sz w:val="18"/>
              </w:rPr>
              <w:t>cm</w:t>
            </w:r>
            <w:bookmarkStart w:id="19" w:name="OLE_LINK25"/>
            <w:r w:rsidRPr="004B26C2">
              <w:rPr>
                <w:rFonts w:ascii="Arial" w:eastAsiaTheme="minorEastAsia" w:hAnsi="Arial" w:cs="Arial"/>
                <w:b/>
                <w:sz w:val="18"/>
                <w:vertAlign w:val="superscript"/>
              </w:rPr>
              <w:t>−</w:t>
            </w:r>
            <w:bookmarkEnd w:id="19"/>
            <w:r w:rsidRPr="004B26C2">
              <w:rPr>
                <w:rFonts w:ascii="Arial" w:eastAsiaTheme="minorEastAsia" w:hAnsi="Arial" w:cs="Arial"/>
                <w:b/>
                <w:sz w:val="18"/>
                <w:vertAlign w:val="superscript"/>
              </w:rPr>
              <w:t>1</w:t>
            </w:r>
            <w:r w:rsidRPr="004B26C2">
              <w:rPr>
                <w:rFonts w:ascii="Arial" w:eastAsiaTheme="minorEastAsia" w:hAnsi="Arial" w:cs="Arial"/>
                <w:b/>
                <w:sz w:val="18"/>
              </w:rPr>
              <w:t>)</w:t>
            </w:r>
          </w:p>
        </w:tc>
        <w:tc>
          <w:tcPr>
            <w:tcW w:w="268" w:type="pct"/>
            <w:tcBorders>
              <w:top w:val="nil"/>
              <w:left w:val="nil"/>
              <w:bottom w:val="single" w:sz="8" w:space="0" w:color="000000"/>
              <w:right w:val="nil"/>
            </w:tcBorders>
            <w:tcMar>
              <w:top w:w="9" w:type="dxa"/>
              <w:left w:w="9" w:type="dxa"/>
              <w:bottom w:w="0" w:type="dxa"/>
              <w:right w:w="9" w:type="dxa"/>
            </w:tcMar>
            <w:vAlign w:val="center"/>
          </w:tcPr>
          <w:p w14:paraId="6A1145A1" w14:textId="77777777" w:rsidR="004B26C2" w:rsidRPr="004B26C2" w:rsidRDefault="004B26C2" w:rsidP="0015015B">
            <w:pPr>
              <w:pStyle w:val="Body"/>
              <w:spacing w:before="40" w:after="40" w:line="240" w:lineRule="auto"/>
              <w:jc w:val="center"/>
              <w:rPr>
                <w:rFonts w:ascii="Arial" w:eastAsiaTheme="minorEastAsia" w:hAnsi="Arial"/>
                <w:i/>
                <w:iCs/>
              </w:rPr>
            </w:pPr>
            <w:r w:rsidRPr="004B26C2">
              <w:rPr>
                <w:rFonts w:ascii="Arial" w:eastAsiaTheme="minorEastAsia" w:hAnsi="Arial" w:cs="Arial"/>
                <w:b/>
                <w:i/>
                <w:iCs/>
                <w:sz w:val="18"/>
              </w:rPr>
              <w:t>Wd/L</w:t>
            </w:r>
          </w:p>
        </w:tc>
        <w:tc>
          <w:tcPr>
            <w:tcW w:w="348" w:type="pct"/>
            <w:tcBorders>
              <w:top w:val="nil"/>
              <w:left w:val="nil"/>
              <w:bottom w:val="single" w:sz="8" w:space="0" w:color="000000"/>
              <w:right w:val="nil"/>
            </w:tcBorders>
            <w:tcMar>
              <w:top w:w="9" w:type="dxa"/>
              <w:left w:w="9" w:type="dxa"/>
              <w:bottom w:w="0" w:type="dxa"/>
              <w:right w:w="9" w:type="dxa"/>
            </w:tcMar>
            <w:vAlign w:val="center"/>
          </w:tcPr>
          <w:p w14:paraId="33A924F4" w14:textId="77777777" w:rsidR="004B26C2" w:rsidRPr="004B26C2" w:rsidRDefault="004B26C2" w:rsidP="0015015B">
            <w:pPr>
              <w:pStyle w:val="Body"/>
              <w:spacing w:before="40" w:after="40" w:line="240" w:lineRule="auto"/>
              <w:jc w:val="center"/>
              <w:rPr>
                <w:rFonts w:ascii="Arial" w:eastAsiaTheme="minorEastAsia" w:hAnsi="Arial"/>
              </w:rPr>
            </w:pPr>
            <w:r w:rsidRPr="004B26C2">
              <w:rPr>
                <w:rFonts w:ascii="Arial" w:eastAsiaTheme="minorEastAsia" w:hAnsi="Arial" w:cs="Arial"/>
                <w:b/>
                <w:i/>
                <w:iCs/>
                <w:sz w:val="18"/>
              </w:rPr>
              <w:t>V</w:t>
            </w:r>
            <w:r w:rsidRPr="004B26C2">
              <w:rPr>
                <w:rFonts w:ascii="Arial" w:eastAsiaTheme="minorEastAsia" w:hAnsi="Arial" w:cs="Arial"/>
                <w:b/>
                <w:i/>
                <w:iCs/>
                <w:sz w:val="18"/>
                <w:vertAlign w:val="subscript"/>
              </w:rPr>
              <w:t>th</w:t>
            </w:r>
            <w:r w:rsidRPr="004B26C2">
              <w:rPr>
                <w:rFonts w:ascii="Arial" w:eastAsiaTheme="minorEastAsia" w:hAnsi="Arial" w:cs="Arial" w:hint="eastAsia"/>
                <w:b/>
                <w:sz w:val="18"/>
                <w:vertAlign w:val="subscript"/>
              </w:rPr>
              <w:t xml:space="preserve"> </w:t>
            </w:r>
            <w:r w:rsidRPr="004B26C2">
              <w:rPr>
                <w:rFonts w:ascii="Arial" w:eastAsiaTheme="minorEastAsia" w:hAnsi="Arial" w:cs="Arial"/>
                <w:b/>
                <w:sz w:val="18"/>
              </w:rPr>
              <w:t>(V)</w:t>
            </w:r>
          </w:p>
        </w:tc>
        <w:tc>
          <w:tcPr>
            <w:tcW w:w="980" w:type="pct"/>
            <w:tcBorders>
              <w:top w:val="nil"/>
              <w:left w:val="nil"/>
              <w:bottom w:val="single" w:sz="8" w:space="0" w:color="000000"/>
              <w:right w:val="nil"/>
            </w:tcBorders>
            <w:tcMar>
              <w:top w:w="9" w:type="dxa"/>
              <w:left w:w="9" w:type="dxa"/>
              <w:bottom w:w="0" w:type="dxa"/>
              <w:right w:w="9" w:type="dxa"/>
            </w:tcMar>
            <w:vAlign w:val="center"/>
          </w:tcPr>
          <w:p w14:paraId="7AFB7AF4" w14:textId="77777777" w:rsidR="004B26C2" w:rsidRPr="004B26C2" w:rsidRDefault="004B26C2" w:rsidP="0015015B">
            <w:pPr>
              <w:pStyle w:val="Body"/>
              <w:spacing w:before="40" w:after="40" w:line="240" w:lineRule="auto"/>
              <w:jc w:val="center"/>
              <w:rPr>
                <w:rFonts w:ascii="Arial" w:eastAsiaTheme="minorEastAsia" w:hAnsi="Arial"/>
              </w:rPr>
            </w:pPr>
            <w:proofErr w:type="spellStart"/>
            <w:r w:rsidRPr="004B26C2">
              <w:rPr>
                <w:rFonts w:ascii="Arial" w:eastAsiaTheme="minorEastAsia" w:hAnsi="Arial" w:cs="Arial"/>
                <w:b/>
                <w:i/>
                <w:iCs/>
                <w:sz w:val="18"/>
              </w:rPr>
              <w:t>μC</w:t>
            </w:r>
            <w:proofErr w:type="spellEnd"/>
            <w:r w:rsidRPr="004B26C2">
              <w:rPr>
                <w:rFonts w:ascii="Arial" w:eastAsiaTheme="minorEastAsia" w:hAnsi="Arial" w:cs="Arial"/>
                <w:b/>
                <w:i/>
                <w:iCs/>
                <w:sz w:val="18"/>
              </w:rPr>
              <w:t>*</w:t>
            </w:r>
            <w:r w:rsidRPr="004B26C2">
              <w:rPr>
                <w:rFonts w:ascii="Arial" w:eastAsiaTheme="minorEastAsia" w:hAnsi="Arial" w:cs="Arial" w:hint="eastAsia"/>
                <w:b/>
                <w:sz w:val="18"/>
              </w:rPr>
              <w:t xml:space="preserve"> </w:t>
            </w:r>
            <w:r w:rsidRPr="004B26C2">
              <w:rPr>
                <w:rFonts w:ascii="Arial" w:eastAsiaTheme="minorEastAsia" w:hAnsi="Arial" w:cs="Arial"/>
                <w:b/>
                <w:sz w:val="18"/>
              </w:rPr>
              <w:t>(F</w:t>
            </w:r>
            <w:r w:rsidRPr="004B26C2">
              <w:rPr>
                <w:rFonts w:ascii="Arial" w:eastAsiaTheme="minorEastAsia" w:hAnsi="Arial" w:cs="Arial" w:hint="eastAsia"/>
                <w:b/>
                <w:sz w:val="18"/>
              </w:rPr>
              <w:t xml:space="preserve"> </w:t>
            </w:r>
            <w:r w:rsidRPr="004B26C2">
              <w:rPr>
                <w:rFonts w:ascii="Arial" w:eastAsiaTheme="minorEastAsia" w:hAnsi="Arial" w:cs="Arial"/>
                <w:b/>
                <w:sz w:val="18"/>
              </w:rPr>
              <w:t>cm</w:t>
            </w:r>
            <w:r w:rsidRPr="004B26C2">
              <w:rPr>
                <w:rFonts w:ascii="Arial" w:eastAsiaTheme="minorEastAsia" w:hAnsi="Arial" w:cs="Arial"/>
                <w:b/>
                <w:sz w:val="18"/>
                <w:vertAlign w:val="superscript"/>
              </w:rPr>
              <w:t>−1</w:t>
            </w:r>
            <w:r w:rsidRPr="004B26C2">
              <w:rPr>
                <w:rFonts w:ascii="Arial" w:eastAsiaTheme="minorEastAsia" w:hAnsi="Arial" w:cs="Arial" w:hint="eastAsia"/>
                <w:b/>
                <w:sz w:val="18"/>
              </w:rPr>
              <w:t xml:space="preserve"> </w:t>
            </w:r>
            <w:r w:rsidRPr="004B26C2">
              <w:rPr>
                <w:rFonts w:ascii="Arial" w:eastAsiaTheme="minorEastAsia" w:hAnsi="Arial" w:cs="Arial"/>
                <w:b/>
                <w:sz w:val="18"/>
              </w:rPr>
              <w:t>V</w:t>
            </w:r>
            <w:r w:rsidRPr="004B26C2">
              <w:rPr>
                <w:rFonts w:ascii="Arial" w:eastAsiaTheme="minorEastAsia" w:hAnsi="Arial" w:cs="Arial"/>
                <w:b/>
                <w:sz w:val="18"/>
                <w:vertAlign w:val="superscript"/>
              </w:rPr>
              <w:t>−1</w:t>
            </w:r>
            <w:r w:rsidRPr="004B26C2">
              <w:rPr>
                <w:rFonts w:ascii="Arial" w:eastAsiaTheme="minorEastAsia" w:hAnsi="Arial" w:cs="Arial" w:hint="eastAsia"/>
                <w:b/>
                <w:sz w:val="18"/>
              </w:rPr>
              <w:t xml:space="preserve"> </w:t>
            </w:r>
            <w:r w:rsidRPr="004B26C2">
              <w:rPr>
                <w:rFonts w:ascii="Arial" w:eastAsiaTheme="minorEastAsia" w:hAnsi="Arial" w:cs="Arial"/>
                <w:b/>
                <w:sz w:val="18"/>
              </w:rPr>
              <w:t>s</w:t>
            </w:r>
            <w:r w:rsidRPr="004B26C2">
              <w:rPr>
                <w:rFonts w:ascii="Arial" w:eastAsiaTheme="minorEastAsia" w:hAnsi="Arial" w:cs="Arial"/>
                <w:b/>
                <w:sz w:val="18"/>
                <w:vertAlign w:val="superscript"/>
              </w:rPr>
              <w:t>−1</w:t>
            </w:r>
            <w:r w:rsidRPr="004B26C2">
              <w:rPr>
                <w:rFonts w:ascii="Arial" w:eastAsiaTheme="minorEastAsia" w:hAnsi="Arial" w:cs="Arial"/>
                <w:b/>
                <w:sz w:val="18"/>
              </w:rPr>
              <w:t>)</w:t>
            </w:r>
          </w:p>
        </w:tc>
        <w:tc>
          <w:tcPr>
            <w:tcW w:w="961" w:type="pct"/>
            <w:tcBorders>
              <w:top w:val="nil"/>
              <w:left w:val="nil"/>
              <w:bottom w:val="single" w:sz="8" w:space="0" w:color="000000"/>
              <w:right w:val="nil"/>
            </w:tcBorders>
            <w:tcMar>
              <w:top w:w="9" w:type="dxa"/>
              <w:left w:w="9" w:type="dxa"/>
              <w:bottom w:w="0" w:type="dxa"/>
              <w:right w:w="9" w:type="dxa"/>
            </w:tcMar>
            <w:vAlign w:val="center"/>
          </w:tcPr>
          <w:p w14:paraId="1CA8EC70" w14:textId="77777777" w:rsidR="004B26C2" w:rsidRPr="004B26C2" w:rsidRDefault="004B26C2" w:rsidP="0015015B">
            <w:pPr>
              <w:pStyle w:val="Body"/>
              <w:spacing w:before="40" w:after="40" w:line="240" w:lineRule="auto"/>
              <w:jc w:val="center"/>
              <w:rPr>
                <w:rFonts w:ascii="Arial" w:eastAsiaTheme="minorEastAsia" w:hAnsi="Arial"/>
              </w:rPr>
            </w:pPr>
            <w:proofErr w:type="spellStart"/>
            <w:r w:rsidRPr="004B26C2">
              <w:rPr>
                <w:rFonts w:ascii="Arial" w:eastAsiaTheme="minorEastAsia" w:hAnsi="Arial" w:cs="Arial"/>
                <w:b/>
                <w:i/>
                <w:iCs/>
                <w:sz w:val="18"/>
              </w:rPr>
              <w:t>μ</w:t>
            </w:r>
            <w:r w:rsidRPr="004B26C2">
              <w:rPr>
                <w:rFonts w:ascii="Arial" w:eastAsiaTheme="minorEastAsia" w:hAnsi="Arial" w:cs="Arial"/>
                <w:b/>
                <w:i/>
                <w:iCs/>
                <w:sz w:val="18"/>
                <w:vertAlign w:val="subscript"/>
              </w:rPr>
              <w:t>OECT</w:t>
            </w:r>
            <w:proofErr w:type="spellEnd"/>
            <w:r w:rsidRPr="004B26C2">
              <w:rPr>
                <w:rFonts w:ascii="Arial" w:eastAsiaTheme="minorEastAsia" w:hAnsi="Arial" w:cs="Arial" w:hint="eastAsia"/>
                <w:b/>
                <w:sz w:val="18"/>
              </w:rPr>
              <w:t xml:space="preserve"> </w:t>
            </w:r>
            <w:r w:rsidRPr="004B26C2">
              <w:rPr>
                <w:rFonts w:ascii="Arial" w:eastAsiaTheme="minorEastAsia" w:hAnsi="Arial" w:cs="Arial"/>
                <w:b/>
                <w:sz w:val="18"/>
              </w:rPr>
              <w:t>(cm</w:t>
            </w:r>
            <w:r w:rsidRPr="004B26C2">
              <w:rPr>
                <w:rFonts w:ascii="Arial" w:eastAsiaTheme="minorEastAsia" w:hAnsi="Arial" w:cs="Arial"/>
                <w:b/>
                <w:sz w:val="18"/>
                <w:vertAlign w:val="superscript"/>
              </w:rPr>
              <w:t>2</w:t>
            </w:r>
            <w:r w:rsidRPr="004B26C2">
              <w:rPr>
                <w:rFonts w:ascii="Arial" w:eastAsiaTheme="minorEastAsia" w:hAnsi="Arial" w:cs="Arial" w:hint="eastAsia"/>
                <w:b/>
                <w:sz w:val="18"/>
              </w:rPr>
              <w:t xml:space="preserve"> </w:t>
            </w:r>
            <w:r w:rsidRPr="004B26C2">
              <w:rPr>
                <w:rFonts w:ascii="Arial" w:eastAsiaTheme="minorEastAsia" w:hAnsi="Arial" w:cs="Arial"/>
                <w:b/>
                <w:sz w:val="18"/>
              </w:rPr>
              <w:t>V</w:t>
            </w:r>
            <w:r w:rsidRPr="004B26C2">
              <w:rPr>
                <w:rFonts w:ascii="Arial" w:eastAsiaTheme="minorEastAsia" w:hAnsi="Arial" w:cs="Arial"/>
                <w:b/>
                <w:sz w:val="18"/>
                <w:vertAlign w:val="superscript"/>
              </w:rPr>
              <w:t>−1</w:t>
            </w:r>
            <w:r w:rsidRPr="004B26C2">
              <w:rPr>
                <w:rFonts w:ascii="Arial" w:eastAsiaTheme="minorEastAsia" w:hAnsi="Arial" w:cs="Arial" w:hint="eastAsia"/>
                <w:b/>
                <w:sz w:val="18"/>
              </w:rPr>
              <w:t xml:space="preserve"> </w:t>
            </w:r>
            <w:r w:rsidRPr="004B26C2">
              <w:rPr>
                <w:rFonts w:ascii="Arial" w:eastAsiaTheme="minorEastAsia" w:hAnsi="Arial" w:cs="Arial"/>
                <w:b/>
                <w:sz w:val="18"/>
              </w:rPr>
              <w:t>s</w:t>
            </w:r>
            <w:r w:rsidRPr="004B26C2">
              <w:rPr>
                <w:rFonts w:ascii="Arial" w:eastAsiaTheme="minorEastAsia" w:hAnsi="Arial" w:cs="Arial"/>
                <w:b/>
                <w:sz w:val="18"/>
                <w:vertAlign w:val="superscript"/>
              </w:rPr>
              <w:t>−1</w:t>
            </w:r>
            <w:r w:rsidRPr="004B26C2">
              <w:rPr>
                <w:rFonts w:ascii="Arial" w:eastAsiaTheme="minorEastAsia" w:hAnsi="Arial" w:cs="Arial"/>
                <w:b/>
                <w:sz w:val="18"/>
              </w:rPr>
              <w:t>)</w:t>
            </w:r>
          </w:p>
        </w:tc>
        <w:tc>
          <w:tcPr>
            <w:tcW w:w="596" w:type="pct"/>
            <w:tcBorders>
              <w:top w:val="nil"/>
              <w:left w:val="nil"/>
              <w:bottom w:val="single" w:sz="8" w:space="0" w:color="000000"/>
              <w:right w:val="nil"/>
            </w:tcBorders>
            <w:tcMar>
              <w:top w:w="9" w:type="dxa"/>
              <w:left w:w="9" w:type="dxa"/>
              <w:bottom w:w="0" w:type="dxa"/>
              <w:right w:w="9" w:type="dxa"/>
            </w:tcMar>
            <w:vAlign w:val="center"/>
          </w:tcPr>
          <w:p w14:paraId="178339AA" w14:textId="77777777" w:rsidR="004B26C2" w:rsidRPr="004B26C2" w:rsidRDefault="004B26C2" w:rsidP="0015015B">
            <w:pPr>
              <w:pStyle w:val="Body"/>
              <w:spacing w:before="40" w:after="40" w:line="240" w:lineRule="auto"/>
              <w:jc w:val="center"/>
              <w:rPr>
                <w:rFonts w:ascii="Arial" w:eastAsiaTheme="minorEastAsia" w:hAnsi="Arial"/>
              </w:rPr>
            </w:pPr>
            <w:r w:rsidRPr="004B26C2">
              <w:rPr>
                <w:rFonts w:ascii="Arial" w:eastAsiaTheme="minorEastAsia" w:hAnsi="Arial" w:cs="Arial"/>
                <w:b/>
                <w:i/>
                <w:iCs/>
                <w:sz w:val="18"/>
              </w:rPr>
              <w:t>C*</w:t>
            </w:r>
            <w:r w:rsidRPr="004B26C2">
              <w:rPr>
                <w:rFonts w:ascii="Arial" w:eastAsiaTheme="minorEastAsia" w:hAnsi="Arial" w:cs="Arial" w:hint="eastAsia"/>
                <w:b/>
                <w:sz w:val="18"/>
              </w:rPr>
              <w:t xml:space="preserve"> </w:t>
            </w:r>
            <w:r w:rsidRPr="004B26C2">
              <w:rPr>
                <w:rFonts w:ascii="Arial" w:eastAsiaTheme="minorEastAsia" w:hAnsi="Arial" w:cs="Arial"/>
                <w:b/>
                <w:sz w:val="18"/>
              </w:rPr>
              <w:t>(F</w:t>
            </w:r>
            <w:r w:rsidRPr="004B26C2">
              <w:rPr>
                <w:rFonts w:ascii="Arial" w:eastAsiaTheme="minorEastAsia" w:hAnsi="Arial" w:cs="Arial" w:hint="eastAsia"/>
                <w:b/>
                <w:sz w:val="18"/>
              </w:rPr>
              <w:t xml:space="preserve"> </w:t>
            </w:r>
            <w:r w:rsidRPr="004B26C2">
              <w:rPr>
                <w:rFonts w:ascii="Arial" w:eastAsiaTheme="minorEastAsia" w:hAnsi="Arial" w:cs="Arial"/>
                <w:b/>
                <w:sz w:val="18"/>
              </w:rPr>
              <w:t>cm</w:t>
            </w:r>
            <w:r w:rsidRPr="004B26C2">
              <w:rPr>
                <w:rFonts w:ascii="Arial" w:eastAsiaTheme="minorEastAsia" w:hAnsi="Arial" w:cs="Arial"/>
                <w:b/>
                <w:sz w:val="18"/>
                <w:vertAlign w:val="superscript"/>
              </w:rPr>
              <w:t>−3</w:t>
            </w:r>
            <w:r w:rsidRPr="004B26C2">
              <w:rPr>
                <w:rFonts w:ascii="Arial" w:eastAsiaTheme="minorEastAsia" w:hAnsi="Arial" w:cs="Arial"/>
                <w:b/>
                <w:sz w:val="18"/>
              </w:rPr>
              <w:t>)</w:t>
            </w:r>
          </w:p>
        </w:tc>
        <w:tc>
          <w:tcPr>
            <w:tcW w:w="671" w:type="pct"/>
            <w:tcBorders>
              <w:top w:val="nil"/>
              <w:left w:val="nil"/>
              <w:bottom w:val="single" w:sz="8" w:space="0" w:color="000000"/>
              <w:right w:val="nil"/>
            </w:tcBorders>
            <w:tcMar>
              <w:top w:w="9" w:type="dxa"/>
              <w:left w:w="9" w:type="dxa"/>
              <w:bottom w:w="0" w:type="dxa"/>
              <w:right w:w="9" w:type="dxa"/>
            </w:tcMar>
            <w:vAlign w:val="center"/>
          </w:tcPr>
          <w:p w14:paraId="2047F258" w14:textId="77777777" w:rsidR="004B26C2" w:rsidRPr="004B26C2" w:rsidRDefault="004B26C2" w:rsidP="0015015B">
            <w:pPr>
              <w:pStyle w:val="Body"/>
              <w:spacing w:before="40" w:after="40" w:line="240" w:lineRule="auto"/>
              <w:jc w:val="center"/>
              <w:rPr>
                <w:rFonts w:ascii="Arial" w:eastAsiaTheme="minorEastAsia" w:hAnsi="Arial"/>
              </w:rPr>
            </w:pPr>
            <w:proofErr w:type="spellStart"/>
            <w:r w:rsidRPr="004B26C2">
              <w:rPr>
                <w:rFonts w:ascii="Arial" w:eastAsiaTheme="minorEastAsia" w:hAnsi="Arial" w:cs="Arial"/>
                <w:b/>
                <w:i/>
                <w:iCs/>
                <w:sz w:val="18"/>
              </w:rPr>
              <w:t>τ</w:t>
            </w:r>
            <w:r w:rsidRPr="004B26C2">
              <w:rPr>
                <w:rFonts w:ascii="Arial" w:eastAsiaTheme="minorEastAsia" w:hAnsi="Arial" w:cs="Arial"/>
                <w:b/>
                <w:i/>
                <w:iCs/>
                <w:sz w:val="18"/>
                <w:vertAlign w:val="subscript"/>
              </w:rPr>
              <w:t>on</w:t>
            </w:r>
            <w:proofErr w:type="spellEnd"/>
            <w:r w:rsidRPr="004B26C2">
              <w:rPr>
                <w:rFonts w:ascii="Arial" w:eastAsiaTheme="minorEastAsia" w:hAnsi="Arial" w:cs="Arial"/>
                <w:b/>
                <w:sz w:val="18"/>
              </w:rPr>
              <w:t>/</w:t>
            </w:r>
            <w:proofErr w:type="spellStart"/>
            <w:r w:rsidRPr="004B26C2">
              <w:rPr>
                <w:rFonts w:ascii="Arial" w:eastAsiaTheme="minorEastAsia" w:hAnsi="Arial" w:cs="Arial"/>
                <w:b/>
                <w:i/>
                <w:iCs/>
                <w:sz w:val="18"/>
              </w:rPr>
              <w:t>τ</w:t>
            </w:r>
            <w:r w:rsidRPr="004B26C2">
              <w:rPr>
                <w:rFonts w:ascii="Arial" w:eastAsiaTheme="minorEastAsia" w:hAnsi="Arial" w:cs="Arial"/>
                <w:b/>
                <w:i/>
                <w:iCs/>
                <w:sz w:val="18"/>
                <w:vertAlign w:val="subscript"/>
              </w:rPr>
              <w:t>off</w:t>
            </w:r>
            <w:proofErr w:type="spellEnd"/>
          </w:p>
        </w:tc>
      </w:tr>
      <w:tr w:rsidR="004B26C2" w:rsidRPr="004B26C2" w14:paraId="13803930" w14:textId="77777777" w:rsidTr="0015015B">
        <w:trPr>
          <w:trHeight w:val="327"/>
          <w:jc w:val="center"/>
        </w:trPr>
        <w:tc>
          <w:tcPr>
            <w:tcW w:w="387" w:type="pct"/>
            <w:tcBorders>
              <w:top w:val="nil"/>
              <w:left w:val="nil"/>
              <w:bottom w:val="nil"/>
              <w:right w:val="nil"/>
            </w:tcBorders>
            <w:tcMar>
              <w:top w:w="40" w:type="dxa"/>
              <w:left w:w="81" w:type="dxa"/>
              <w:bottom w:w="40" w:type="dxa"/>
              <w:right w:w="81" w:type="dxa"/>
            </w:tcMar>
            <w:vAlign w:val="center"/>
          </w:tcPr>
          <w:p w14:paraId="5432687A" w14:textId="77777777" w:rsidR="004B26C2" w:rsidRPr="004B26C2" w:rsidRDefault="004B26C2" w:rsidP="0015015B">
            <w:pPr>
              <w:pStyle w:val="Body"/>
              <w:spacing w:before="40" w:after="40" w:line="240" w:lineRule="auto"/>
              <w:jc w:val="left"/>
              <w:rPr>
                <w:rFonts w:ascii="Arial" w:eastAsiaTheme="minorEastAsia" w:hAnsi="Arial"/>
                <w:bCs/>
              </w:rPr>
            </w:pPr>
            <w:r w:rsidRPr="004B26C2">
              <w:rPr>
                <w:rFonts w:ascii="Arial" w:eastAsiaTheme="minorEastAsia" w:hAnsi="Arial" w:cs="Arial"/>
                <w:bCs/>
                <w:sz w:val="18"/>
              </w:rPr>
              <w:t>0.1</w:t>
            </w:r>
          </w:p>
        </w:tc>
        <w:tc>
          <w:tcPr>
            <w:tcW w:w="789" w:type="pct"/>
            <w:tcBorders>
              <w:top w:val="nil"/>
              <w:left w:val="nil"/>
              <w:bottom w:val="nil"/>
              <w:right w:val="nil"/>
            </w:tcBorders>
            <w:tcMar>
              <w:top w:w="40" w:type="dxa"/>
              <w:left w:w="81" w:type="dxa"/>
              <w:bottom w:w="40" w:type="dxa"/>
              <w:right w:w="81" w:type="dxa"/>
            </w:tcMar>
            <w:vAlign w:val="center"/>
          </w:tcPr>
          <w:p w14:paraId="2CDEE25F"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137</w:t>
            </w:r>
            <w:r w:rsidRPr="004B26C2">
              <w:rPr>
                <w:rFonts w:ascii="Arial" w:eastAsiaTheme="minorEastAsia" w:hAnsi="Arial" w:cs="Arial" w:hint="eastAsia"/>
                <w:bCs/>
                <w:sz w:val="18"/>
              </w:rPr>
              <w:t xml:space="preserve"> </w:t>
            </w:r>
            <w:r w:rsidRPr="004B26C2">
              <w:rPr>
                <w:rFonts w:ascii="Arial" w:eastAsiaTheme="minorEastAsia" w:hAnsi="Arial" w:cs="Arial"/>
                <w:bCs/>
                <w:sz w:val="18"/>
              </w:rPr>
              <w:t>(120)</w:t>
            </w:r>
          </w:p>
        </w:tc>
        <w:tc>
          <w:tcPr>
            <w:tcW w:w="268" w:type="pct"/>
            <w:tcBorders>
              <w:top w:val="nil"/>
              <w:left w:val="nil"/>
              <w:bottom w:val="nil"/>
              <w:right w:val="nil"/>
            </w:tcBorders>
            <w:tcMar>
              <w:top w:w="9" w:type="dxa"/>
              <w:left w:w="9" w:type="dxa"/>
              <w:bottom w:w="0" w:type="dxa"/>
              <w:right w:w="9" w:type="dxa"/>
            </w:tcMar>
            <w:vAlign w:val="center"/>
          </w:tcPr>
          <w:p w14:paraId="7D9F1D04"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275</w:t>
            </w:r>
          </w:p>
        </w:tc>
        <w:tc>
          <w:tcPr>
            <w:tcW w:w="348" w:type="pct"/>
            <w:tcBorders>
              <w:top w:val="nil"/>
              <w:left w:val="nil"/>
              <w:bottom w:val="nil"/>
              <w:right w:val="nil"/>
            </w:tcBorders>
            <w:tcMar>
              <w:top w:w="9" w:type="dxa"/>
              <w:left w:w="9" w:type="dxa"/>
              <w:bottom w:w="0" w:type="dxa"/>
              <w:right w:w="9" w:type="dxa"/>
            </w:tcMar>
            <w:vAlign w:val="center"/>
          </w:tcPr>
          <w:p w14:paraId="5C291FBB"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−0.80</w:t>
            </w:r>
          </w:p>
        </w:tc>
        <w:tc>
          <w:tcPr>
            <w:tcW w:w="980" w:type="pct"/>
            <w:tcBorders>
              <w:top w:val="nil"/>
              <w:left w:val="nil"/>
              <w:bottom w:val="nil"/>
              <w:right w:val="nil"/>
            </w:tcBorders>
            <w:tcMar>
              <w:top w:w="9" w:type="dxa"/>
              <w:left w:w="9" w:type="dxa"/>
              <w:bottom w:w="0" w:type="dxa"/>
              <w:right w:w="9" w:type="dxa"/>
            </w:tcMar>
            <w:vAlign w:val="center"/>
          </w:tcPr>
          <w:p w14:paraId="30B33DC0"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253</w:t>
            </w:r>
            <w:r w:rsidRPr="004B26C2">
              <w:rPr>
                <w:rFonts w:ascii="Arial" w:eastAsiaTheme="minorEastAsia" w:hAnsi="Arial" w:cs="Arial" w:hint="eastAsia"/>
                <w:bCs/>
                <w:sz w:val="18"/>
              </w:rPr>
              <w:t xml:space="preserve"> </w:t>
            </w:r>
            <w:r w:rsidRPr="004B26C2">
              <w:rPr>
                <w:rFonts w:ascii="Arial" w:eastAsiaTheme="minorEastAsia" w:hAnsi="Arial" w:cs="Arial"/>
                <w:bCs/>
                <w:sz w:val="18"/>
              </w:rPr>
              <w:t>(217)</w:t>
            </w:r>
          </w:p>
        </w:tc>
        <w:tc>
          <w:tcPr>
            <w:tcW w:w="961" w:type="pct"/>
            <w:tcBorders>
              <w:top w:val="nil"/>
              <w:left w:val="nil"/>
              <w:bottom w:val="nil"/>
              <w:right w:val="nil"/>
            </w:tcBorders>
            <w:tcMar>
              <w:top w:w="9" w:type="dxa"/>
              <w:left w:w="9" w:type="dxa"/>
              <w:bottom w:w="0" w:type="dxa"/>
              <w:right w:w="9" w:type="dxa"/>
            </w:tcMar>
            <w:vAlign w:val="center"/>
          </w:tcPr>
          <w:p w14:paraId="6754A90B"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1.00</w:t>
            </w:r>
            <w:r w:rsidRPr="004B26C2">
              <w:rPr>
                <w:rFonts w:ascii="Arial" w:eastAsiaTheme="minorEastAsia" w:hAnsi="Arial" w:cs="Arial" w:hint="eastAsia"/>
                <w:bCs/>
                <w:sz w:val="18"/>
              </w:rPr>
              <w:t xml:space="preserve"> </w:t>
            </w:r>
            <w:r w:rsidRPr="004B26C2">
              <w:rPr>
                <w:rFonts w:ascii="Arial" w:eastAsiaTheme="minorEastAsia" w:hAnsi="Arial" w:cs="Arial"/>
                <w:bCs/>
                <w:sz w:val="18"/>
              </w:rPr>
              <w:t>(0.86)</w:t>
            </w:r>
          </w:p>
        </w:tc>
        <w:tc>
          <w:tcPr>
            <w:tcW w:w="596" w:type="pct"/>
            <w:tcBorders>
              <w:top w:val="nil"/>
              <w:left w:val="nil"/>
              <w:bottom w:val="nil"/>
              <w:right w:val="nil"/>
            </w:tcBorders>
            <w:tcMar>
              <w:top w:w="9" w:type="dxa"/>
              <w:left w:w="9" w:type="dxa"/>
              <w:bottom w:w="0" w:type="dxa"/>
              <w:right w:w="9" w:type="dxa"/>
            </w:tcMar>
            <w:vAlign w:val="center"/>
          </w:tcPr>
          <w:p w14:paraId="35E5F0F9"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253</w:t>
            </w:r>
          </w:p>
        </w:tc>
        <w:tc>
          <w:tcPr>
            <w:tcW w:w="671" w:type="pct"/>
            <w:tcBorders>
              <w:top w:val="nil"/>
              <w:left w:val="nil"/>
              <w:bottom w:val="nil"/>
              <w:right w:val="nil"/>
            </w:tcBorders>
            <w:tcMar>
              <w:top w:w="9" w:type="dxa"/>
              <w:left w:w="9" w:type="dxa"/>
              <w:bottom w:w="0" w:type="dxa"/>
              <w:right w:w="9" w:type="dxa"/>
            </w:tcMar>
            <w:vAlign w:val="center"/>
          </w:tcPr>
          <w:p w14:paraId="515A6276"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3.38/4.64</w:t>
            </w:r>
            <w:r w:rsidRPr="004B26C2">
              <w:rPr>
                <w:rFonts w:ascii="Arial" w:eastAsiaTheme="minorEastAsia" w:hAnsi="Arial" w:cs="Arial" w:hint="eastAsia"/>
                <w:bCs/>
                <w:sz w:val="18"/>
              </w:rPr>
              <w:t xml:space="preserve"> </w:t>
            </w:r>
            <w:proofErr w:type="spellStart"/>
            <w:r w:rsidRPr="004B26C2">
              <w:rPr>
                <w:rFonts w:ascii="Arial" w:eastAsiaTheme="minorEastAsia" w:hAnsi="Arial" w:cs="Arial"/>
                <w:bCs/>
                <w:sz w:val="18"/>
              </w:rPr>
              <w:t>ms</w:t>
            </w:r>
            <w:proofErr w:type="spellEnd"/>
          </w:p>
        </w:tc>
      </w:tr>
      <w:tr w:rsidR="004B26C2" w:rsidRPr="004B26C2" w14:paraId="20655DAE" w14:textId="77777777" w:rsidTr="0015015B">
        <w:trPr>
          <w:trHeight w:val="520"/>
          <w:jc w:val="center"/>
        </w:trPr>
        <w:tc>
          <w:tcPr>
            <w:tcW w:w="387" w:type="pct"/>
            <w:tcBorders>
              <w:top w:val="nil"/>
              <w:left w:val="nil"/>
              <w:bottom w:val="nil"/>
              <w:right w:val="nil"/>
            </w:tcBorders>
            <w:tcMar>
              <w:top w:w="40" w:type="dxa"/>
              <w:left w:w="81" w:type="dxa"/>
              <w:bottom w:w="40" w:type="dxa"/>
              <w:right w:w="81" w:type="dxa"/>
            </w:tcMar>
            <w:vAlign w:val="center"/>
          </w:tcPr>
          <w:p w14:paraId="391EA4A1" w14:textId="77777777" w:rsidR="004B26C2" w:rsidRPr="004B26C2" w:rsidRDefault="004B26C2" w:rsidP="0015015B">
            <w:pPr>
              <w:pStyle w:val="Body"/>
              <w:spacing w:before="40" w:after="40" w:line="240" w:lineRule="auto"/>
              <w:jc w:val="left"/>
              <w:rPr>
                <w:rFonts w:ascii="Arial" w:eastAsiaTheme="minorEastAsia" w:hAnsi="Arial"/>
                <w:bCs/>
              </w:rPr>
            </w:pPr>
            <w:r w:rsidRPr="004B26C2">
              <w:rPr>
                <w:rFonts w:ascii="Arial" w:eastAsiaTheme="minorEastAsia" w:hAnsi="Arial" w:cs="Arial"/>
                <w:bCs/>
                <w:sz w:val="18"/>
              </w:rPr>
              <w:t>1</w:t>
            </w:r>
          </w:p>
        </w:tc>
        <w:tc>
          <w:tcPr>
            <w:tcW w:w="789" w:type="pct"/>
            <w:tcBorders>
              <w:top w:val="nil"/>
              <w:left w:val="nil"/>
              <w:bottom w:val="nil"/>
              <w:right w:val="nil"/>
            </w:tcBorders>
            <w:tcMar>
              <w:top w:w="40" w:type="dxa"/>
              <w:left w:w="81" w:type="dxa"/>
              <w:bottom w:w="40" w:type="dxa"/>
              <w:right w:w="81" w:type="dxa"/>
            </w:tcMar>
            <w:vAlign w:val="center"/>
          </w:tcPr>
          <w:p w14:paraId="679E852F"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248</w:t>
            </w:r>
            <w:r w:rsidRPr="004B26C2">
              <w:rPr>
                <w:rFonts w:ascii="Arial" w:eastAsiaTheme="minorEastAsia" w:hAnsi="Arial" w:cs="Arial" w:hint="eastAsia"/>
                <w:bCs/>
                <w:sz w:val="18"/>
              </w:rPr>
              <w:t xml:space="preserve"> </w:t>
            </w:r>
            <w:r w:rsidRPr="004B26C2">
              <w:rPr>
                <w:rFonts w:ascii="Arial" w:eastAsiaTheme="minorEastAsia" w:hAnsi="Arial" w:cs="Arial"/>
                <w:bCs/>
                <w:sz w:val="18"/>
              </w:rPr>
              <w:t>(208)</w:t>
            </w:r>
          </w:p>
        </w:tc>
        <w:tc>
          <w:tcPr>
            <w:tcW w:w="268" w:type="pct"/>
            <w:tcBorders>
              <w:top w:val="nil"/>
              <w:left w:val="nil"/>
              <w:bottom w:val="nil"/>
              <w:right w:val="nil"/>
            </w:tcBorders>
            <w:tcMar>
              <w:top w:w="9" w:type="dxa"/>
              <w:left w:w="9" w:type="dxa"/>
              <w:bottom w:w="0" w:type="dxa"/>
              <w:right w:w="9" w:type="dxa"/>
            </w:tcMar>
            <w:vAlign w:val="center"/>
          </w:tcPr>
          <w:p w14:paraId="47684DF7"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270</w:t>
            </w:r>
          </w:p>
        </w:tc>
        <w:tc>
          <w:tcPr>
            <w:tcW w:w="348" w:type="pct"/>
            <w:tcBorders>
              <w:top w:val="nil"/>
              <w:left w:val="nil"/>
              <w:bottom w:val="nil"/>
              <w:right w:val="nil"/>
            </w:tcBorders>
            <w:tcMar>
              <w:top w:w="9" w:type="dxa"/>
              <w:left w:w="9" w:type="dxa"/>
              <w:bottom w:w="0" w:type="dxa"/>
              <w:right w:w="9" w:type="dxa"/>
            </w:tcMar>
            <w:vAlign w:val="center"/>
          </w:tcPr>
          <w:p w14:paraId="0783DA2B"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−0.69</w:t>
            </w:r>
          </w:p>
        </w:tc>
        <w:tc>
          <w:tcPr>
            <w:tcW w:w="980" w:type="pct"/>
            <w:tcBorders>
              <w:top w:val="nil"/>
              <w:left w:val="nil"/>
              <w:bottom w:val="nil"/>
              <w:right w:val="nil"/>
            </w:tcBorders>
            <w:tcMar>
              <w:top w:w="9" w:type="dxa"/>
              <w:left w:w="9" w:type="dxa"/>
              <w:bottom w:w="0" w:type="dxa"/>
              <w:right w:w="9" w:type="dxa"/>
            </w:tcMar>
            <w:vAlign w:val="center"/>
          </w:tcPr>
          <w:p w14:paraId="68556A80"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460</w:t>
            </w:r>
            <w:r w:rsidRPr="004B26C2">
              <w:rPr>
                <w:rFonts w:ascii="Arial" w:eastAsiaTheme="minorEastAsia" w:hAnsi="Arial" w:cs="Arial" w:hint="eastAsia"/>
                <w:bCs/>
                <w:sz w:val="18"/>
              </w:rPr>
              <w:t xml:space="preserve"> </w:t>
            </w:r>
            <w:r w:rsidRPr="004B26C2">
              <w:rPr>
                <w:rFonts w:ascii="Arial" w:eastAsiaTheme="minorEastAsia" w:hAnsi="Arial" w:cs="Arial"/>
                <w:bCs/>
                <w:sz w:val="18"/>
              </w:rPr>
              <w:t>(394)</w:t>
            </w:r>
          </w:p>
        </w:tc>
        <w:tc>
          <w:tcPr>
            <w:tcW w:w="961" w:type="pct"/>
            <w:tcBorders>
              <w:top w:val="nil"/>
              <w:left w:val="nil"/>
              <w:bottom w:val="nil"/>
              <w:right w:val="nil"/>
            </w:tcBorders>
            <w:tcMar>
              <w:top w:w="9" w:type="dxa"/>
              <w:left w:w="9" w:type="dxa"/>
              <w:bottom w:w="0" w:type="dxa"/>
              <w:right w:w="9" w:type="dxa"/>
            </w:tcMar>
            <w:vAlign w:val="center"/>
          </w:tcPr>
          <w:p w14:paraId="2FE3AA43"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1.53</w:t>
            </w:r>
            <w:r w:rsidRPr="004B26C2">
              <w:rPr>
                <w:rFonts w:ascii="Arial" w:eastAsiaTheme="minorEastAsia" w:hAnsi="Arial" w:cs="Arial" w:hint="eastAsia"/>
                <w:bCs/>
                <w:sz w:val="18"/>
              </w:rPr>
              <w:t xml:space="preserve"> </w:t>
            </w:r>
            <w:r w:rsidRPr="004B26C2">
              <w:rPr>
                <w:rFonts w:ascii="Arial" w:eastAsiaTheme="minorEastAsia" w:hAnsi="Arial" w:cs="Arial"/>
                <w:bCs/>
                <w:sz w:val="18"/>
              </w:rPr>
              <w:t>(1.31)</w:t>
            </w:r>
          </w:p>
        </w:tc>
        <w:tc>
          <w:tcPr>
            <w:tcW w:w="596" w:type="pct"/>
            <w:tcBorders>
              <w:top w:val="nil"/>
              <w:left w:val="nil"/>
              <w:bottom w:val="nil"/>
              <w:right w:val="nil"/>
            </w:tcBorders>
            <w:tcMar>
              <w:top w:w="9" w:type="dxa"/>
              <w:left w:w="9" w:type="dxa"/>
              <w:bottom w:w="0" w:type="dxa"/>
              <w:right w:w="9" w:type="dxa"/>
            </w:tcMar>
            <w:vAlign w:val="center"/>
          </w:tcPr>
          <w:p w14:paraId="4C07862F"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300</w:t>
            </w:r>
          </w:p>
        </w:tc>
        <w:tc>
          <w:tcPr>
            <w:tcW w:w="671" w:type="pct"/>
            <w:tcBorders>
              <w:top w:val="nil"/>
              <w:left w:val="nil"/>
              <w:bottom w:val="nil"/>
              <w:right w:val="nil"/>
            </w:tcBorders>
            <w:tcMar>
              <w:top w:w="9" w:type="dxa"/>
              <w:left w:w="9" w:type="dxa"/>
              <w:bottom w:w="0" w:type="dxa"/>
              <w:right w:w="9" w:type="dxa"/>
            </w:tcMar>
            <w:vAlign w:val="center"/>
          </w:tcPr>
          <w:p w14:paraId="57B39B9B"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3.09/3.82</w:t>
            </w:r>
            <w:r w:rsidRPr="004B26C2">
              <w:rPr>
                <w:rFonts w:ascii="Arial" w:eastAsiaTheme="minorEastAsia" w:hAnsi="Arial" w:cs="Arial" w:hint="eastAsia"/>
                <w:bCs/>
                <w:sz w:val="18"/>
              </w:rPr>
              <w:t xml:space="preserve"> </w:t>
            </w:r>
            <w:proofErr w:type="spellStart"/>
            <w:r w:rsidRPr="004B26C2">
              <w:rPr>
                <w:rFonts w:ascii="Arial" w:eastAsiaTheme="minorEastAsia" w:hAnsi="Arial" w:cs="Arial"/>
                <w:bCs/>
                <w:sz w:val="18"/>
              </w:rPr>
              <w:t>ms</w:t>
            </w:r>
            <w:proofErr w:type="spellEnd"/>
          </w:p>
        </w:tc>
      </w:tr>
      <w:tr w:rsidR="004B26C2" w:rsidRPr="004B26C2" w14:paraId="4C63FBF5" w14:textId="77777777" w:rsidTr="0015015B">
        <w:trPr>
          <w:trHeight w:val="520"/>
          <w:jc w:val="center"/>
        </w:trPr>
        <w:tc>
          <w:tcPr>
            <w:tcW w:w="387" w:type="pct"/>
            <w:tcBorders>
              <w:top w:val="nil"/>
              <w:left w:val="nil"/>
              <w:bottom w:val="nil"/>
              <w:right w:val="nil"/>
            </w:tcBorders>
            <w:tcMar>
              <w:top w:w="9" w:type="dxa"/>
              <w:left w:w="9" w:type="dxa"/>
              <w:bottom w:w="0" w:type="dxa"/>
              <w:right w:w="9" w:type="dxa"/>
            </w:tcMar>
            <w:vAlign w:val="center"/>
          </w:tcPr>
          <w:p w14:paraId="6BC7A3EA" w14:textId="77777777" w:rsidR="004B26C2" w:rsidRPr="004B26C2" w:rsidRDefault="004B26C2" w:rsidP="0015015B">
            <w:pPr>
              <w:pStyle w:val="Body"/>
              <w:spacing w:before="40" w:after="40" w:line="240" w:lineRule="auto"/>
              <w:jc w:val="left"/>
              <w:rPr>
                <w:rFonts w:ascii="Arial" w:eastAsiaTheme="minorEastAsia" w:hAnsi="Arial"/>
                <w:bCs/>
              </w:rPr>
            </w:pPr>
            <w:r w:rsidRPr="004B26C2">
              <w:rPr>
                <w:rFonts w:ascii="Arial" w:eastAsiaTheme="minorEastAsia" w:hAnsi="Arial" w:cs="Arial"/>
                <w:bCs/>
                <w:sz w:val="18"/>
              </w:rPr>
              <w:t>2</w:t>
            </w:r>
          </w:p>
        </w:tc>
        <w:tc>
          <w:tcPr>
            <w:tcW w:w="789" w:type="pct"/>
            <w:tcBorders>
              <w:top w:val="nil"/>
              <w:left w:val="nil"/>
              <w:bottom w:val="nil"/>
              <w:right w:val="nil"/>
            </w:tcBorders>
            <w:tcMar>
              <w:top w:w="9" w:type="dxa"/>
              <w:left w:w="9" w:type="dxa"/>
              <w:bottom w:w="0" w:type="dxa"/>
              <w:right w:w="9" w:type="dxa"/>
            </w:tcMar>
            <w:vAlign w:val="center"/>
          </w:tcPr>
          <w:p w14:paraId="64E841B0"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217</w:t>
            </w:r>
            <w:r w:rsidRPr="004B26C2">
              <w:rPr>
                <w:rFonts w:ascii="Arial" w:eastAsiaTheme="minorEastAsia" w:hAnsi="Arial" w:cs="Arial" w:hint="eastAsia"/>
                <w:bCs/>
                <w:sz w:val="18"/>
              </w:rPr>
              <w:t xml:space="preserve"> </w:t>
            </w:r>
            <w:r w:rsidRPr="004B26C2">
              <w:rPr>
                <w:rFonts w:ascii="Arial" w:eastAsiaTheme="minorEastAsia" w:hAnsi="Arial" w:cs="Arial"/>
                <w:bCs/>
                <w:sz w:val="18"/>
              </w:rPr>
              <w:t>(184)</w:t>
            </w:r>
          </w:p>
        </w:tc>
        <w:tc>
          <w:tcPr>
            <w:tcW w:w="268" w:type="pct"/>
            <w:tcBorders>
              <w:top w:val="nil"/>
              <w:left w:val="nil"/>
              <w:bottom w:val="nil"/>
              <w:right w:val="nil"/>
            </w:tcBorders>
            <w:tcMar>
              <w:top w:w="9" w:type="dxa"/>
              <w:left w:w="9" w:type="dxa"/>
              <w:bottom w:w="0" w:type="dxa"/>
              <w:right w:w="9" w:type="dxa"/>
            </w:tcMar>
            <w:vAlign w:val="center"/>
          </w:tcPr>
          <w:p w14:paraId="3D2CFC8A"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308</w:t>
            </w:r>
          </w:p>
        </w:tc>
        <w:tc>
          <w:tcPr>
            <w:tcW w:w="348" w:type="pct"/>
            <w:tcBorders>
              <w:top w:val="nil"/>
              <w:left w:val="nil"/>
              <w:bottom w:val="nil"/>
              <w:right w:val="nil"/>
            </w:tcBorders>
            <w:tcMar>
              <w:top w:w="9" w:type="dxa"/>
              <w:left w:w="9" w:type="dxa"/>
              <w:bottom w:w="0" w:type="dxa"/>
              <w:right w:w="9" w:type="dxa"/>
            </w:tcMar>
            <w:vAlign w:val="center"/>
          </w:tcPr>
          <w:p w14:paraId="01E120CA"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−0.68</w:t>
            </w:r>
          </w:p>
        </w:tc>
        <w:tc>
          <w:tcPr>
            <w:tcW w:w="980" w:type="pct"/>
            <w:tcBorders>
              <w:top w:val="nil"/>
              <w:left w:val="nil"/>
              <w:bottom w:val="nil"/>
              <w:right w:val="nil"/>
            </w:tcBorders>
            <w:tcMar>
              <w:top w:w="9" w:type="dxa"/>
              <w:left w:w="9" w:type="dxa"/>
              <w:bottom w:w="0" w:type="dxa"/>
              <w:right w:w="9" w:type="dxa"/>
            </w:tcMar>
            <w:vAlign w:val="center"/>
          </w:tcPr>
          <w:p w14:paraId="34B39304"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396</w:t>
            </w:r>
            <w:r w:rsidRPr="004B26C2">
              <w:rPr>
                <w:rFonts w:ascii="Arial" w:eastAsiaTheme="minorEastAsia" w:hAnsi="Arial" w:cs="Arial" w:hint="eastAsia"/>
                <w:bCs/>
                <w:sz w:val="18"/>
              </w:rPr>
              <w:t xml:space="preserve"> </w:t>
            </w:r>
            <w:r w:rsidRPr="004B26C2">
              <w:rPr>
                <w:rFonts w:ascii="Arial" w:eastAsiaTheme="minorEastAsia" w:hAnsi="Arial" w:cs="Arial"/>
                <w:bCs/>
                <w:sz w:val="18"/>
              </w:rPr>
              <w:t>(345)</w:t>
            </w:r>
          </w:p>
        </w:tc>
        <w:tc>
          <w:tcPr>
            <w:tcW w:w="961" w:type="pct"/>
            <w:tcBorders>
              <w:top w:val="nil"/>
              <w:left w:val="nil"/>
              <w:bottom w:val="nil"/>
              <w:right w:val="nil"/>
            </w:tcBorders>
            <w:tcMar>
              <w:top w:w="9" w:type="dxa"/>
              <w:left w:w="9" w:type="dxa"/>
              <w:bottom w:w="0" w:type="dxa"/>
              <w:right w:w="9" w:type="dxa"/>
            </w:tcMar>
            <w:vAlign w:val="center"/>
          </w:tcPr>
          <w:p w14:paraId="681BCBAE"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1.36</w:t>
            </w:r>
            <w:r w:rsidRPr="004B26C2">
              <w:rPr>
                <w:rFonts w:ascii="Arial" w:eastAsiaTheme="minorEastAsia" w:hAnsi="Arial" w:cs="Arial" w:hint="eastAsia"/>
                <w:bCs/>
                <w:sz w:val="18"/>
              </w:rPr>
              <w:t xml:space="preserve"> </w:t>
            </w:r>
            <w:r w:rsidRPr="004B26C2">
              <w:rPr>
                <w:rFonts w:ascii="Arial" w:eastAsiaTheme="minorEastAsia" w:hAnsi="Arial" w:cs="Arial"/>
                <w:bCs/>
                <w:sz w:val="18"/>
              </w:rPr>
              <w:t>(1.19)</w:t>
            </w:r>
          </w:p>
        </w:tc>
        <w:tc>
          <w:tcPr>
            <w:tcW w:w="596" w:type="pct"/>
            <w:tcBorders>
              <w:top w:val="nil"/>
              <w:left w:val="nil"/>
              <w:bottom w:val="nil"/>
              <w:right w:val="nil"/>
            </w:tcBorders>
            <w:tcMar>
              <w:top w:w="9" w:type="dxa"/>
              <w:left w:w="9" w:type="dxa"/>
              <w:bottom w:w="0" w:type="dxa"/>
              <w:right w:w="9" w:type="dxa"/>
            </w:tcMar>
            <w:vAlign w:val="center"/>
          </w:tcPr>
          <w:p w14:paraId="0D61D125"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291</w:t>
            </w:r>
          </w:p>
        </w:tc>
        <w:tc>
          <w:tcPr>
            <w:tcW w:w="671" w:type="pct"/>
            <w:tcBorders>
              <w:top w:val="nil"/>
              <w:left w:val="nil"/>
              <w:bottom w:val="nil"/>
              <w:right w:val="nil"/>
            </w:tcBorders>
            <w:tcMar>
              <w:top w:w="9" w:type="dxa"/>
              <w:left w:w="9" w:type="dxa"/>
              <w:bottom w:w="0" w:type="dxa"/>
              <w:right w:w="9" w:type="dxa"/>
            </w:tcMar>
            <w:vAlign w:val="center"/>
          </w:tcPr>
          <w:p w14:paraId="7CA12060" w14:textId="77777777" w:rsidR="004B26C2" w:rsidRPr="004B26C2" w:rsidRDefault="004B26C2" w:rsidP="0015015B">
            <w:pPr>
              <w:pStyle w:val="Body"/>
              <w:spacing w:before="40" w:after="40" w:line="240" w:lineRule="auto"/>
              <w:jc w:val="center"/>
              <w:rPr>
                <w:rFonts w:ascii="Arial" w:eastAsiaTheme="minorEastAsia" w:hAnsi="Arial"/>
                <w:bCs/>
              </w:rPr>
            </w:pPr>
            <w:r w:rsidRPr="004B26C2">
              <w:rPr>
                <w:rFonts w:ascii="Arial" w:eastAsiaTheme="minorEastAsia" w:hAnsi="Arial" w:cs="Arial"/>
                <w:bCs/>
                <w:sz w:val="18"/>
              </w:rPr>
              <w:t>3.51/4.28</w:t>
            </w:r>
            <w:r w:rsidRPr="004B26C2">
              <w:rPr>
                <w:rFonts w:ascii="Arial" w:eastAsiaTheme="minorEastAsia" w:hAnsi="Arial" w:cs="Arial" w:hint="eastAsia"/>
                <w:bCs/>
                <w:sz w:val="18"/>
              </w:rPr>
              <w:t xml:space="preserve"> </w:t>
            </w:r>
            <w:proofErr w:type="spellStart"/>
            <w:r w:rsidRPr="004B26C2">
              <w:rPr>
                <w:rFonts w:ascii="Arial" w:eastAsiaTheme="minorEastAsia" w:hAnsi="Arial" w:cs="Arial"/>
                <w:bCs/>
                <w:sz w:val="18"/>
              </w:rPr>
              <w:t>ms</w:t>
            </w:r>
            <w:proofErr w:type="spellEnd"/>
          </w:p>
        </w:tc>
      </w:tr>
    </w:tbl>
    <w:p w14:paraId="32C5D439" w14:textId="77777777" w:rsidR="004B26C2" w:rsidRDefault="004B26C2" w:rsidP="004B26C2">
      <w:r>
        <w:rPr>
          <w:rFonts w:ascii="Arial" w:eastAsia="Arial" w:hAnsi="Arial" w:cs="Arial"/>
          <w:sz w:val="18"/>
          <w:szCs w:val="18"/>
        </w:rPr>
        <w:t xml:space="preserve">[a] </w:t>
      </w:r>
      <w:proofErr w:type="gramStart"/>
      <w:r>
        <w:rPr>
          <w:rFonts w:ascii="Arial" w:eastAsia="Arial" w:hAnsi="Arial" w:cs="Arial"/>
          <w:sz w:val="18"/>
          <w:szCs w:val="18"/>
        </w:rPr>
        <w:t>The</w:t>
      </w:r>
      <w:proofErr w:type="gramEnd"/>
      <w:r>
        <w:rPr>
          <w:rFonts w:ascii="Arial" w:eastAsia="Arial" w:hAnsi="Arial" w:cs="Arial"/>
          <w:sz w:val="18"/>
          <w:szCs w:val="18"/>
        </w:rPr>
        <w:t xml:space="preserve"> values in parentheses are the average of the measurements of the six devices, and the values outside the parentheses are the maximum of the six devices.</w:t>
      </w:r>
    </w:p>
    <w:p w14:paraId="16A17BA0" w14:textId="77777777" w:rsidR="004B26C2" w:rsidRPr="004B26C2" w:rsidRDefault="004B26C2">
      <w:pPr>
        <w:spacing w:before="160" w:after="60" w:line="480" w:lineRule="auto"/>
        <w:jc w:val="left"/>
        <w:rPr>
          <w:rFonts w:ascii="Arial" w:hAnsi="Arial" w:cs="Arial"/>
          <w:b/>
          <w:szCs w:val="21"/>
        </w:rPr>
      </w:pPr>
    </w:p>
    <w:p w14:paraId="70636940" w14:textId="77777777" w:rsidR="00D91720" w:rsidRDefault="00D91720">
      <w:pPr>
        <w:spacing w:line="480" w:lineRule="auto"/>
        <w:rPr>
          <w:rFonts w:ascii="Arial" w:hAnsi="Arial" w:cs="Arial"/>
        </w:rPr>
      </w:pPr>
    </w:p>
    <w:p w14:paraId="30C9AEF7" w14:textId="77777777" w:rsidR="00D91720" w:rsidRDefault="00D91720">
      <w:pPr>
        <w:spacing w:line="480" w:lineRule="auto"/>
        <w:rPr>
          <w:rFonts w:ascii="Arial" w:hAnsi="Arial" w:cs="Arial"/>
        </w:rPr>
      </w:pPr>
    </w:p>
    <w:p w14:paraId="444A172B" w14:textId="77777777" w:rsidR="00D91720" w:rsidRDefault="00000000">
      <w:pPr>
        <w:spacing w:line="480" w:lineRule="auto"/>
        <w:jc w:val="center"/>
        <w:rPr>
          <w:rFonts w:ascii="Arial" w:hAnsi="Arial" w:cs="Arial"/>
        </w:rPr>
      </w:pPr>
      <w:r>
        <w:rPr>
          <w:rFonts w:ascii="Arial" w:hAnsi="Arial" w:cs="Arial" w:hint="eastAsia"/>
          <w:noProof/>
        </w:rPr>
        <w:lastRenderedPageBreak/>
        <w:drawing>
          <wp:inline distT="0" distB="0" distL="0" distR="0" wp14:anchorId="6CF1596A" wp14:editId="02002CC6">
            <wp:extent cx="3599180" cy="3261995"/>
            <wp:effectExtent l="0" t="0" r="0" b="0"/>
            <wp:docPr id="13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8"/>
                    <pic:cNvPicPr>
                      <a:picLocks noChangeAspect="1" noChangeArrowheads="1"/>
                    </pic:cNvPicPr>
                  </pic:nvPicPr>
                  <pic:blipFill>
                    <a:blip r:embed="rId48"/>
                    <a:srcRect/>
                    <a:stretch>
                      <a:fillRect/>
                    </a:stretch>
                  </pic:blipFill>
                  <pic:spPr>
                    <a:xfrm>
                      <a:off x="0" y="0"/>
                      <a:ext cx="3600979" cy="3263828"/>
                    </a:xfrm>
                    <a:prstGeom prst="rect">
                      <a:avLst/>
                    </a:prstGeom>
                    <a:noFill/>
                    <a:ln>
                      <a:noFill/>
                    </a:ln>
                  </pic:spPr>
                </pic:pic>
              </a:graphicData>
            </a:graphic>
          </wp:inline>
        </w:drawing>
      </w:r>
    </w:p>
    <w:p w14:paraId="69679380" w14:textId="77777777" w:rsidR="00D91720" w:rsidRDefault="00000000">
      <w:pPr>
        <w:spacing w:before="160" w:after="60" w:line="480" w:lineRule="auto"/>
        <w:jc w:val="left"/>
        <w:rPr>
          <w:rFonts w:ascii="Arial" w:eastAsia="等线" w:hAnsi="Arial" w:cs="Arial"/>
          <w:bCs/>
          <w:szCs w:val="21"/>
        </w:rPr>
      </w:pPr>
      <w:r>
        <w:rPr>
          <w:rFonts w:ascii="Arial" w:eastAsia="Arial" w:hAnsi="Arial" w:cs="Arial"/>
          <w:b/>
          <w:bCs/>
          <w:szCs w:val="21"/>
        </w:rPr>
        <w:t xml:space="preserve">Supplementary Fig. 36 </w:t>
      </w:r>
      <w:r>
        <w:rPr>
          <w:rFonts w:ascii="Arial" w:eastAsia="Arial" w:hAnsi="Arial" w:cs="Arial"/>
          <w:szCs w:val="21"/>
        </w:rPr>
        <w:t xml:space="preserve">| Comparison of the </w:t>
      </w:r>
      <w:proofErr w:type="spellStart"/>
      <w:r w:rsidRPr="007D1771">
        <w:rPr>
          <w:rFonts w:ascii="Arial" w:eastAsia="Arial" w:hAnsi="Arial" w:cs="Arial"/>
          <w:i/>
          <w:iCs/>
          <w:szCs w:val="21"/>
        </w:rPr>
        <w:t>μC</w:t>
      </w:r>
      <w:proofErr w:type="spellEnd"/>
      <w:r>
        <w:rPr>
          <w:rFonts w:ascii="Arial" w:eastAsia="Arial" w:hAnsi="Arial" w:cs="Arial"/>
          <w:szCs w:val="21"/>
        </w:rPr>
        <w:t>* of PBFDO-based OECT devices in this work with that reported in the literature.</w:t>
      </w:r>
    </w:p>
    <w:p w14:paraId="45928F42" w14:textId="77777777" w:rsidR="00D91720" w:rsidRDefault="00D91720">
      <w:pPr>
        <w:spacing w:line="360" w:lineRule="auto"/>
        <w:jc w:val="left"/>
      </w:pPr>
    </w:p>
    <w:p w14:paraId="228EB730" w14:textId="77777777" w:rsidR="00D91720" w:rsidRDefault="00000000">
      <w:pPr>
        <w:spacing w:line="360" w:lineRule="auto"/>
        <w:jc w:val="left"/>
      </w:pPr>
      <w:r>
        <w:rPr>
          <w:noProof/>
        </w:rPr>
        <w:drawing>
          <wp:inline distT="0" distB="0" distL="114300" distR="114300" wp14:anchorId="5BC265BF" wp14:editId="4BC6249C">
            <wp:extent cx="5268595" cy="3132455"/>
            <wp:effectExtent l="0" t="0" r="8255" b="0"/>
            <wp:docPr id="1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
                    <pic:cNvPicPr>
                      <a:picLocks noChangeAspect="1"/>
                    </pic:cNvPicPr>
                  </pic:nvPicPr>
                  <pic:blipFill>
                    <a:blip r:embed="rId49"/>
                    <a:stretch>
                      <a:fillRect/>
                    </a:stretch>
                  </pic:blipFill>
                  <pic:spPr>
                    <a:xfrm>
                      <a:off x="0" y="0"/>
                      <a:ext cx="5268595" cy="3132455"/>
                    </a:xfrm>
                    <a:prstGeom prst="rect">
                      <a:avLst/>
                    </a:prstGeom>
                    <a:noFill/>
                    <a:ln>
                      <a:noFill/>
                    </a:ln>
                  </pic:spPr>
                </pic:pic>
              </a:graphicData>
            </a:graphic>
          </wp:inline>
        </w:drawing>
      </w:r>
    </w:p>
    <w:p w14:paraId="5816689B" w14:textId="6D2457F9" w:rsidR="004563D3" w:rsidRDefault="00000000">
      <w:pPr>
        <w:spacing w:before="160" w:after="60" w:line="360" w:lineRule="auto"/>
        <w:jc w:val="left"/>
        <w:rPr>
          <w:rFonts w:ascii="Arial" w:eastAsia="Arial" w:hAnsi="Arial" w:cs="Arial"/>
          <w:szCs w:val="21"/>
        </w:rPr>
      </w:pPr>
      <w:r>
        <w:rPr>
          <w:rFonts w:ascii="Arial" w:eastAsia="Arial" w:hAnsi="Arial" w:cs="Arial"/>
          <w:b/>
          <w:bCs/>
          <w:szCs w:val="21"/>
        </w:rPr>
        <w:t xml:space="preserve">Supplementary Fig. 37 </w:t>
      </w:r>
      <w:r>
        <w:rPr>
          <w:rFonts w:ascii="Arial" w:eastAsia="Arial" w:hAnsi="Arial" w:cs="Arial"/>
          <w:szCs w:val="21"/>
        </w:rPr>
        <w:t>| (a-c) capacitance behavior (d-f) Bode and phase plots of samples synthesized with different S loadings, measured by electrochemical impedance spectroscopy during electrochemical oxidation and reduction. The sample size n = 3, and the error bar indicates the mean ± standard deviation.</w:t>
      </w:r>
      <w:r w:rsidR="004563D3">
        <w:rPr>
          <w:rFonts w:ascii="Arial" w:eastAsia="Arial" w:hAnsi="Arial" w:cs="Arial"/>
          <w:szCs w:val="21"/>
        </w:rPr>
        <w:br w:type="page"/>
      </w:r>
    </w:p>
    <w:p w14:paraId="1DB398EB" w14:textId="1CAF6E5E" w:rsidR="00D91720" w:rsidRDefault="00000000">
      <w:pPr>
        <w:numPr>
          <w:ilvl w:val="0"/>
          <w:numId w:val="2"/>
        </w:numPr>
        <w:spacing w:before="200" w:after="100" w:line="480" w:lineRule="auto"/>
        <w:jc w:val="left"/>
        <w:rPr>
          <w:rFonts w:ascii="Arial" w:eastAsia="等线" w:hAnsi="Arial" w:cs="Arial"/>
          <w:bCs/>
          <w:szCs w:val="21"/>
        </w:rPr>
      </w:pPr>
      <w:r>
        <w:rPr>
          <w:rFonts w:ascii="Arial" w:eastAsia="Arial" w:hAnsi="Arial" w:cs="Arial"/>
          <w:b/>
          <w:sz w:val="24"/>
          <w:szCs w:val="24"/>
        </w:rPr>
        <w:lastRenderedPageBreak/>
        <w:t>Scale-up synthesis of PBFDO</w:t>
      </w:r>
    </w:p>
    <w:p w14:paraId="0DFE42C5" w14:textId="77777777" w:rsidR="00D91720" w:rsidRDefault="00000000">
      <w:pPr>
        <w:spacing w:after="100" w:line="480" w:lineRule="auto"/>
        <w:ind w:firstLineChars="200" w:firstLine="400"/>
        <w:rPr>
          <w:rFonts w:ascii="Arial" w:hAnsi="Arial" w:cs="Arial"/>
        </w:rPr>
      </w:pPr>
      <w:r>
        <w:rPr>
          <w:rFonts w:ascii="Arial" w:eastAsia="Arial" w:hAnsi="Arial" w:cs="Arial"/>
          <w:szCs w:val="21"/>
        </w:rPr>
        <w:t xml:space="preserve">BFDO monomer (2.5 g, 1 eq.) and S8 (0.42 g, 1 eq. S) were added to 500 mL of dimethyl sulfoxide under nitrogen atmosphere. The mixture was stirred at 120 °C. During polymerization, monomer conversion was monitored by thin-layer chromatography (TLC) and 1H NMR until complete polymerization (Supplementary Fig. 39). The total reaction time was 7 h. After cooling to room temperature, the solution was filtered through a 0.22 </w:t>
      </w:r>
      <w:proofErr w:type="spellStart"/>
      <w:r>
        <w:rPr>
          <w:rFonts w:ascii="Arial" w:eastAsia="Arial" w:hAnsi="Arial" w:cs="Arial"/>
          <w:szCs w:val="21"/>
        </w:rPr>
        <w:t>μm</w:t>
      </w:r>
      <w:proofErr w:type="spellEnd"/>
      <w:r>
        <w:rPr>
          <w:rFonts w:ascii="Arial" w:eastAsia="Arial" w:hAnsi="Arial" w:cs="Arial"/>
          <w:szCs w:val="21"/>
        </w:rPr>
        <w:t xml:space="preserve"> PTFE membrane to obtain PBFDO ink.</w:t>
      </w:r>
    </w:p>
    <w:p w14:paraId="6E543969" w14:textId="77777777" w:rsidR="00D91720" w:rsidRDefault="00000000">
      <w:pPr>
        <w:spacing w:line="480" w:lineRule="auto"/>
        <w:rPr>
          <w:rFonts w:ascii="Arial" w:hAnsi="Arial" w:cs="Arial"/>
        </w:rPr>
      </w:pPr>
      <w:r>
        <w:rPr>
          <w:noProof/>
        </w:rPr>
        <w:drawing>
          <wp:inline distT="0" distB="0" distL="114300" distR="114300" wp14:anchorId="0B774573" wp14:editId="79AFF8E8">
            <wp:extent cx="5400040" cy="1325880"/>
            <wp:effectExtent l="0" t="0" r="10160" b="0"/>
            <wp:docPr id="13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42"/>
                    <pic:cNvPicPr>
                      <a:picLocks noChangeAspect="1"/>
                    </pic:cNvPicPr>
                  </pic:nvPicPr>
                  <pic:blipFill>
                    <a:blip r:embed="rId50"/>
                    <a:stretch>
                      <a:fillRect/>
                    </a:stretch>
                  </pic:blipFill>
                  <pic:spPr>
                    <a:xfrm>
                      <a:off x="0" y="0"/>
                      <a:ext cx="5400040" cy="1325880"/>
                    </a:xfrm>
                    <a:prstGeom prst="rect">
                      <a:avLst/>
                    </a:prstGeom>
                    <a:noFill/>
                    <a:ln>
                      <a:noFill/>
                    </a:ln>
                  </pic:spPr>
                </pic:pic>
              </a:graphicData>
            </a:graphic>
          </wp:inline>
        </w:drawing>
      </w:r>
    </w:p>
    <w:p w14:paraId="302B53AD" w14:textId="77777777" w:rsidR="00D91720" w:rsidRDefault="00000000">
      <w:pPr>
        <w:spacing w:before="160" w:after="60" w:line="480" w:lineRule="auto"/>
        <w:jc w:val="left"/>
        <w:rPr>
          <w:rFonts w:ascii="Arial" w:hAnsi="Arial" w:cs="Arial"/>
        </w:rPr>
      </w:pPr>
      <w:r w:rsidRPr="009D0187">
        <w:rPr>
          <w:rFonts w:ascii="Arial" w:eastAsia="Arial" w:hAnsi="Arial" w:cs="Arial"/>
          <w:b/>
          <w:bCs/>
          <w:szCs w:val="21"/>
        </w:rPr>
        <w:t>Supplementary Fig. 38</w:t>
      </w:r>
      <w:r>
        <w:rPr>
          <w:rFonts w:ascii="Arial" w:eastAsia="Arial" w:hAnsi="Arial" w:cs="Arial"/>
          <w:szCs w:val="21"/>
        </w:rPr>
        <w:t xml:space="preserve"> | The scaled-up synthesis of PBFDO (500 mL).</w:t>
      </w:r>
    </w:p>
    <w:p w14:paraId="0935E84C" w14:textId="737081B0" w:rsidR="00D91720" w:rsidRDefault="00D91720">
      <w:pPr>
        <w:spacing w:line="480" w:lineRule="auto"/>
        <w:rPr>
          <w:rFonts w:ascii="Arial" w:hAnsi="Arial" w:cs="Arial"/>
          <w:noProof/>
        </w:rPr>
      </w:pPr>
    </w:p>
    <w:p w14:paraId="741D53EB" w14:textId="0B9DA6B0" w:rsidR="00D91720" w:rsidRDefault="009D0187">
      <w:pPr>
        <w:spacing w:line="480" w:lineRule="auto"/>
        <w:jc w:val="center"/>
        <w:rPr>
          <w:rFonts w:ascii="Arial" w:hAnsi="Arial" w:cs="Arial"/>
        </w:rPr>
      </w:pPr>
      <w:r>
        <w:rPr>
          <w:noProof/>
        </w:rPr>
        <w:drawing>
          <wp:inline distT="0" distB="0" distL="0" distR="0" wp14:anchorId="3A105C78" wp14:editId="00AFB200">
            <wp:extent cx="6188710" cy="2532380"/>
            <wp:effectExtent l="0" t="0" r="2540" b="1270"/>
            <wp:docPr id="4075854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585487" name=""/>
                    <pic:cNvPicPr/>
                  </pic:nvPicPr>
                  <pic:blipFill>
                    <a:blip r:embed="rId51"/>
                    <a:stretch>
                      <a:fillRect/>
                    </a:stretch>
                  </pic:blipFill>
                  <pic:spPr>
                    <a:xfrm>
                      <a:off x="0" y="0"/>
                      <a:ext cx="6188710" cy="2532380"/>
                    </a:xfrm>
                    <a:prstGeom prst="rect">
                      <a:avLst/>
                    </a:prstGeom>
                  </pic:spPr>
                </pic:pic>
              </a:graphicData>
            </a:graphic>
          </wp:inline>
        </w:drawing>
      </w:r>
    </w:p>
    <w:p w14:paraId="242953F0" w14:textId="7539D236" w:rsidR="009D0187" w:rsidRDefault="00000000">
      <w:pPr>
        <w:spacing w:before="160" w:after="60" w:line="480" w:lineRule="auto"/>
        <w:jc w:val="left"/>
        <w:rPr>
          <w:rFonts w:ascii="Arial" w:eastAsia="Arial" w:hAnsi="Arial" w:cs="Arial"/>
          <w:szCs w:val="21"/>
        </w:rPr>
      </w:pPr>
      <w:r w:rsidRPr="009D0187">
        <w:rPr>
          <w:rFonts w:ascii="Arial" w:eastAsia="Arial" w:hAnsi="Arial" w:cs="Arial"/>
          <w:b/>
          <w:bCs/>
          <w:szCs w:val="21"/>
        </w:rPr>
        <w:t>Supplementary Fig. 39</w:t>
      </w:r>
      <w:r w:rsidRPr="009D0187">
        <w:rPr>
          <w:rFonts w:ascii="Arial" w:eastAsia="Arial" w:hAnsi="Arial" w:cs="Arial"/>
          <w:szCs w:val="21"/>
        </w:rPr>
        <w:t xml:space="preserve"> | </w:t>
      </w:r>
      <w:r w:rsidRPr="009D0187">
        <w:rPr>
          <w:rFonts w:ascii="Arial" w:eastAsia="Arial" w:hAnsi="Arial" w:cs="Arial"/>
          <w:szCs w:val="21"/>
          <w:vertAlign w:val="superscript"/>
        </w:rPr>
        <w:t>1</w:t>
      </w:r>
      <w:r w:rsidRPr="009D0187">
        <w:rPr>
          <w:rFonts w:ascii="Arial" w:eastAsia="Arial" w:hAnsi="Arial" w:cs="Arial"/>
          <w:szCs w:val="21"/>
        </w:rPr>
        <w:t>H NMR spectrum of BFDO monomer and 500 mL reaction mixture after 7 hours.</w:t>
      </w:r>
      <w:r w:rsidR="009D0187">
        <w:rPr>
          <w:rFonts w:ascii="Arial" w:eastAsia="Arial" w:hAnsi="Arial" w:cs="Arial"/>
          <w:szCs w:val="21"/>
        </w:rPr>
        <w:br w:type="page"/>
      </w:r>
    </w:p>
    <w:p w14:paraId="60E8F3BD" w14:textId="76F906B9" w:rsidR="00D91720" w:rsidRPr="009D0187" w:rsidRDefault="00000000" w:rsidP="009D0187">
      <w:pPr>
        <w:numPr>
          <w:ilvl w:val="0"/>
          <w:numId w:val="2"/>
        </w:numPr>
        <w:spacing w:before="200" w:after="100" w:line="480" w:lineRule="auto"/>
        <w:jc w:val="left"/>
        <w:rPr>
          <w:rFonts w:ascii="Arial" w:eastAsia="Arial" w:hAnsi="Arial" w:cs="Arial"/>
          <w:b/>
          <w:sz w:val="24"/>
          <w:szCs w:val="24"/>
        </w:rPr>
      </w:pPr>
      <w:r w:rsidRPr="009D0187">
        <w:rPr>
          <w:rFonts w:ascii="Arial" w:eastAsia="Arial" w:hAnsi="Arial" w:cs="Arial"/>
          <w:b/>
          <w:sz w:val="24"/>
          <w:szCs w:val="24"/>
        </w:rPr>
        <w:lastRenderedPageBreak/>
        <w:t>Additional device characterization</w:t>
      </w:r>
    </w:p>
    <w:p w14:paraId="25ED5F5F" w14:textId="77777777" w:rsidR="00D91720" w:rsidRDefault="00000000">
      <w:pPr>
        <w:spacing w:line="480" w:lineRule="auto"/>
        <w:jc w:val="center"/>
      </w:pPr>
      <w:r>
        <w:rPr>
          <w:noProof/>
        </w:rPr>
        <w:drawing>
          <wp:inline distT="0" distB="0" distL="0" distR="0" wp14:anchorId="29CABA3E" wp14:editId="7E836B4E">
            <wp:extent cx="3556000" cy="3276600"/>
            <wp:effectExtent l="0" t="0" r="6350" b="0"/>
            <wp:docPr id="146" name="picture"/>
            <wp:cNvGraphicFramePr/>
            <a:graphic xmlns:a="http://schemas.openxmlformats.org/drawingml/2006/main">
              <a:graphicData uri="http://schemas.openxmlformats.org/drawingml/2006/picture">
                <pic:pic xmlns:pic="http://schemas.openxmlformats.org/drawingml/2006/picture">
                  <pic:nvPicPr>
                    <pic:cNvPr id="147" name="picture"/>
                    <pic:cNvPicPr/>
                  </pic:nvPicPr>
                  <pic:blipFill rotWithShape="1">
                    <a:blip r:embed="rId52"/>
                    <a:stretch>
                      <a:fillRect/>
                    </a:stretch>
                  </pic:blipFill>
                  <pic:spPr>
                    <a:xfrm>
                      <a:off x="0" y="0"/>
                      <a:ext cx="3556000" cy="3276600"/>
                    </a:xfrm>
                    <a:prstGeom prst="rect">
                      <a:avLst/>
                    </a:prstGeom>
                  </pic:spPr>
                </pic:pic>
              </a:graphicData>
            </a:graphic>
          </wp:inline>
        </w:drawing>
      </w:r>
    </w:p>
    <w:p w14:paraId="1E709263" w14:textId="77777777" w:rsidR="00D91720" w:rsidRPr="009D0187" w:rsidRDefault="00000000">
      <w:pPr>
        <w:spacing w:before="160" w:after="60" w:line="480" w:lineRule="auto"/>
        <w:jc w:val="left"/>
        <w:rPr>
          <w:rFonts w:ascii="Arial" w:hAnsi="Arial" w:cs="Arial"/>
        </w:rPr>
      </w:pPr>
      <w:r w:rsidRPr="009D0187">
        <w:rPr>
          <w:rFonts w:ascii="Arial" w:hAnsi="Arial" w:cs="Arial"/>
          <w:b/>
          <w:bCs/>
        </w:rPr>
        <w:t>Supplementary Fig. 40</w:t>
      </w:r>
      <w:r w:rsidRPr="009D0187">
        <w:rPr>
          <w:rFonts w:ascii="Arial" w:hAnsi="Arial" w:cs="Arial"/>
        </w:rPr>
        <w:t xml:space="preserve"> | Conductivity retention of the 500 mL scaled-up PBFDO ink stored in air over 60 days. The ink retained 92% of its initial conductivity (1257 ± 20 S cm−1) after 60 days.</w:t>
      </w:r>
    </w:p>
    <w:p w14:paraId="5FAC8F65" w14:textId="77777777" w:rsidR="00D91720" w:rsidRDefault="00000000">
      <w:pPr>
        <w:spacing w:line="480" w:lineRule="auto"/>
        <w:jc w:val="center"/>
      </w:pPr>
      <w:r>
        <w:rPr>
          <w:noProof/>
        </w:rPr>
        <w:drawing>
          <wp:inline distT="0" distB="0" distL="0" distR="0" wp14:anchorId="7994F507" wp14:editId="79961078">
            <wp:extent cx="3568700" cy="3511550"/>
            <wp:effectExtent l="0" t="0" r="0" b="0"/>
            <wp:docPr id="149" name="picture"/>
            <wp:cNvGraphicFramePr/>
            <a:graphic xmlns:a="http://schemas.openxmlformats.org/drawingml/2006/main">
              <a:graphicData uri="http://schemas.openxmlformats.org/drawingml/2006/picture">
                <pic:pic xmlns:pic="http://schemas.openxmlformats.org/drawingml/2006/picture">
                  <pic:nvPicPr>
                    <pic:cNvPr id="150" name="picture"/>
                    <pic:cNvPicPr/>
                  </pic:nvPicPr>
                  <pic:blipFill rotWithShape="1">
                    <a:blip r:embed="rId53"/>
                    <a:stretch>
                      <a:fillRect/>
                    </a:stretch>
                  </pic:blipFill>
                  <pic:spPr>
                    <a:xfrm>
                      <a:off x="0" y="0"/>
                      <a:ext cx="3568700" cy="3511550"/>
                    </a:xfrm>
                    <a:prstGeom prst="rect">
                      <a:avLst/>
                    </a:prstGeom>
                  </pic:spPr>
                </pic:pic>
              </a:graphicData>
            </a:graphic>
          </wp:inline>
        </w:drawing>
      </w:r>
    </w:p>
    <w:p w14:paraId="7A05EEB4" w14:textId="77777777" w:rsidR="00D91720" w:rsidRPr="009D0187" w:rsidRDefault="00000000">
      <w:pPr>
        <w:spacing w:before="160" w:after="60" w:line="480" w:lineRule="auto"/>
        <w:jc w:val="left"/>
        <w:rPr>
          <w:rFonts w:ascii="Arial" w:hAnsi="Arial" w:cs="Arial"/>
        </w:rPr>
      </w:pPr>
      <w:r w:rsidRPr="009D0187">
        <w:rPr>
          <w:rFonts w:ascii="Arial" w:hAnsi="Arial" w:cs="Arial"/>
          <w:b/>
          <w:bCs/>
        </w:rPr>
        <w:t>Supplementary Fig. 41</w:t>
      </w:r>
      <w:r w:rsidRPr="009D0187">
        <w:rPr>
          <w:rFonts w:ascii="Arial" w:hAnsi="Arial" w:cs="Arial"/>
        </w:rPr>
        <w:t xml:space="preserve"> | Device architecture of the p–n complementary inverter based on n-type PBFDO and p-type P(g42T-TT).</w:t>
      </w:r>
    </w:p>
    <w:p w14:paraId="50A36780" w14:textId="77777777" w:rsidR="00D91720" w:rsidRDefault="00000000">
      <w:pPr>
        <w:spacing w:line="480" w:lineRule="auto"/>
        <w:jc w:val="center"/>
      </w:pPr>
      <w:r>
        <w:rPr>
          <w:noProof/>
        </w:rPr>
        <w:lastRenderedPageBreak/>
        <w:drawing>
          <wp:inline distT="0" distB="0" distL="0" distR="0" wp14:anchorId="3B7FF123" wp14:editId="6576AF21">
            <wp:extent cx="4133850" cy="3460750"/>
            <wp:effectExtent l="0" t="0" r="0" b="6350"/>
            <wp:docPr id="152" name="picture"/>
            <wp:cNvGraphicFramePr/>
            <a:graphic xmlns:a="http://schemas.openxmlformats.org/drawingml/2006/main">
              <a:graphicData uri="http://schemas.openxmlformats.org/drawingml/2006/picture">
                <pic:pic xmlns:pic="http://schemas.openxmlformats.org/drawingml/2006/picture">
                  <pic:nvPicPr>
                    <pic:cNvPr id="153" name="picture"/>
                    <pic:cNvPicPr/>
                  </pic:nvPicPr>
                  <pic:blipFill rotWithShape="1">
                    <a:blip r:embed="rId54"/>
                    <a:stretch>
                      <a:fillRect/>
                    </a:stretch>
                  </pic:blipFill>
                  <pic:spPr>
                    <a:xfrm>
                      <a:off x="0" y="0"/>
                      <a:ext cx="4133850" cy="3460750"/>
                    </a:xfrm>
                    <a:prstGeom prst="rect">
                      <a:avLst/>
                    </a:prstGeom>
                  </pic:spPr>
                </pic:pic>
              </a:graphicData>
            </a:graphic>
          </wp:inline>
        </w:drawing>
      </w:r>
    </w:p>
    <w:p w14:paraId="27C679EF" w14:textId="1FF44950" w:rsidR="009D0187" w:rsidRPr="009D0187" w:rsidRDefault="00000000">
      <w:pPr>
        <w:spacing w:before="160" w:after="60" w:line="480" w:lineRule="auto"/>
        <w:jc w:val="left"/>
        <w:rPr>
          <w:rFonts w:ascii="Arial" w:hAnsi="Arial" w:cs="Arial"/>
        </w:rPr>
      </w:pPr>
      <w:r w:rsidRPr="009D0187">
        <w:rPr>
          <w:rFonts w:ascii="Arial" w:hAnsi="Arial" w:cs="Arial"/>
          <w:b/>
          <w:bCs/>
        </w:rPr>
        <w:t>Supplementary Fig. 42</w:t>
      </w:r>
      <w:r w:rsidRPr="009D0187">
        <w:rPr>
          <w:rFonts w:ascii="Arial" w:hAnsi="Arial" w:cs="Arial"/>
        </w:rPr>
        <w:t xml:space="preserve"> | Transfer curves of p-type P(g42T-TT) and n-type PBFDO recorded in 0.1 M NaCl.</w:t>
      </w:r>
      <w:r w:rsidR="009D0187" w:rsidRPr="009D0187">
        <w:rPr>
          <w:rFonts w:ascii="Arial" w:hAnsi="Arial" w:cs="Arial"/>
        </w:rPr>
        <w:br w:type="page"/>
      </w:r>
    </w:p>
    <w:p w14:paraId="044096E7" w14:textId="7D66F9AB" w:rsidR="00D91720" w:rsidRDefault="00000000">
      <w:pPr>
        <w:numPr>
          <w:ilvl w:val="0"/>
          <w:numId w:val="2"/>
        </w:numPr>
        <w:spacing w:before="200" w:after="100" w:line="480" w:lineRule="auto"/>
        <w:jc w:val="left"/>
        <w:rPr>
          <w:rFonts w:ascii="Arial" w:eastAsia="等线" w:hAnsi="Arial" w:cs="Arial"/>
          <w:b/>
          <w:sz w:val="24"/>
          <w:szCs w:val="24"/>
        </w:rPr>
      </w:pPr>
      <w:r>
        <w:rPr>
          <w:rFonts w:ascii="Arial" w:eastAsia="Arial" w:hAnsi="Arial" w:cs="Arial"/>
          <w:b/>
          <w:sz w:val="24"/>
          <w:szCs w:val="24"/>
        </w:rPr>
        <w:lastRenderedPageBreak/>
        <w:t>References</w:t>
      </w:r>
    </w:p>
    <w:p w14:paraId="3CE9BD90" w14:textId="77777777" w:rsidR="00D91720" w:rsidRDefault="00000000">
      <w:pPr>
        <w:pStyle w:val="EndNoteBibliography0"/>
        <w:spacing w:after="40" w:line="360" w:lineRule="auto"/>
        <w:jc w:val="left"/>
        <w:rPr>
          <w:rFonts w:ascii="Arial" w:hAnsi="Arial" w:cs="Arial"/>
          <w:noProof/>
          <w:sz w:val="21"/>
          <w:szCs w:val="21"/>
        </w:rPr>
      </w:pPr>
      <w:r>
        <w:rPr>
          <w:rFonts w:ascii="Arial" w:eastAsia="Arial" w:hAnsi="Arial" w:cs="Arial"/>
          <w:sz w:val="18"/>
          <w:szCs w:val="21"/>
        </w:rPr>
        <w:t xml:space="preserve">[1] Liu, G., Pal, U., Samal, S., </w:t>
      </w:r>
      <w:proofErr w:type="spellStart"/>
      <w:r>
        <w:rPr>
          <w:rFonts w:ascii="Arial" w:eastAsia="Arial" w:hAnsi="Arial" w:cs="Arial"/>
          <w:sz w:val="18"/>
          <w:szCs w:val="21"/>
        </w:rPr>
        <w:t>Espenship</w:t>
      </w:r>
      <w:proofErr w:type="spellEnd"/>
      <w:r>
        <w:rPr>
          <w:rFonts w:ascii="Arial" w:eastAsia="Arial" w:hAnsi="Arial" w:cs="Arial"/>
          <w:sz w:val="18"/>
          <w:szCs w:val="21"/>
        </w:rPr>
        <w:t>, M. F., Li, Y. et al. Catalytic polymerization of n-doped poly(</w:t>
      </w:r>
      <w:proofErr w:type="spellStart"/>
      <w:r>
        <w:rPr>
          <w:rFonts w:ascii="Arial" w:eastAsia="Arial" w:hAnsi="Arial" w:cs="Arial"/>
          <w:sz w:val="18"/>
          <w:szCs w:val="21"/>
        </w:rPr>
        <w:t>benzodifurandione</w:t>
      </w:r>
      <w:proofErr w:type="spellEnd"/>
      <w:r>
        <w:rPr>
          <w:rFonts w:ascii="Arial" w:eastAsia="Arial" w:hAnsi="Arial" w:cs="Arial"/>
          <w:sz w:val="18"/>
          <w:szCs w:val="21"/>
        </w:rPr>
        <w:t xml:space="preserve">) (n-PBDF) using parts per million (ppm) levels of molybdenum trioxide. </w:t>
      </w:r>
      <w:proofErr w:type="spellStart"/>
      <w:r>
        <w:rPr>
          <w:rFonts w:ascii="Arial" w:eastAsia="Arial" w:hAnsi="Arial" w:cs="Arial"/>
          <w:sz w:val="18"/>
          <w:szCs w:val="21"/>
        </w:rPr>
        <w:t>Angew</w:t>
      </w:r>
      <w:proofErr w:type="spellEnd"/>
      <w:r>
        <w:rPr>
          <w:rFonts w:ascii="Arial" w:eastAsia="Arial" w:hAnsi="Arial" w:cs="Arial"/>
          <w:sz w:val="18"/>
          <w:szCs w:val="21"/>
        </w:rPr>
        <w:t>. Chem. Int. Ed. 64, e202510411 (2025).</w:t>
      </w:r>
    </w:p>
    <w:p w14:paraId="6E1A0624" w14:textId="77777777" w:rsidR="00D91720" w:rsidRDefault="00000000">
      <w:pPr>
        <w:pStyle w:val="EndNoteBibliography0"/>
        <w:spacing w:after="40" w:line="360" w:lineRule="auto"/>
        <w:jc w:val="left"/>
        <w:rPr>
          <w:rFonts w:ascii="Arial" w:hAnsi="Arial" w:cs="Arial"/>
          <w:noProof/>
          <w:sz w:val="21"/>
          <w:szCs w:val="21"/>
        </w:rPr>
      </w:pPr>
      <w:r>
        <w:rPr>
          <w:rFonts w:ascii="Arial" w:eastAsia="Arial" w:hAnsi="Arial" w:cs="Arial"/>
          <w:noProof/>
          <w:sz w:val="18"/>
          <w:szCs w:val="21"/>
        </w:rPr>
        <w:t>[2] Huang, Y., Yu, Y., Hu, R. &amp; Tang, B. Z. Multicomponent polymerizations of elemental sulfur, CH</w:t>
      </w:r>
      <w:r>
        <w:rPr>
          <w:rFonts w:ascii="Arial" w:eastAsia="Arial" w:hAnsi="Arial" w:cs="Arial"/>
          <w:noProof/>
          <w:sz w:val="18"/>
          <w:szCs w:val="21"/>
          <w:vertAlign w:val="subscript"/>
        </w:rPr>
        <w:t>2</w:t>
      </w:r>
      <w:r>
        <w:rPr>
          <w:rFonts w:ascii="Arial" w:eastAsia="Arial" w:hAnsi="Arial" w:cs="Arial"/>
          <w:noProof/>
          <w:sz w:val="18"/>
          <w:szCs w:val="21"/>
        </w:rPr>
        <w:t>Cl</w:t>
      </w:r>
      <w:r>
        <w:rPr>
          <w:rFonts w:ascii="Arial" w:eastAsia="Arial" w:hAnsi="Arial" w:cs="Arial"/>
          <w:noProof/>
          <w:sz w:val="18"/>
          <w:szCs w:val="21"/>
          <w:vertAlign w:val="subscript"/>
        </w:rPr>
        <w:t>2</w:t>
      </w:r>
      <w:r>
        <w:rPr>
          <w:rFonts w:ascii="Arial" w:eastAsia="Arial" w:hAnsi="Arial" w:cs="Arial"/>
          <w:noProof/>
          <w:sz w:val="18"/>
          <w:szCs w:val="21"/>
        </w:rPr>
        <w:t>, and aromatic amines toward chemically recyclable functional aromatic polythioureas. J. Am. Chem. Soc. 146, 14685–14696 (2024).</w:t>
      </w:r>
    </w:p>
    <w:p w14:paraId="776A8232" w14:textId="77777777" w:rsidR="00D91720" w:rsidRDefault="00000000">
      <w:pPr>
        <w:pStyle w:val="EndNoteBibliography0"/>
        <w:spacing w:after="40" w:line="360" w:lineRule="auto"/>
        <w:jc w:val="left"/>
        <w:rPr>
          <w:rFonts w:ascii="Arial" w:hAnsi="Arial" w:cs="Arial"/>
          <w:noProof/>
          <w:sz w:val="21"/>
          <w:szCs w:val="21"/>
        </w:rPr>
      </w:pPr>
      <w:r>
        <w:rPr>
          <w:rFonts w:ascii="Arial" w:eastAsia="Arial" w:hAnsi="Arial" w:cs="Arial"/>
          <w:noProof/>
          <w:sz w:val="18"/>
          <w:szCs w:val="21"/>
        </w:rPr>
        <w:t>[3] Smart, R. S. C., Skinner, W. M. &amp; Gerson, A. R. XPS of sulphide mineral surfaces: metal-deficient, polysulphides, defects and elemental sulphur. Surf. Interface Anal. 28, 101–105 (1999).</w:t>
      </w:r>
    </w:p>
    <w:p w14:paraId="4C11A064" w14:textId="77777777" w:rsidR="00D91720" w:rsidRDefault="00000000">
      <w:pPr>
        <w:pStyle w:val="EndNoteBibliography0"/>
        <w:spacing w:after="40" w:line="360" w:lineRule="auto"/>
        <w:jc w:val="left"/>
        <w:rPr>
          <w:rFonts w:ascii="Arial" w:hAnsi="Arial" w:cs="Arial"/>
          <w:noProof/>
          <w:sz w:val="21"/>
          <w:szCs w:val="21"/>
        </w:rPr>
      </w:pPr>
      <w:r>
        <w:rPr>
          <w:rFonts w:ascii="Arial" w:eastAsia="Arial" w:hAnsi="Arial" w:cs="Arial"/>
          <w:noProof/>
          <w:sz w:val="18"/>
          <w:szCs w:val="21"/>
        </w:rPr>
        <w:t>[4] Siow, K. S., Britcher, L., Kumar, S. &amp; Griesser, H. J. XPS study of sulfur and phosphorus compounds with different oxidation states. Sains Malays. 47, 1913–1922 (2018).</w:t>
      </w:r>
    </w:p>
    <w:p w14:paraId="5B42E947" w14:textId="7297A802" w:rsidR="00D91720" w:rsidRDefault="00D91720">
      <w:pPr>
        <w:spacing w:line="360" w:lineRule="auto"/>
        <w:jc w:val="left"/>
        <w:rPr>
          <w:rFonts w:ascii="Arial" w:eastAsia="等线" w:hAnsi="Arial" w:cs="Arial"/>
          <w:b/>
          <w:sz w:val="24"/>
          <w:szCs w:val="24"/>
        </w:rPr>
      </w:pPr>
    </w:p>
    <w:sectPr w:rsidR="00D91720">
      <w:footerReference w:type="default" r:id="rId55"/>
      <w:pgSz w:w="11906" w:h="16838"/>
      <w:pgMar w:top="1080" w:right="1080" w:bottom="108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86C9B" w14:textId="77777777" w:rsidR="007C786C" w:rsidRDefault="007C786C">
      <w:r>
        <w:separator/>
      </w:r>
    </w:p>
  </w:endnote>
  <w:endnote w:type="continuationSeparator" w:id="0">
    <w:p w14:paraId="6AC0BF3B" w14:textId="77777777" w:rsidR="007C786C" w:rsidRDefault="007C7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otham Book Regular">
    <w:altName w:val="Calibri"/>
    <w:charset w:val="4D"/>
    <w:family w:val="auto"/>
    <w:pitch w:val="default"/>
    <w:sig w:usb0="00000000" w:usb1="00000000" w:usb2="00000000" w:usb3="00000000" w:csb0="00000111" w:csb1="00000000"/>
  </w:font>
  <w:font w:name="Times">
    <w:altName w:val="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ple-system">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643349"/>
    </w:sdtPr>
    <w:sdtEndPr>
      <w:rPr>
        <w:rFonts w:ascii="Times New Roman" w:hAnsi="Times New Roman" w:cs="Times New Roman"/>
      </w:rPr>
    </w:sdtEndPr>
    <w:sdtContent>
      <w:p w14:paraId="3288A17F" w14:textId="700D44E3" w:rsidR="00D91720" w:rsidRPr="00461CD3" w:rsidRDefault="00000000" w:rsidP="00461CD3">
        <w:pPr>
          <w:pStyle w:val="a6"/>
          <w:jc w:val="center"/>
          <w:rPr>
            <w:rFonts w:ascii="Times New Roman" w:hAnsi="Times New Roman" w:cs="Times New Roman"/>
          </w:rPr>
        </w:pPr>
        <w:r>
          <w:rPr>
            <w:rFonts w:ascii="Times New Roman" w:hAnsi="Times New Roman" w:cs="Times New Roman"/>
          </w:rPr>
          <w:t>S</w:t>
        </w: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16</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00DA3" w14:textId="77777777" w:rsidR="007C786C" w:rsidRDefault="007C786C">
      <w:r>
        <w:separator/>
      </w:r>
    </w:p>
  </w:footnote>
  <w:footnote w:type="continuationSeparator" w:id="0">
    <w:p w14:paraId="3886131C" w14:textId="77777777" w:rsidR="007C786C" w:rsidRDefault="007C78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2313B"/>
    <w:multiLevelType w:val="multilevel"/>
    <w:tmpl w:val="C94E645A"/>
    <w:lvl w:ilvl="0">
      <w:start w:val="1"/>
      <w:numFmt w:val="decimal"/>
      <w:lvlText w:val="%1."/>
      <w:lvlJc w:val="left"/>
      <w:pPr>
        <w:ind w:left="360" w:hanging="360"/>
      </w:pPr>
      <w:rPr>
        <w:rFonts w:ascii="Arial" w:eastAsia="宋体" w:hAnsi="Arial" w:cs="Arial" w:hint="default"/>
        <w:b w:val="0"/>
        <w:bCs w:val="0"/>
        <w:sz w:val="21"/>
        <w:szCs w:val="21"/>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3BAC6FA9"/>
    <w:multiLevelType w:val="hybridMultilevel"/>
    <w:tmpl w:val="3D58DF36"/>
    <w:lvl w:ilvl="0" w:tplc="9DA8AF08">
      <w:start w:val="1"/>
      <w:numFmt w:val="decimal"/>
      <w:lvlText w:val="%1."/>
      <w:lvlJc w:val="left"/>
      <w:pPr>
        <w:ind w:left="440" w:hanging="440"/>
      </w:pPr>
      <w:rPr>
        <w:b w:val="0"/>
        <w:bCs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3C8F6BFB"/>
    <w:multiLevelType w:val="singleLevel"/>
    <w:tmpl w:val="B994EAE8"/>
    <w:lvl w:ilvl="0">
      <w:start w:val="1"/>
      <w:numFmt w:val="decimal"/>
      <w:suff w:val="space"/>
      <w:lvlText w:val="%1."/>
      <w:lvlJc w:val="left"/>
      <w:rPr>
        <w:rFonts w:ascii="Arial" w:hAnsi="Arial" w:cs="Arial" w:hint="default"/>
        <w:b/>
        <w:bCs/>
        <w:sz w:val="24"/>
        <w:szCs w:val="24"/>
      </w:rPr>
    </w:lvl>
  </w:abstractNum>
  <w:num w:numId="1" w16cid:durableId="1175268925">
    <w:abstractNumId w:val="0"/>
  </w:num>
  <w:num w:numId="2" w16cid:durableId="227808231">
    <w:abstractNumId w:val="2"/>
  </w:num>
  <w:num w:numId="3" w16cid:durableId="7219029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 Cop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r505xwvq2zsspe29ropxarbpdv50aaf9ets&quot;&gt;毕业论文文献20260313&lt;record-ids&gt;&lt;item&gt;14&lt;/item&gt;&lt;item&gt;48&lt;/item&gt;&lt;item&gt;74&lt;/item&gt;&lt;item&gt;77&lt;/item&gt;&lt;/record-ids&gt;&lt;/item&gt;&lt;/Libraries&gt;"/>
  </w:docVars>
  <w:rsids>
    <w:rsidRoot w:val="0013627F"/>
    <w:rsid w:val="0000706C"/>
    <w:rsid w:val="00007FD2"/>
    <w:rsid w:val="00013660"/>
    <w:rsid w:val="0001581E"/>
    <w:rsid w:val="00016EE4"/>
    <w:rsid w:val="000215F1"/>
    <w:rsid w:val="00023C41"/>
    <w:rsid w:val="00023D08"/>
    <w:rsid w:val="00026C58"/>
    <w:rsid w:val="00030DEE"/>
    <w:rsid w:val="00031CAE"/>
    <w:rsid w:val="00032CC6"/>
    <w:rsid w:val="00033F2C"/>
    <w:rsid w:val="000353AE"/>
    <w:rsid w:val="000363DB"/>
    <w:rsid w:val="000367BC"/>
    <w:rsid w:val="00036F5B"/>
    <w:rsid w:val="00042DF1"/>
    <w:rsid w:val="00044162"/>
    <w:rsid w:val="00044861"/>
    <w:rsid w:val="00054A5B"/>
    <w:rsid w:val="00057D6B"/>
    <w:rsid w:val="00062022"/>
    <w:rsid w:val="00064AE2"/>
    <w:rsid w:val="000674C0"/>
    <w:rsid w:val="00073244"/>
    <w:rsid w:val="00073DA1"/>
    <w:rsid w:val="00075E70"/>
    <w:rsid w:val="00083C3D"/>
    <w:rsid w:val="00085B09"/>
    <w:rsid w:val="00087AC4"/>
    <w:rsid w:val="00094150"/>
    <w:rsid w:val="00096645"/>
    <w:rsid w:val="000A0E12"/>
    <w:rsid w:val="000A21FE"/>
    <w:rsid w:val="000A2CFE"/>
    <w:rsid w:val="000A5BE0"/>
    <w:rsid w:val="000A743C"/>
    <w:rsid w:val="000C24DB"/>
    <w:rsid w:val="000C373D"/>
    <w:rsid w:val="000C5B24"/>
    <w:rsid w:val="000C7712"/>
    <w:rsid w:val="000C777E"/>
    <w:rsid w:val="000C7FE3"/>
    <w:rsid w:val="000D2B23"/>
    <w:rsid w:val="000D53E4"/>
    <w:rsid w:val="000E1C5C"/>
    <w:rsid w:val="000E25B8"/>
    <w:rsid w:val="000E2DC2"/>
    <w:rsid w:val="000E323A"/>
    <w:rsid w:val="000E41AD"/>
    <w:rsid w:val="000E53B1"/>
    <w:rsid w:val="000E6144"/>
    <w:rsid w:val="000E6902"/>
    <w:rsid w:val="000E6B3F"/>
    <w:rsid w:val="000F20E6"/>
    <w:rsid w:val="00103415"/>
    <w:rsid w:val="00103A67"/>
    <w:rsid w:val="00122E06"/>
    <w:rsid w:val="00124D7D"/>
    <w:rsid w:val="001252EA"/>
    <w:rsid w:val="00126351"/>
    <w:rsid w:val="001264F0"/>
    <w:rsid w:val="0012738F"/>
    <w:rsid w:val="00134AE4"/>
    <w:rsid w:val="00134CF8"/>
    <w:rsid w:val="0013627F"/>
    <w:rsid w:val="00137BAC"/>
    <w:rsid w:val="00142D45"/>
    <w:rsid w:val="00144D52"/>
    <w:rsid w:val="00150372"/>
    <w:rsid w:val="00150BA8"/>
    <w:rsid w:val="00155065"/>
    <w:rsid w:val="00156E1B"/>
    <w:rsid w:val="00163880"/>
    <w:rsid w:val="001638EE"/>
    <w:rsid w:val="00163EFC"/>
    <w:rsid w:val="00164037"/>
    <w:rsid w:val="001665C9"/>
    <w:rsid w:val="00167442"/>
    <w:rsid w:val="00171D23"/>
    <w:rsid w:val="001725B1"/>
    <w:rsid w:val="00172DD5"/>
    <w:rsid w:val="001807A3"/>
    <w:rsid w:val="00181E89"/>
    <w:rsid w:val="00184F9E"/>
    <w:rsid w:val="001914FA"/>
    <w:rsid w:val="00193065"/>
    <w:rsid w:val="0019339C"/>
    <w:rsid w:val="001951BD"/>
    <w:rsid w:val="00196B6A"/>
    <w:rsid w:val="00197359"/>
    <w:rsid w:val="001A1038"/>
    <w:rsid w:val="001A1762"/>
    <w:rsid w:val="001A242F"/>
    <w:rsid w:val="001A2F30"/>
    <w:rsid w:val="001A38E3"/>
    <w:rsid w:val="001A622C"/>
    <w:rsid w:val="001A6F76"/>
    <w:rsid w:val="001B150F"/>
    <w:rsid w:val="001B1E88"/>
    <w:rsid w:val="001B2874"/>
    <w:rsid w:val="001B2E1D"/>
    <w:rsid w:val="001B3756"/>
    <w:rsid w:val="001B5510"/>
    <w:rsid w:val="001B731F"/>
    <w:rsid w:val="001C06A1"/>
    <w:rsid w:val="001C5686"/>
    <w:rsid w:val="001D0B1E"/>
    <w:rsid w:val="001D66DF"/>
    <w:rsid w:val="001E0009"/>
    <w:rsid w:val="001E01DD"/>
    <w:rsid w:val="001E18EF"/>
    <w:rsid w:val="001E2485"/>
    <w:rsid w:val="001E71BF"/>
    <w:rsid w:val="001F0364"/>
    <w:rsid w:val="001F65D2"/>
    <w:rsid w:val="002012F5"/>
    <w:rsid w:val="00201DDE"/>
    <w:rsid w:val="00211B54"/>
    <w:rsid w:val="002131C4"/>
    <w:rsid w:val="00213C92"/>
    <w:rsid w:val="002159A3"/>
    <w:rsid w:val="00215D6A"/>
    <w:rsid w:val="002211CF"/>
    <w:rsid w:val="0022213B"/>
    <w:rsid w:val="00224210"/>
    <w:rsid w:val="00227ACB"/>
    <w:rsid w:val="00231936"/>
    <w:rsid w:val="002326B0"/>
    <w:rsid w:val="00234F6D"/>
    <w:rsid w:val="0023507A"/>
    <w:rsid w:val="0023657C"/>
    <w:rsid w:val="0024219C"/>
    <w:rsid w:val="00245F07"/>
    <w:rsid w:val="00246FB5"/>
    <w:rsid w:val="00254339"/>
    <w:rsid w:val="00257329"/>
    <w:rsid w:val="00264D3D"/>
    <w:rsid w:val="00265C5F"/>
    <w:rsid w:val="00266859"/>
    <w:rsid w:val="00270175"/>
    <w:rsid w:val="0027260C"/>
    <w:rsid w:val="00276FC1"/>
    <w:rsid w:val="00283339"/>
    <w:rsid w:val="00285049"/>
    <w:rsid w:val="00292816"/>
    <w:rsid w:val="00293C0E"/>
    <w:rsid w:val="002954E8"/>
    <w:rsid w:val="00295CD9"/>
    <w:rsid w:val="00297566"/>
    <w:rsid w:val="00297D9F"/>
    <w:rsid w:val="002B2C13"/>
    <w:rsid w:val="002B758D"/>
    <w:rsid w:val="002C1091"/>
    <w:rsid w:val="002C750B"/>
    <w:rsid w:val="002C7D8C"/>
    <w:rsid w:val="002D2890"/>
    <w:rsid w:val="002D4BED"/>
    <w:rsid w:val="002D63EE"/>
    <w:rsid w:val="002D709B"/>
    <w:rsid w:val="002D7657"/>
    <w:rsid w:val="002E60F9"/>
    <w:rsid w:val="002E736B"/>
    <w:rsid w:val="002F3C62"/>
    <w:rsid w:val="002F7EA6"/>
    <w:rsid w:val="002F7F60"/>
    <w:rsid w:val="00300660"/>
    <w:rsid w:val="0030660C"/>
    <w:rsid w:val="00306DB3"/>
    <w:rsid w:val="00310AAF"/>
    <w:rsid w:val="003120D1"/>
    <w:rsid w:val="00312160"/>
    <w:rsid w:val="00312B50"/>
    <w:rsid w:val="003147EF"/>
    <w:rsid w:val="00320564"/>
    <w:rsid w:val="003227DD"/>
    <w:rsid w:val="00322BC1"/>
    <w:rsid w:val="0032605E"/>
    <w:rsid w:val="00330411"/>
    <w:rsid w:val="00330665"/>
    <w:rsid w:val="003408F1"/>
    <w:rsid w:val="0034261D"/>
    <w:rsid w:val="003504E2"/>
    <w:rsid w:val="00350A5C"/>
    <w:rsid w:val="00356518"/>
    <w:rsid w:val="00356AC5"/>
    <w:rsid w:val="003600C7"/>
    <w:rsid w:val="003719C7"/>
    <w:rsid w:val="00371B69"/>
    <w:rsid w:val="003733B3"/>
    <w:rsid w:val="00374E2F"/>
    <w:rsid w:val="0037539E"/>
    <w:rsid w:val="003773F7"/>
    <w:rsid w:val="00377A97"/>
    <w:rsid w:val="003863B3"/>
    <w:rsid w:val="0039115B"/>
    <w:rsid w:val="003952EC"/>
    <w:rsid w:val="00396546"/>
    <w:rsid w:val="0039767E"/>
    <w:rsid w:val="003A02E7"/>
    <w:rsid w:val="003A2B0D"/>
    <w:rsid w:val="003A46D5"/>
    <w:rsid w:val="003A5C29"/>
    <w:rsid w:val="003A64CB"/>
    <w:rsid w:val="003A75B8"/>
    <w:rsid w:val="003B18EF"/>
    <w:rsid w:val="003B34A7"/>
    <w:rsid w:val="003B4826"/>
    <w:rsid w:val="003B6638"/>
    <w:rsid w:val="003B6BBB"/>
    <w:rsid w:val="003C09BE"/>
    <w:rsid w:val="003C4254"/>
    <w:rsid w:val="003C6CB0"/>
    <w:rsid w:val="003C6EB4"/>
    <w:rsid w:val="003D0A58"/>
    <w:rsid w:val="003D16F7"/>
    <w:rsid w:val="003D2123"/>
    <w:rsid w:val="003D27ED"/>
    <w:rsid w:val="003D5174"/>
    <w:rsid w:val="003D7BDE"/>
    <w:rsid w:val="003E04E1"/>
    <w:rsid w:val="003E2048"/>
    <w:rsid w:val="003E260D"/>
    <w:rsid w:val="003F0FFB"/>
    <w:rsid w:val="003F4AC2"/>
    <w:rsid w:val="003F6F9B"/>
    <w:rsid w:val="00400B84"/>
    <w:rsid w:val="00404F41"/>
    <w:rsid w:val="004059A7"/>
    <w:rsid w:val="0041084E"/>
    <w:rsid w:val="00416579"/>
    <w:rsid w:val="00420D49"/>
    <w:rsid w:val="0042102D"/>
    <w:rsid w:val="00422B17"/>
    <w:rsid w:val="004239D2"/>
    <w:rsid w:val="00425143"/>
    <w:rsid w:val="00443658"/>
    <w:rsid w:val="00446D49"/>
    <w:rsid w:val="0045040A"/>
    <w:rsid w:val="00453483"/>
    <w:rsid w:val="00454D01"/>
    <w:rsid w:val="004563D3"/>
    <w:rsid w:val="00460017"/>
    <w:rsid w:val="00461475"/>
    <w:rsid w:val="00461486"/>
    <w:rsid w:val="00461CD3"/>
    <w:rsid w:val="0046258D"/>
    <w:rsid w:val="0047111A"/>
    <w:rsid w:val="004748D1"/>
    <w:rsid w:val="0049144F"/>
    <w:rsid w:val="004974BF"/>
    <w:rsid w:val="004A51D4"/>
    <w:rsid w:val="004A63DE"/>
    <w:rsid w:val="004B0BAB"/>
    <w:rsid w:val="004B13C6"/>
    <w:rsid w:val="004B22A0"/>
    <w:rsid w:val="004B26C2"/>
    <w:rsid w:val="004B4B35"/>
    <w:rsid w:val="004C1FBE"/>
    <w:rsid w:val="004C5750"/>
    <w:rsid w:val="004C5978"/>
    <w:rsid w:val="004D0A2B"/>
    <w:rsid w:val="004D2EE0"/>
    <w:rsid w:val="004E06B1"/>
    <w:rsid w:val="004E1488"/>
    <w:rsid w:val="004E27C8"/>
    <w:rsid w:val="004E3DE4"/>
    <w:rsid w:val="004E4DB2"/>
    <w:rsid w:val="004F3184"/>
    <w:rsid w:val="004F6DE6"/>
    <w:rsid w:val="004F79D5"/>
    <w:rsid w:val="004F7C97"/>
    <w:rsid w:val="00502EFB"/>
    <w:rsid w:val="005032DA"/>
    <w:rsid w:val="00503D22"/>
    <w:rsid w:val="00504D7F"/>
    <w:rsid w:val="005109A7"/>
    <w:rsid w:val="005143F7"/>
    <w:rsid w:val="005176CB"/>
    <w:rsid w:val="00520A17"/>
    <w:rsid w:val="00520BF0"/>
    <w:rsid w:val="0052325C"/>
    <w:rsid w:val="005241A9"/>
    <w:rsid w:val="005244B7"/>
    <w:rsid w:val="00526B78"/>
    <w:rsid w:val="005303D2"/>
    <w:rsid w:val="005319AD"/>
    <w:rsid w:val="00537BD5"/>
    <w:rsid w:val="005442F8"/>
    <w:rsid w:val="00550A1F"/>
    <w:rsid w:val="00552215"/>
    <w:rsid w:val="00553AD3"/>
    <w:rsid w:val="00562386"/>
    <w:rsid w:val="00564371"/>
    <w:rsid w:val="005643F8"/>
    <w:rsid w:val="005669F3"/>
    <w:rsid w:val="00566C02"/>
    <w:rsid w:val="005703DB"/>
    <w:rsid w:val="00573D3B"/>
    <w:rsid w:val="00577225"/>
    <w:rsid w:val="005831B9"/>
    <w:rsid w:val="00586154"/>
    <w:rsid w:val="00591459"/>
    <w:rsid w:val="00591B70"/>
    <w:rsid w:val="0059504D"/>
    <w:rsid w:val="005A0D43"/>
    <w:rsid w:val="005A1DBA"/>
    <w:rsid w:val="005A5319"/>
    <w:rsid w:val="005C4520"/>
    <w:rsid w:val="005C6254"/>
    <w:rsid w:val="005C6371"/>
    <w:rsid w:val="005C7054"/>
    <w:rsid w:val="005D3A26"/>
    <w:rsid w:val="005D67F3"/>
    <w:rsid w:val="005E0A97"/>
    <w:rsid w:val="005E0B3B"/>
    <w:rsid w:val="005E65D3"/>
    <w:rsid w:val="005F0965"/>
    <w:rsid w:val="005F16FE"/>
    <w:rsid w:val="005F2630"/>
    <w:rsid w:val="005F2A43"/>
    <w:rsid w:val="005F34D3"/>
    <w:rsid w:val="005F5B20"/>
    <w:rsid w:val="00602C04"/>
    <w:rsid w:val="00603EB7"/>
    <w:rsid w:val="00603F66"/>
    <w:rsid w:val="0060472A"/>
    <w:rsid w:val="00605B0D"/>
    <w:rsid w:val="0060723D"/>
    <w:rsid w:val="00607B02"/>
    <w:rsid w:val="00612B91"/>
    <w:rsid w:val="00614119"/>
    <w:rsid w:val="00620681"/>
    <w:rsid w:val="006270FE"/>
    <w:rsid w:val="00627348"/>
    <w:rsid w:val="00630A43"/>
    <w:rsid w:val="00632A6D"/>
    <w:rsid w:val="006362E1"/>
    <w:rsid w:val="0063683D"/>
    <w:rsid w:val="00643B8D"/>
    <w:rsid w:val="00647087"/>
    <w:rsid w:val="0065096D"/>
    <w:rsid w:val="0065191F"/>
    <w:rsid w:val="0065411B"/>
    <w:rsid w:val="0066150A"/>
    <w:rsid w:val="00666D8D"/>
    <w:rsid w:val="00667600"/>
    <w:rsid w:val="006760E1"/>
    <w:rsid w:val="00687B41"/>
    <w:rsid w:val="006928A9"/>
    <w:rsid w:val="006967FA"/>
    <w:rsid w:val="006974F0"/>
    <w:rsid w:val="006A05FF"/>
    <w:rsid w:val="006A2FC6"/>
    <w:rsid w:val="006A6F09"/>
    <w:rsid w:val="006B32FB"/>
    <w:rsid w:val="006B3A7C"/>
    <w:rsid w:val="006B58A3"/>
    <w:rsid w:val="006B692E"/>
    <w:rsid w:val="006C20E1"/>
    <w:rsid w:val="006C23CB"/>
    <w:rsid w:val="006C496C"/>
    <w:rsid w:val="006C7175"/>
    <w:rsid w:val="006D2CA4"/>
    <w:rsid w:val="006D7407"/>
    <w:rsid w:val="006E008D"/>
    <w:rsid w:val="006E350F"/>
    <w:rsid w:val="006E76F9"/>
    <w:rsid w:val="006F1533"/>
    <w:rsid w:val="006F6838"/>
    <w:rsid w:val="00701E1D"/>
    <w:rsid w:val="00702AD7"/>
    <w:rsid w:val="00711896"/>
    <w:rsid w:val="007143AE"/>
    <w:rsid w:val="007419AB"/>
    <w:rsid w:val="00742418"/>
    <w:rsid w:val="0074426E"/>
    <w:rsid w:val="00746050"/>
    <w:rsid w:val="00751879"/>
    <w:rsid w:val="00753154"/>
    <w:rsid w:val="007531D5"/>
    <w:rsid w:val="00753D62"/>
    <w:rsid w:val="007558B2"/>
    <w:rsid w:val="00756164"/>
    <w:rsid w:val="007571AB"/>
    <w:rsid w:val="00760765"/>
    <w:rsid w:val="00760C0F"/>
    <w:rsid w:val="007631EB"/>
    <w:rsid w:val="00765323"/>
    <w:rsid w:val="00773D02"/>
    <w:rsid w:val="00774441"/>
    <w:rsid w:val="007769EC"/>
    <w:rsid w:val="00786263"/>
    <w:rsid w:val="00790A06"/>
    <w:rsid w:val="0079119F"/>
    <w:rsid w:val="00793B8B"/>
    <w:rsid w:val="00795BBE"/>
    <w:rsid w:val="007A71A6"/>
    <w:rsid w:val="007A7456"/>
    <w:rsid w:val="007B38D4"/>
    <w:rsid w:val="007B7267"/>
    <w:rsid w:val="007C720D"/>
    <w:rsid w:val="007C786C"/>
    <w:rsid w:val="007D1411"/>
    <w:rsid w:val="007D15F4"/>
    <w:rsid w:val="007D1771"/>
    <w:rsid w:val="007D2CD1"/>
    <w:rsid w:val="007D58BB"/>
    <w:rsid w:val="007D7904"/>
    <w:rsid w:val="007E0E98"/>
    <w:rsid w:val="007E23BD"/>
    <w:rsid w:val="007E277E"/>
    <w:rsid w:val="007F004B"/>
    <w:rsid w:val="007F38B5"/>
    <w:rsid w:val="00803A64"/>
    <w:rsid w:val="00803B81"/>
    <w:rsid w:val="00803E6D"/>
    <w:rsid w:val="00803F37"/>
    <w:rsid w:val="008048E8"/>
    <w:rsid w:val="00822020"/>
    <w:rsid w:val="00822F2A"/>
    <w:rsid w:val="00825071"/>
    <w:rsid w:val="008337D8"/>
    <w:rsid w:val="00834192"/>
    <w:rsid w:val="008364DD"/>
    <w:rsid w:val="00840B5B"/>
    <w:rsid w:val="008517F1"/>
    <w:rsid w:val="008522C2"/>
    <w:rsid w:val="008547E3"/>
    <w:rsid w:val="008566D0"/>
    <w:rsid w:val="00860CAD"/>
    <w:rsid w:val="00867362"/>
    <w:rsid w:val="0086775F"/>
    <w:rsid w:val="00867A36"/>
    <w:rsid w:val="00870885"/>
    <w:rsid w:val="00871C19"/>
    <w:rsid w:val="008732F9"/>
    <w:rsid w:val="00881D9E"/>
    <w:rsid w:val="00883AE5"/>
    <w:rsid w:val="008868E1"/>
    <w:rsid w:val="00887EA1"/>
    <w:rsid w:val="00892A95"/>
    <w:rsid w:val="008937B4"/>
    <w:rsid w:val="0089458F"/>
    <w:rsid w:val="00897BB8"/>
    <w:rsid w:val="008C66D6"/>
    <w:rsid w:val="008D12B5"/>
    <w:rsid w:val="008E2FD9"/>
    <w:rsid w:val="008E7E9D"/>
    <w:rsid w:val="008F5086"/>
    <w:rsid w:val="00904DEA"/>
    <w:rsid w:val="00906E1A"/>
    <w:rsid w:val="00913E57"/>
    <w:rsid w:val="009142B6"/>
    <w:rsid w:val="00915881"/>
    <w:rsid w:val="00917DF6"/>
    <w:rsid w:val="0092176A"/>
    <w:rsid w:val="009261C2"/>
    <w:rsid w:val="009277F7"/>
    <w:rsid w:val="00935656"/>
    <w:rsid w:val="00936834"/>
    <w:rsid w:val="0093729C"/>
    <w:rsid w:val="00944F21"/>
    <w:rsid w:val="00951075"/>
    <w:rsid w:val="00951841"/>
    <w:rsid w:val="00955274"/>
    <w:rsid w:val="00955867"/>
    <w:rsid w:val="0096091C"/>
    <w:rsid w:val="009609DF"/>
    <w:rsid w:val="009617DC"/>
    <w:rsid w:val="00964BE1"/>
    <w:rsid w:val="009650A5"/>
    <w:rsid w:val="0096771A"/>
    <w:rsid w:val="00970043"/>
    <w:rsid w:val="00970152"/>
    <w:rsid w:val="0097172D"/>
    <w:rsid w:val="0097586E"/>
    <w:rsid w:val="00976897"/>
    <w:rsid w:val="00976D7C"/>
    <w:rsid w:val="00980467"/>
    <w:rsid w:val="009813F4"/>
    <w:rsid w:val="0098291C"/>
    <w:rsid w:val="009857EF"/>
    <w:rsid w:val="0098683B"/>
    <w:rsid w:val="00996D98"/>
    <w:rsid w:val="009A23D5"/>
    <w:rsid w:val="009A36D0"/>
    <w:rsid w:val="009A5DDD"/>
    <w:rsid w:val="009B38E7"/>
    <w:rsid w:val="009B426A"/>
    <w:rsid w:val="009B58FF"/>
    <w:rsid w:val="009B6051"/>
    <w:rsid w:val="009C0867"/>
    <w:rsid w:val="009D0187"/>
    <w:rsid w:val="009D06E1"/>
    <w:rsid w:val="009D2A32"/>
    <w:rsid w:val="009D7203"/>
    <w:rsid w:val="009E50A2"/>
    <w:rsid w:val="009F11C2"/>
    <w:rsid w:val="009F14DE"/>
    <w:rsid w:val="009F64B8"/>
    <w:rsid w:val="00A02034"/>
    <w:rsid w:val="00A0419D"/>
    <w:rsid w:val="00A0463A"/>
    <w:rsid w:val="00A0594A"/>
    <w:rsid w:val="00A121EC"/>
    <w:rsid w:val="00A14881"/>
    <w:rsid w:val="00A16015"/>
    <w:rsid w:val="00A1666C"/>
    <w:rsid w:val="00A2208E"/>
    <w:rsid w:val="00A3505A"/>
    <w:rsid w:val="00A35ADC"/>
    <w:rsid w:val="00A37336"/>
    <w:rsid w:val="00A376BC"/>
    <w:rsid w:val="00A41F9A"/>
    <w:rsid w:val="00A52944"/>
    <w:rsid w:val="00A529E6"/>
    <w:rsid w:val="00A54090"/>
    <w:rsid w:val="00A55E11"/>
    <w:rsid w:val="00A578BF"/>
    <w:rsid w:val="00A57CDB"/>
    <w:rsid w:val="00A606CE"/>
    <w:rsid w:val="00A661F1"/>
    <w:rsid w:val="00A70C0A"/>
    <w:rsid w:val="00A766E6"/>
    <w:rsid w:val="00A773E1"/>
    <w:rsid w:val="00A80BF2"/>
    <w:rsid w:val="00A8215B"/>
    <w:rsid w:val="00A862AF"/>
    <w:rsid w:val="00A87D49"/>
    <w:rsid w:val="00A92CDF"/>
    <w:rsid w:val="00A9601D"/>
    <w:rsid w:val="00AA5056"/>
    <w:rsid w:val="00AB2966"/>
    <w:rsid w:val="00AB6A94"/>
    <w:rsid w:val="00AB7445"/>
    <w:rsid w:val="00AC0B94"/>
    <w:rsid w:val="00AC2F72"/>
    <w:rsid w:val="00AC4439"/>
    <w:rsid w:val="00AC4D16"/>
    <w:rsid w:val="00AC5246"/>
    <w:rsid w:val="00AC6050"/>
    <w:rsid w:val="00AD41AC"/>
    <w:rsid w:val="00AD4E17"/>
    <w:rsid w:val="00AD6847"/>
    <w:rsid w:val="00AE07E7"/>
    <w:rsid w:val="00AE2CC7"/>
    <w:rsid w:val="00AE399C"/>
    <w:rsid w:val="00AE3E88"/>
    <w:rsid w:val="00AE5D39"/>
    <w:rsid w:val="00AE5EA7"/>
    <w:rsid w:val="00AE6A4D"/>
    <w:rsid w:val="00AF2D4F"/>
    <w:rsid w:val="00AF3179"/>
    <w:rsid w:val="00AF541F"/>
    <w:rsid w:val="00B062A4"/>
    <w:rsid w:val="00B0745F"/>
    <w:rsid w:val="00B11661"/>
    <w:rsid w:val="00B12E1E"/>
    <w:rsid w:val="00B15684"/>
    <w:rsid w:val="00B20527"/>
    <w:rsid w:val="00B22884"/>
    <w:rsid w:val="00B24EC4"/>
    <w:rsid w:val="00B272C7"/>
    <w:rsid w:val="00B30227"/>
    <w:rsid w:val="00B31389"/>
    <w:rsid w:val="00B339EE"/>
    <w:rsid w:val="00B34571"/>
    <w:rsid w:val="00B37CBB"/>
    <w:rsid w:val="00B41889"/>
    <w:rsid w:val="00B44F53"/>
    <w:rsid w:val="00B47081"/>
    <w:rsid w:val="00B5532B"/>
    <w:rsid w:val="00B55569"/>
    <w:rsid w:val="00B56A16"/>
    <w:rsid w:val="00B6512D"/>
    <w:rsid w:val="00B70A58"/>
    <w:rsid w:val="00B713E3"/>
    <w:rsid w:val="00B738C4"/>
    <w:rsid w:val="00B74511"/>
    <w:rsid w:val="00B74D72"/>
    <w:rsid w:val="00B75189"/>
    <w:rsid w:val="00B767CE"/>
    <w:rsid w:val="00B80187"/>
    <w:rsid w:val="00B87129"/>
    <w:rsid w:val="00B92455"/>
    <w:rsid w:val="00B952E6"/>
    <w:rsid w:val="00BA02FF"/>
    <w:rsid w:val="00BA377D"/>
    <w:rsid w:val="00BB085F"/>
    <w:rsid w:val="00BB0F09"/>
    <w:rsid w:val="00BB2F08"/>
    <w:rsid w:val="00BB3551"/>
    <w:rsid w:val="00BB397F"/>
    <w:rsid w:val="00BC0CBD"/>
    <w:rsid w:val="00BC17B6"/>
    <w:rsid w:val="00BC5C92"/>
    <w:rsid w:val="00BC6965"/>
    <w:rsid w:val="00BD0D88"/>
    <w:rsid w:val="00BD6993"/>
    <w:rsid w:val="00BE2160"/>
    <w:rsid w:val="00BE593D"/>
    <w:rsid w:val="00BF1350"/>
    <w:rsid w:val="00BF23C8"/>
    <w:rsid w:val="00BF3005"/>
    <w:rsid w:val="00BF78BC"/>
    <w:rsid w:val="00C00773"/>
    <w:rsid w:val="00C019F6"/>
    <w:rsid w:val="00C02C66"/>
    <w:rsid w:val="00C06A93"/>
    <w:rsid w:val="00C105B7"/>
    <w:rsid w:val="00C1097A"/>
    <w:rsid w:val="00C148FB"/>
    <w:rsid w:val="00C15174"/>
    <w:rsid w:val="00C17809"/>
    <w:rsid w:val="00C22970"/>
    <w:rsid w:val="00C22FEC"/>
    <w:rsid w:val="00C2359F"/>
    <w:rsid w:val="00C24290"/>
    <w:rsid w:val="00C26E46"/>
    <w:rsid w:val="00C3276D"/>
    <w:rsid w:val="00C331B1"/>
    <w:rsid w:val="00C342FF"/>
    <w:rsid w:val="00C351DB"/>
    <w:rsid w:val="00C359D4"/>
    <w:rsid w:val="00C41D4B"/>
    <w:rsid w:val="00C45E59"/>
    <w:rsid w:val="00C4650D"/>
    <w:rsid w:val="00C47B47"/>
    <w:rsid w:val="00C54196"/>
    <w:rsid w:val="00C55861"/>
    <w:rsid w:val="00C60770"/>
    <w:rsid w:val="00C618DB"/>
    <w:rsid w:val="00C62987"/>
    <w:rsid w:val="00C636EF"/>
    <w:rsid w:val="00C651C8"/>
    <w:rsid w:val="00C67440"/>
    <w:rsid w:val="00C70650"/>
    <w:rsid w:val="00C70C14"/>
    <w:rsid w:val="00C75C8C"/>
    <w:rsid w:val="00C773D8"/>
    <w:rsid w:val="00C845CC"/>
    <w:rsid w:val="00C84D73"/>
    <w:rsid w:val="00C85E37"/>
    <w:rsid w:val="00C94084"/>
    <w:rsid w:val="00C94A11"/>
    <w:rsid w:val="00CA1905"/>
    <w:rsid w:val="00CA26C1"/>
    <w:rsid w:val="00CA3BB4"/>
    <w:rsid w:val="00CA46A1"/>
    <w:rsid w:val="00CA7CEF"/>
    <w:rsid w:val="00CB745E"/>
    <w:rsid w:val="00CC3773"/>
    <w:rsid w:val="00CC4D4A"/>
    <w:rsid w:val="00CC4F82"/>
    <w:rsid w:val="00CC6964"/>
    <w:rsid w:val="00CD249A"/>
    <w:rsid w:val="00CD29A5"/>
    <w:rsid w:val="00CD46ED"/>
    <w:rsid w:val="00CD5C8B"/>
    <w:rsid w:val="00CD6404"/>
    <w:rsid w:val="00CD712B"/>
    <w:rsid w:val="00CE1D10"/>
    <w:rsid w:val="00CE3436"/>
    <w:rsid w:val="00CE4C6E"/>
    <w:rsid w:val="00CE5CB8"/>
    <w:rsid w:val="00CE6AC6"/>
    <w:rsid w:val="00CF0666"/>
    <w:rsid w:val="00D02EF3"/>
    <w:rsid w:val="00D07D41"/>
    <w:rsid w:val="00D12417"/>
    <w:rsid w:val="00D156E0"/>
    <w:rsid w:val="00D17435"/>
    <w:rsid w:val="00D21D82"/>
    <w:rsid w:val="00D21F52"/>
    <w:rsid w:val="00D2255C"/>
    <w:rsid w:val="00D272FB"/>
    <w:rsid w:val="00D30BD5"/>
    <w:rsid w:val="00D310EC"/>
    <w:rsid w:val="00D368B0"/>
    <w:rsid w:val="00D372FE"/>
    <w:rsid w:val="00D408C0"/>
    <w:rsid w:val="00D41B72"/>
    <w:rsid w:val="00D41BA2"/>
    <w:rsid w:val="00D439BE"/>
    <w:rsid w:val="00D450A4"/>
    <w:rsid w:val="00D46ED4"/>
    <w:rsid w:val="00D53193"/>
    <w:rsid w:val="00D57213"/>
    <w:rsid w:val="00D61AAD"/>
    <w:rsid w:val="00D64550"/>
    <w:rsid w:val="00D6599D"/>
    <w:rsid w:val="00D65ABB"/>
    <w:rsid w:val="00D660A0"/>
    <w:rsid w:val="00D67922"/>
    <w:rsid w:val="00D70DF7"/>
    <w:rsid w:val="00D75045"/>
    <w:rsid w:val="00D76C19"/>
    <w:rsid w:val="00D77FE3"/>
    <w:rsid w:val="00D82A5D"/>
    <w:rsid w:val="00D836B3"/>
    <w:rsid w:val="00D84758"/>
    <w:rsid w:val="00D84C0E"/>
    <w:rsid w:val="00D9060D"/>
    <w:rsid w:val="00D90749"/>
    <w:rsid w:val="00D90C22"/>
    <w:rsid w:val="00D910A1"/>
    <w:rsid w:val="00D91720"/>
    <w:rsid w:val="00D92AAB"/>
    <w:rsid w:val="00DA5D88"/>
    <w:rsid w:val="00DA675B"/>
    <w:rsid w:val="00DB4D82"/>
    <w:rsid w:val="00DB5E70"/>
    <w:rsid w:val="00DC112E"/>
    <w:rsid w:val="00DC1167"/>
    <w:rsid w:val="00DC375F"/>
    <w:rsid w:val="00DC3CE5"/>
    <w:rsid w:val="00DC51C1"/>
    <w:rsid w:val="00DC7F14"/>
    <w:rsid w:val="00DD0594"/>
    <w:rsid w:val="00DD79B4"/>
    <w:rsid w:val="00DE1AF8"/>
    <w:rsid w:val="00DE751B"/>
    <w:rsid w:val="00DF05CC"/>
    <w:rsid w:val="00DF119F"/>
    <w:rsid w:val="00E01518"/>
    <w:rsid w:val="00E04D96"/>
    <w:rsid w:val="00E163E8"/>
    <w:rsid w:val="00E24480"/>
    <w:rsid w:val="00E2678E"/>
    <w:rsid w:val="00E30764"/>
    <w:rsid w:val="00E31179"/>
    <w:rsid w:val="00E32FCC"/>
    <w:rsid w:val="00E3634A"/>
    <w:rsid w:val="00E36751"/>
    <w:rsid w:val="00E375FE"/>
    <w:rsid w:val="00E471D5"/>
    <w:rsid w:val="00E47C3A"/>
    <w:rsid w:val="00E5084F"/>
    <w:rsid w:val="00E50CFC"/>
    <w:rsid w:val="00E533EE"/>
    <w:rsid w:val="00E577C3"/>
    <w:rsid w:val="00E57C63"/>
    <w:rsid w:val="00E624D3"/>
    <w:rsid w:val="00E62B2B"/>
    <w:rsid w:val="00E679A5"/>
    <w:rsid w:val="00E722BA"/>
    <w:rsid w:val="00E74FA4"/>
    <w:rsid w:val="00E76660"/>
    <w:rsid w:val="00E776DB"/>
    <w:rsid w:val="00E802E8"/>
    <w:rsid w:val="00E83EEC"/>
    <w:rsid w:val="00E85F35"/>
    <w:rsid w:val="00E865F2"/>
    <w:rsid w:val="00E90A8A"/>
    <w:rsid w:val="00E91122"/>
    <w:rsid w:val="00E93B23"/>
    <w:rsid w:val="00E93CF9"/>
    <w:rsid w:val="00E95C63"/>
    <w:rsid w:val="00EA0A32"/>
    <w:rsid w:val="00EA0CF0"/>
    <w:rsid w:val="00EA1A22"/>
    <w:rsid w:val="00EA3FAC"/>
    <w:rsid w:val="00EA69C5"/>
    <w:rsid w:val="00EB0E54"/>
    <w:rsid w:val="00EB1EB2"/>
    <w:rsid w:val="00EB56A3"/>
    <w:rsid w:val="00EB7110"/>
    <w:rsid w:val="00EC2409"/>
    <w:rsid w:val="00EC6B74"/>
    <w:rsid w:val="00ED4CFA"/>
    <w:rsid w:val="00EE1BF1"/>
    <w:rsid w:val="00EE3666"/>
    <w:rsid w:val="00EE4432"/>
    <w:rsid w:val="00EE535D"/>
    <w:rsid w:val="00EF0505"/>
    <w:rsid w:val="00EF5EB4"/>
    <w:rsid w:val="00EF615B"/>
    <w:rsid w:val="00F044EC"/>
    <w:rsid w:val="00F04B28"/>
    <w:rsid w:val="00F06DF7"/>
    <w:rsid w:val="00F070F9"/>
    <w:rsid w:val="00F206DC"/>
    <w:rsid w:val="00F25F7B"/>
    <w:rsid w:val="00F26B73"/>
    <w:rsid w:val="00F27309"/>
    <w:rsid w:val="00F27B1D"/>
    <w:rsid w:val="00F31504"/>
    <w:rsid w:val="00F33B09"/>
    <w:rsid w:val="00F353A7"/>
    <w:rsid w:val="00F36567"/>
    <w:rsid w:val="00F462A3"/>
    <w:rsid w:val="00F46E22"/>
    <w:rsid w:val="00F611C6"/>
    <w:rsid w:val="00F6316A"/>
    <w:rsid w:val="00F65991"/>
    <w:rsid w:val="00F660AE"/>
    <w:rsid w:val="00F66E92"/>
    <w:rsid w:val="00F72125"/>
    <w:rsid w:val="00F729AE"/>
    <w:rsid w:val="00F74268"/>
    <w:rsid w:val="00F77363"/>
    <w:rsid w:val="00F90D2B"/>
    <w:rsid w:val="00F916DF"/>
    <w:rsid w:val="00F92C24"/>
    <w:rsid w:val="00F9478F"/>
    <w:rsid w:val="00F96F8E"/>
    <w:rsid w:val="00F97823"/>
    <w:rsid w:val="00FA41D2"/>
    <w:rsid w:val="00FA7C5C"/>
    <w:rsid w:val="00FB2142"/>
    <w:rsid w:val="00FB3F6C"/>
    <w:rsid w:val="00FB48A5"/>
    <w:rsid w:val="00FC552D"/>
    <w:rsid w:val="00FD20C9"/>
    <w:rsid w:val="00FD20D2"/>
    <w:rsid w:val="00FD3055"/>
    <w:rsid w:val="00FD3C71"/>
    <w:rsid w:val="00FD5B5A"/>
    <w:rsid w:val="00FD79AD"/>
    <w:rsid w:val="00FD7B6A"/>
    <w:rsid w:val="00FE010D"/>
    <w:rsid w:val="00FE1917"/>
    <w:rsid w:val="00FE1E70"/>
    <w:rsid w:val="00FF0681"/>
    <w:rsid w:val="00FF1364"/>
    <w:rsid w:val="00FF1490"/>
    <w:rsid w:val="00FF5D8B"/>
    <w:rsid w:val="01341807"/>
    <w:rsid w:val="07702978"/>
    <w:rsid w:val="08CF4855"/>
    <w:rsid w:val="0ACC1006"/>
    <w:rsid w:val="0B1306DF"/>
    <w:rsid w:val="0D7A75A6"/>
    <w:rsid w:val="0E0A12DA"/>
    <w:rsid w:val="105C6685"/>
    <w:rsid w:val="10BC7123"/>
    <w:rsid w:val="11EE155E"/>
    <w:rsid w:val="12D1593E"/>
    <w:rsid w:val="143E4A1F"/>
    <w:rsid w:val="148D7DCE"/>
    <w:rsid w:val="150622D2"/>
    <w:rsid w:val="16011DD3"/>
    <w:rsid w:val="167D7355"/>
    <w:rsid w:val="17BD3EAD"/>
    <w:rsid w:val="19B02EB2"/>
    <w:rsid w:val="19B72B7E"/>
    <w:rsid w:val="1D241C09"/>
    <w:rsid w:val="218D5317"/>
    <w:rsid w:val="25CB3C39"/>
    <w:rsid w:val="28B36A43"/>
    <w:rsid w:val="28DD3E1D"/>
    <w:rsid w:val="2B355773"/>
    <w:rsid w:val="2F204FF5"/>
    <w:rsid w:val="2F6A6F6F"/>
    <w:rsid w:val="336B086B"/>
    <w:rsid w:val="345A1A73"/>
    <w:rsid w:val="358B7F65"/>
    <w:rsid w:val="36AE1139"/>
    <w:rsid w:val="37E9416C"/>
    <w:rsid w:val="3A3A4C0C"/>
    <w:rsid w:val="3A4F678F"/>
    <w:rsid w:val="3B455930"/>
    <w:rsid w:val="3F36616F"/>
    <w:rsid w:val="415470BD"/>
    <w:rsid w:val="456C4C74"/>
    <w:rsid w:val="467D4684"/>
    <w:rsid w:val="4C1C493F"/>
    <w:rsid w:val="4FBA06F6"/>
    <w:rsid w:val="503E30D6"/>
    <w:rsid w:val="56B20379"/>
    <w:rsid w:val="57BF2D4E"/>
    <w:rsid w:val="5E0A0A9B"/>
    <w:rsid w:val="5F384AC5"/>
    <w:rsid w:val="62105F01"/>
    <w:rsid w:val="63B514A9"/>
    <w:rsid w:val="687A681D"/>
    <w:rsid w:val="68AF1BBB"/>
    <w:rsid w:val="6B054AC4"/>
    <w:rsid w:val="6ECC76A7"/>
    <w:rsid w:val="71900E5F"/>
    <w:rsid w:val="72D221E9"/>
    <w:rsid w:val="755F74C6"/>
    <w:rsid w:val="75877A7A"/>
    <w:rsid w:val="762304F4"/>
    <w:rsid w:val="77204A34"/>
    <w:rsid w:val="788D20D5"/>
    <w:rsid w:val="79517126"/>
    <w:rsid w:val="79E46CC4"/>
    <w:rsid w:val="7C8B7352"/>
    <w:rsid w:val="7CC06A9D"/>
    <w:rsid w:val="7D495DAD"/>
    <w:rsid w:val="7DAF1184"/>
    <w:rsid w:val="7DF822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307EDF"/>
  <w15:docId w15:val="{67D432B4-DEEF-43EE-974A-09D7AF199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Cs w:val="22"/>
    </w:rPr>
  </w:style>
  <w:style w:type="paragraph" w:styleId="1">
    <w:name w:val="heading 1"/>
    <w:basedOn w:val="a"/>
    <w:next w:val="a"/>
    <w:uiPriority w:val="9"/>
    <w:qFormat/>
    <w:pPr>
      <w:spacing w:before="460" w:after="230" w:line="230" w:lineRule="atLeast"/>
      <w:outlineLvl w:val="0"/>
    </w:pPr>
    <w:rPr>
      <w:rFonts w:ascii="Arial" w:hAnsi="Arial"/>
      <w:b/>
      <w:sz w:val="22"/>
      <w:szCs w:val="20"/>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批注框文本 字符"/>
    <w:basedOn w:val="a0"/>
    <w:link w:val="a4"/>
    <w:uiPriority w:val="99"/>
    <w:semiHidden/>
    <w:qFormat/>
    <w:rPr>
      <w:sz w:val="18"/>
      <w:szCs w:val="18"/>
    </w:rPr>
  </w:style>
  <w:style w:type="character" w:customStyle="1" w:styleId="HeadingChar">
    <w:name w:val="Heading Char"/>
    <w:basedOn w:val="a0"/>
    <w:link w:val="Heading"/>
    <w:qFormat/>
    <w:rPr>
      <w:rFonts w:ascii="Gotham Book Regular" w:eastAsia="Times New Roman" w:hAnsi="Gotham Book Regular" w:cs="Arial" w:hint="default"/>
      <w:b/>
      <w:bCs/>
      <w:kern w:val="2"/>
      <w:sz w:val="24"/>
      <w:szCs w:val="24"/>
    </w:rPr>
  </w:style>
  <w:style w:type="character" w:customStyle="1" w:styleId="a5">
    <w:name w:val="页脚 字符"/>
    <w:basedOn w:val="a0"/>
    <w:link w:val="a6"/>
    <w:uiPriority w:val="99"/>
    <w:qFormat/>
    <w:rPr>
      <w:sz w:val="18"/>
      <w:szCs w:val="18"/>
    </w:rPr>
  </w:style>
  <w:style w:type="character" w:customStyle="1" w:styleId="EndNoteBibliographyTitle">
    <w:name w:val="EndNote Bibliography Title 字符"/>
    <w:basedOn w:val="a0"/>
    <w:link w:val="EndNoteBibliographyTitle0"/>
    <w:qFormat/>
    <w:rPr>
      <w:rFonts w:ascii="Calibri" w:eastAsiaTheme="minorEastAsia" w:hAnsi="Calibri" w:cs="Calibri"/>
      <w:kern w:val="2"/>
      <w:szCs w:val="22"/>
    </w:rPr>
  </w:style>
  <w:style w:type="table" w:styleId="a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annotation text"/>
    <w:basedOn w:val="a"/>
    <w:link w:val="a9"/>
    <w:uiPriority w:val="99"/>
    <w:unhideWhenUsed/>
    <w:qFormat/>
    <w:pPr>
      <w:jc w:val="left"/>
    </w:pPr>
  </w:style>
  <w:style w:type="paragraph" w:customStyle="1" w:styleId="EndNoteBibliographyTitle0">
    <w:name w:val="EndNote Bibliography Title"/>
    <w:basedOn w:val="a"/>
    <w:link w:val="EndNoteBibliographyTitle"/>
    <w:qFormat/>
    <w:pPr>
      <w:jc w:val="center"/>
    </w:pPr>
    <w:rPr>
      <w:rFonts w:ascii="Calibri" w:hAnsi="Calibri" w:cs="Calibri"/>
    </w:rPr>
  </w:style>
  <w:style w:type="character" w:customStyle="1" w:styleId="EndNoteBibliography">
    <w:name w:val="EndNote Bibliography 字符"/>
    <w:basedOn w:val="a0"/>
    <w:link w:val="EndNoteBibliography0"/>
    <w:qFormat/>
    <w:rPr>
      <w:rFonts w:ascii="Calibri" w:eastAsiaTheme="minorEastAsia" w:hAnsi="Calibri" w:cs="Calibri"/>
      <w:kern w:val="2"/>
      <w:szCs w:val="22"/>
    </w:rPr>
  </w:style>
  <w:style w:type="paragraph" w:customStyle="1" w:styleId="Heading">
    <w:name w:val="Heading"/>
    <w:basedOn w:val="Body"/>
    <w:link w:val="HeadingChar"/>
    <w:qFormat/>
    <w:pPr>
      <w:spacing w:before="240" w:after="0"/>
    </w:pPr>
    <w:rPr>
      <w:b/>
      <w:bCs/>
      <w:sz w:val="24"/>
    </w:rPr>
  </w:style>
  <w:style w:type="character" w:styleId="aa">
    <w:name w:val="annotation reference"/>
    <w:basedOn w:val="a0"/>
    <w:uiPriority w:val="99"/>
    <w:unhideWhenUsed/>
    <w:qFormat/>
    <w:rPr>
      <w:sz w:val="21"/>
      <w:szCs w:val="21"/>
    </w:rPr>
  </w:style>
  <w:style w:type="table" w:customStyle="1" w:styleId="TableNormal1">
    <w:name w:val="Table Normal1"/>
    <w:basedOn w:val="a1"/>
    <w:semiHidden/>
    <w:qFormat/>
    <w:tblPr/>
  </w:style>
  <w:style w:type="paragraph" w:styleId="ab">
    <w:name w:val="List Paragraph"/>
    <w:basedOn w:val="a"/>
    <w:uiPriority w:val="34"/>
    <w:qFormat/>
    <w:pPr>
      <w:ind w:firstLineChars="200" w:firstLine="420"/>
    </w:pPr>
  </w:style>
  <w:style w:type="paragraph" w:styleId="a6">
    <w:name w:val="footer"/>
    <w:basedOn w:val="a"/>
    <w:link w:val="a5"/>
    <w:uiPriority w:val="99"/>
    <w:unhideWhenUsed/>
    <w:qFormat/>
    <w:pPr>
      <w:tabs>
        <w:tab w:val="center" w:pos="4153"/>
        <w:tab w:val="right" w:pos="8306"/>
      </w:tabs>
      <w:snapToGrid w:val="0"/>
      <w:jc w:val="left"/>
    </w:pPr>
    <w:rPr>
      <w:sz w:val="18"/>
      <w:szCs w:val="18"/>
    </w:rPr>
  </w:style>
  <w:style w:type="character" w:customStyle="1" w:styleId="src">
    <w:name w:val="src"/>
    <w:basedOn w:val="a0"/>
    <w:qFormat/>
  </w:style>
  <w:style w:type="paragraph" w:customStyle="1" w:styleId="Intro">
    <w:name w:val="Intro"/>
    <w:basedOn w:val="a"/>
    <w:qFormat/>
    <w:pPr>
      <w:jc w:val="center"/>
    </w:pPr>
    <w:rPr>
      <w:rFonts w:ascii="Arial" w:eastAsia="Times New Roman" w:hAnsi="Arial"/>
      <w:sz w:val="32"/>
      <w:szCs w:val="20"/>
    </w:rPr>
  </w:style>
  <w:style w:type="character" w:styleId="ac">
    <w:name w:val="Hyperlink"/>
    <w:basedOn w:val="a0"/>
    <w:uiPriority w:val="99"/>
    <w:unhideWhenUsed/>
    <w:qFormat/>
    <w:rPr>
      <w:color w:val="0000FF" w:themeColor="hyperlink"/>
      <w:u w:val="single"/>
    </w:rPr>
  </w:style>
  <w:style w:type="paragraph" w:styleId="ad">
    <w:name w:val="Normal (Web)"/>
    <w:basedOn w:val="a"/>
    <w:uiPriority w:val="99"/>
    <w:unhideWhenUsed/>
    <w:qFormat/>
    <w:rPr>
      <w:rFonts w:ascii="Times New Roman" w:hAnsi="Times New Roman" w:cs="Times New Roman"/>
      <w:sz w:val="24"/>
      <w:szCs w:val="24"/>
    </w:rPr>
  </w:style>
  <w:style w:type="character" w:customStyle="1" w:styleId="20">
    <w:name w:val="标题 2 字符"/>
    <w:basedOn w:val="a0"/>
    <w:link w:val="2"/>
    <w:uiPriority w:val="9"/>
    <w:semiHidden/>
    <w:qFormat/>
    <w:rPr>
      <w:rFonts w:asciiTheme="majorHAnsi" w:eastAsiaTheme="majorEastAsia" w:hAnsiTheme="majorHAnsi" w:cstheme="majorBidi"/>
      <w:b/>
      <w:bCs/>
      <w:sz w:val="32"/>
      <w:szCs w:val="32"/>
    </w:rPr>
  </w:style>
  <w:style w:type="character" w:customStyle="1" w:styleId="ae">
    <w:name w:val="批注主题 字符"/>
    <w:basedOn w:val="a9"/>
    <w:link w:val="af"/>
    <w:uiPriority w:val="99"/>
    <w:semiHidden/>
    <w:qFormat/>
    <w:rPr>
      <w:b/>
      <w:bCs/>
    </w:rPr>
  </w:style>
  <w:style w:type="character" w:customStyle="1" w:styleId="Comment">
    <w:name w:val="Comment"/>
    <w:qFormat/>
    <w:rPr>
      <w:rFonts w:ascii="Arial" w:hAnsi="Arial"/>
      <w:color w:val="FF0000"/>
      <w:sz w:val="14"/>
    </w:rPr>
  </w:style>
  <w:style w:type="character" w:customStyle="1" w:styleId="10">
    <w:name w:val="未处理的提及1"/>
    <w:basedOn w:val="a0"/>
    <w:uiPriority w:val="99"/>
    <w:semiHidden/>
    <w:unhideWhenUsed/>
    <w:qFormat/>
    <w:rPr>
      <w:color w:val="605E5C"/>
      <w:shd w:val="clear" w:color="auto" w:fill="E1DFDD"/>
    </w:rPr>
  </w:style>
  <w:style w:type="character" w:styleId="af0">
    <w:name w:val="footnote reference"/>
    <w:basedOn w:val="a0"/>
    <w:uiPriority w:val="99"/>
    <w:semiHidden/>
    <w:unhideWhenUsed/>
    <w:qFormat/>
    <w:rPr>
      <w:vertAlign w:val="superscript"/>
    </w:rPr>
  </w:style>
  <w:style w:type="paragraph" w:styleId="af">
    <w:name w:val="annotation subject"/>
    <w:basedOn w:val="a8"/>
    <w:next w:val="a8"/>
    <w:link w:val="ae"/>
    <w:uiPriority w:val="99"/>
    <w:semiHidden/>
    <w:unhideWhenUsed/>
    <w:qFormat/>
    <w:rPr>
      <w:b/>
      <w:bCs/>
    </w:rPr>
  </w:style>
  <w:style w:type="character" w:styleId="af1">
    <w:name w:val="Strong"/>
    <w:basedOn w:val="a0"/>
    <w:uiPriority w:val="22"/>
    <w:qFormat/>
    <w:rPr>
      <w:b/>
      <w:bCs/>
    </w:rPr>
  </w:style>
  <w:style w:type="paragraph" w:styleId="af2">
    <w:name w:val="header"/>
    <w:basedOn w:val="a"/>
    <w:link w:val="af3"/>
    <w:uiPriority w:val="99"/>
    <w:unhideWhenUsed/>
    <w:qFormat/>
    <w:pPr>
      <w:pBdr>
        <w:bottom w:val="single" w:sz="6" w:space="1" w:color="auto"/>
      </w:pBdr>
      <w:tabs>
        <w:tab w:val="center" w:pos="4153"/>
        <w:tab w:val="right" w:pos="8306"/>
      </w:tabs>
      <w:snapToGrid w:val="0"/>
      <w:jc w:val="center"/>
    </w:pPr>
    <w:rPr>
      <w:sz w:val="18"/>
      <w:szCs w:val="18"/>
    </w:rPr>
  </w:style>
  <w:style w:type="paragraph" w:customStyle="1" w:styleId="BCAuthorAddress">
    <w:name w:val="BC_Author_Address"/>
    <w:basedOn w:val="a"/>
    <w:next w:val="a"/>
    <w:qFormat/>
    <w:pPr>
      <w:widowControl/>
      <w:spacing w:after="240" w:line="480" w:lineRule="auto"/>
      <w:jc w:val="center"/>
    </w:pPr>
    <w:rPr>
      <w:rFonts w:ascii="Times" w:eastAsia="宋体" w:hAnsi="Times" w:cs="Times New Roman"/>
      <w:kern w:val="0"/>
      <w:sz w:val="24"/>
      <w:szCs w:val="20"/>
      <w:lang w:eastAsia="en-US"/>
    </w:rPr>
  </w:style>
  <w:style w:type="paragraph" w:customStyle="1" w:styleId="EndNoteBibliography0">
    <w:name w:val="EndNote Bibliography"/>
    <w:basedOn w:val="a"/>
    <w:link w:val="EndNoteBibliography"/>
    <w:qFormat/>
    <w:rPr>
      <w:rFonts w:ascii="Calibri" w:hAnsi="Calibri" w:cs="Calibri"/>
    </w:rPr>
  </w:style>
  <w:style w:type="character" w:customStyle="1" w:styleId="af3">
    <w:name w:val="页眉 字符"/>
    <w:basedOn w:val="a0"/>
    <w:link w:val="af2"/>
    <w:uiPriority w:val="99"/>
    <w:qFormat/>
    <w:rPr>
      <w:sz w:val="18"/>
      <w:szCs w:val="18"/>
    </w:rPr>
  </w:style>
  <w:style w:type="character" w:customStyle="1" w:styleId="30">
    <w:name w:val="标题 3 字符"/>
    <w:basedOn w:val="a0"/>
    <w:link w:val="3"/>
    <w:uiPriority w:val="9"/>
    <w:semiHidden/>
    <w:qFormat/>
    <w:rPr>
      <w:b/>
      <w:bCs/>
      <w:sz w:val="32"/>
      <w:szCs w:val="32"/>
    </w:rPr>
  </w:style>
  <w:style w:type="paragraph" w:customStyle="1" w:styleId="BBAuthorName">
    <w:name w:val="BB_Author_Name"/>
    <w:basedOn w:val="a"/>
    <w:next w:val="BCAuthorAddress"/>
    <w:qFormat/>
    <w:pPr>
      <w:widowControl/>
      <w:spacing w:after="240" w:line="480" w:lineRule="auto"/>
      <w:jc w:val="center"/>
    </w:pPr>
    <w:rPr>
      <w:rFonts w:ascii="Times" w:eastAsia="宋体" w:hAnsi="Times" w:cs="Times New Roman"/>
      <w:i/>
      <w:kern w:val="0"/>
      <w:sz w:val="24"/>
      <w:szCs w:val="20"/>
      <w:lang w:eastAsia="en-US"/>
    </w:rPr>
  </w:style>
  <w:style w:type="character" w:customStyle="1" w:styleId="BodyChar">
    <w:name w:val="Body Char"/>
    <w:basedOn w:val="a0"/>
    <w:link w:val="Body"/>
    <w:qFormat/>
    <w:rPr>
      <w:rFonts w:ascii="Gotham Book Regular" w:eastAsia="Times New Roman" w:hAnsi="Gotham Book Regular" w:cs="Arial" w:hint="default"/>
      <w:kern w:val="2"/>
      <w:sz w:val="21"/>
      <w:szCs w:val="24"/>
    </w:rPr>
  </w:style>
  <w:style w:type="character" w:customStyle="1" w:styleId="a9">
    <w:name w:val="批注文字 字符"/>
    <w:basedOn w:val="a0"/>
    <w:link w:val="a8"/>
    <w:uiPriority w:val="99"/>
    <w:qFormat/>
  </w:style>
  <w:style w:type="paragraph" w:customStyle="1" w:styleId="11">
    <w:name w:val="修订1"/>
    <w:hidden/>
    <w:uiPriority w:val="99"/>
    <w:semiHidden/>
    <w:qFormat/>
    <w:rPr>
      <w:rFonts w:asciiTheme="minorHAnsi" w:eastAsiaTheme="minorEastAsia" w:hAnsiTheme="minorHAnsi" w:cstheme="minorBidi"/>
      <w:kern w:val="2"/>
      <w:sz w:val="21"/>
      <w:szCs w:val="22"/>
    </w:rPr>
  </w:style>
  <w:style w:type="paragraph" w:customStyle="1" w:styleId="H1">
    <w:name w:val="H1"/>
    <w:basedOn w:val="1"/>
    <w:qFormat/>
  </w:style>
  <w:style w:type="paragraph" w:customStyle="1" w:styleId="Body">
    <w:name w:val="Body"/>
    <w:basedOn w:val="a"/>
    <w:link w:val="BodyChar"/>
    <w:qFormat/>
    <w:pPr>
      <w:widowControl/>
      <w:spacing w:after="240" w:line="480" w:lineRule="auto"/>
    </w:pPr>
    <w:rPr>
      <w:rFonts w:ascii="Gotham Book Regular" w:eastAsia="Times New Roman" w:hAnsi="Gotham Book Regular" w:cs="Times New Roman"/>
      <w:szCs w:val="24"/>
    </w:rPr>
  </w:style>
  <w:style w:type="paragraph" w:styleId="a4">
    <w:name w:val="Balloon Text"/>
    <w:basedOn w:val="a"/>
    <w:link w:val="a3"/>
    <w:uiPriority w:val="99"/>
    <w:semiHidden/>
    <w:unhideWhenUsed/>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9" Type="http://schemas.openxmlformats.org/officeDocument/2006/relationships/image" Target="media/image32.emf"/><Relationship Id="rId21" Type="http://schemas.openxmlformats.org/officeDocument/2006/relationships/image" Target="media/image15.emf"/><Relationship Id="rId34" Type="http://schemas.openxmlformats.org/officeDocument/2006/relationships/oleObject" Target="embeddings/oleObject1.bin"/><Relationship Id="rId42" Type="http://schemas.openxmlformats.org/officeDocument/2006/relationships/image" Target="media/image35.emf"/><Relationship Id="rId47" Type="http://schemas.openxmlformats.org/officeDocument/2006/relationships/image" Target="media/image40.emf"/><Relationship Id="rId50" Type="http://schemas.openxmlformats.org/officeDocument/2006/relationships/image" Target="media/image43.emf"/><Relationship Id="rId55" Type="http://schemas.openxmlformats.org/officeDocument/2006/relationships/footer" Target="footer1.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emf"/><Relationship Id="rId29" Type="http://schemas.openxmlformats.org/officeDocument/2006/relationships/image" Target="media/image23.emf"/><Relationship Id="rId11" Type="http://schemas.openxmlformats.org/officeDocument/2006/relationships/image" Target="media/image5.emf"/><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0.png"/><Relationship Id="rId40" Type="http://schemas.openxmlformats.org/officeDocument/2006/relationships/image" Target="media/image33.emf"/><Relationship Id="rId45" Type="http://schemas.openxmlformats.org/officeDocument/2006/relationships/image" Target="media/image38.emf"/><Relationship Id="rId53" Type="http://schemas.openxmlformats.org/officeDocument/2006/relationships/image" Target="media/image46.png"/><Relationship Id="rId5" Type="http://schemas.openxmlformats.org/officeDocument/2006/relationships/footnotes" Target="footnotes.xml"/><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png"/><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8.png"/><Relationship Id="rId43" Type="http://schemas.openxmlformats.org/officeDocument/2006/relationships/image" Target="media/image36.emf"/><Relationship Id="rId48" Type="http://schemas.openxmlformats.org/officeDocument/2006/relationships/image" Target="media/image41.emf"/><Relationship Id="rId56" Type="http://schemas.openxmlformats.org/officeDocument/2006/relationships/fontTable" Target="fontTable.xml"/><Relationship Id="rId8" Type="http://schemas.openxmlformats.org/officeDocument/2006/relationships/image" Target="media/image2.emf"/><Relationship Id="rId51" Type="http://schemas.openxmlformats.org/officeDocument/2006/relationships/image" Target="media/image44.png"/><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1.emf"/><Relationship Id="rId46" Type="http://schemas.openxmlformats.org/officeDocument/2006/relationships/image" Target="media/image39.emf"/><Relationship Id="rId20" Type="http://schemas.openxmlformats.org/officeDocument/2006/relationships/image" Target="media/image14.emf"/><Relationship Id="rId41" Type="http://schemas.openxmlformats.org/officeDocument/2006/relationships/image" Target="media/image34.emf"/><Relationship Id="rId54" Type="http://schemas.openxmlformats.org/officeDocument/2006/relationships/image" Target="media/image47.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29.png"/><Relationship Id="rId49" Type="http://schemas.openxmlformats.org/officeDocument/2006/relationships/image" Target="media/image42.emf"/><Relationship Id="rId57" Type="http://schemas.openxmlformats.org/officeDocument/2006/relationships/theme" Target="theme/theme1.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7.emf"/><Relationship Id="rId52" Type="http://schemas.openxmlformats.org/officeDocument/2006/relationships/image" Target="media/image4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1</Pages>
  <Words>4644</Words>
  <Characters>26474</Characters>
  <Application>Microsoft Office Word</Application>
  <DocSecurity>0</DocSecurity>
  <Lines>220</Lines>
  <Paragraphs>62</Paragraphs>
  <ScaleCrop>false</ScaleCrop>
  <Company/>
  <LinksUpToDate>false</LinksUpToDate>
  <CharactersWithSpaces>31056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zihao</dc:creator>
  <cp:lastModifiedBy>子豪 郭</cp:lastModifiedBy>
  <cp:revision>14</cp:revision>
  <dcterms:created xsi:type="dcterms:W3CDTF">2026-09-11T19:01:00Z</dcterms:created>
  <dcterms:modified xsi:type="dcterms:W3CDTF">2026-09-18T12:31:00Z</dcterms:modified>
</cp:coreProperties>
</file>