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5BAB52" w14:textId="145CA630" w:rsidR="00FA4CEC" w:rsidRPr="001177C6" w:rsidRDefault="00920D7C" w:rsidP="00920D7C">
      <w:pPr>
        <w:pStyle w:val="Ttul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 w:rsidRPr="001177C6">
        <w:rPr>
          <w:rFonts w:ascii="Arial" w:hAnsi="Arial" w:cs="Arial"/>
          <w:b/>
          <w:bCs/>
          <w:sz w:val="28"/>
          <w:szCs w:val="28"/>
          <w:lang w:val="en-US"/>
        </w:rPr>
        <w:t xml:space="preserve">Supplementary </w:t>
      </w:r>
      <w:r w:rsidR="004156CA" w:rsidRPr="001177C6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Pr="001177C6">
        <w:rPr>
          <w:rFonts w:ascii="Arial" w:hAnsi="Arial" w:cs="Arial"/>
          <w:b/>
          <w:bCs/>
          <w:sz w:val="28"/>
          <w:szCs w:val="28"/>
          <w:lang w:val="en-US"/>
        </w:rPr>
        <w:t>nformation</w:t>
      </w:r>
    </w:p>
    <w:p w14:paraId="4D4D9949" w14:textId="77777777" w:rsidR="002A28F3" w:rsidRPr="001177C6" w:rsidRDefault="002A28F3" w:rsidP="002A28F3">
      <w:pPr>
        <w:rPr>
          <w:lang w:val="en-US"/>
        </w:rPr>
      </w:pPr>
    </w:p>
    <w:p w14:paraId="28777397" w14:textId="35ED859E" w:rsidR="002A28F3" w:rsidRDefault="002A28F3" w:rsidP="002A28F3">
      <w:pPr>
        <w:rPr>
          <w:lang w:val="en-US"/>
        </w:rPr>
      </w:pPr>
      <w:r w:rsidRPr="00920D7C">
        <w:rPr>
          <w:b/>
          <w:lang w:val="en-US"/>
        </w:rPr>
        <w:t>Supplement</w:t>
      </w:r>
      <w:r>
        <w:rPr>
          <w:b/>
          <w:lang w:val="en-US"/>
        </w:rPr>
        <w:t>ary figure 1</w:t>
      </w:r>
      <w:r w:rsidRPr="00920D7C">
        <w:rPr>
          <w:b/>
          <w:lang w:val="en-US"/>
        </w:rPr>
        <w:t>. Sequencing of LeGO-GpINV.</w:t>
      </w:r>
      <w:r w:rsidRPr="00920D7C">
        <w:rPr>
          <w:lang w:val="en-US"/>
        </w:rPr>
        <w:t xml:space="preserve"> The sequenced fragments were amplified with the </w:t>
      </w:r>
      <w:r w:rsidRPr="00920D7C">
        <w:rPr>
          <w:i/>
          <w:iCs/>
          <w:lang w:val="en-US"/>
        </w:rPr>
        <w:t>LEGO-R</w:t>
      </w:r>
      <w:r w:rsidRPr="00920D7C">
        <w:rPr>
          <w:lang w:val="en-US"/>
        </w:rPr>
        <w:t xml:space="preserve"> primer. (A) Scheme of the LeGO-GpINV construction and the transcription factors binding sites and restriction enzyme sites in pINVf identified by sequencing. (B) The transcription factor binding sites AP1-1, AP1-5 and SP1, C/EBP, TATA box and the restriction enzyme sites </w:t>
      </w:r>
      <w:r w:rsidRPr="00920D7C">
        <w:rPr>
          <w:i/>
          <w:lang w:val="en-US"/>
        </w:rPr>
        <w:t>Xho</w:t>
      </w:r>
      <w:r w:rsidRPr="00920D7C">
        <w:rPr>
          <w:lang w:val="en-US"/>
        </w:rPr>
        <w:t xml:space="preserve">I, </w:t>
      </w:r>
      <w:r w:rsidRPr="00920D7C">
        <w:rPr>
          <w:i/>
          <w:lang w:val="en-US"/>
        </w:rPr>
        <w:t>Bam</w:t>
      </w:r>
      <w:r w:rsidRPr="00920D7C">
        <w:rPr>
          <w:lang w:val="en-US"/>
        </w:rPr>
        <w:t xml:space="preserve">HI and </w:t>
      </w:r>
      <w:r w:rsidRPr="00920D7C">
        <w:rPr>
          <w:i/>
          <w:lang w:val="en-US"/>
        </w:rPr>
        <w:t>Asc</w:t>
      </w:r>
      <w:r w:rsidRPr="00920D7C">
        <w:rPr>
          <w:lang w:val="en-US"/>
        </w:rPr>
        <w:t xml:space="preserve">I of pINVf were identified. (C) The result in FASTA format of the amplified and sequenced fragment (Query) was analyzed in comparison to the expected vector sequence (Sbjct). </w:t>
      </w:r>
    </w:p>
    <w:p w14:paraId="4B12BA07" w14:textId="77777777" w:rsidR="002A28F3" w:rsidRPr="002A28F3" w:rsidRDefault="002A28F3" w:rsidP="002A28F3">
      <w:pPr>
        <w:rPr>
          <w:lang w:val="en-US"/>
        </w:rPr>
      </w:pPr>
    </w:p>
    <w:p w14:paraId="1A99F696" w14:textId="77777777" w:rsidR="00920D7C" w:rsidRPr="002A28F3" w:rsidRDefault="00920D7C" w:rsidP="00920D7C">
      <w:pPr>
        <w:rPr>
          <w:lang w:val="en-US"/>
        </w:rPr>
      </w:pPr>
    </w:p>
    <w:p w14:paraId="6EE196D6" w14:textId="77777777" w:rsidR="00920D7C" w:rsidRDefault="00920D7C" w:rsidP="00920D7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</w:rPr>
        <w:drawing>
          <wp:inline distT="0" distB="0" distL="0" distR="0" wp14:anchorId="72BF5E98" wp14:editId="329CE960">
            <wp:extent cx="5760085" cy="6007735"/>
            <wp:effectExtent l="0" t="0" r="0" b="0"/>
            <wp:docPr id="24" name="Imagem 24" descr="Linha do tem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m 24" descr="Linha do tem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600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4703D" w14:textId="4FAD815E" w:rsidR="00694C87" w:rsidRDefault="003A6753" w:rsidP="00920D7C">
      <w:pPr>
        <w:rPr>
          <w:sz w:val="20"/>
          <w:lang w:val="en-US"/>
        </w:rPr>
      </w:pPr>
      <w:r w:rsidRPr="003A6753">
        <w:rPr>
          <w:b/>
          <w:bCs/>
          <w:lang w:val="en-US"/>
        </w:rPr>
        <w:lastRenderedPageBreak/>
        <w:t xml:space="preserve">Supplementary figure </w:t>
      </w:r>
      <w:r>
        <w:rPr>
          <w:b/>
          <w:bCs/>
          <w:lang w:val="en-US"/>
        </w:rPr>
        <w:t>2</w:t>
      </w:r>
      <w:r w:rsidRPr="003A6753">
        <w:rPr>
          <w:b/>
          <w:bCs/>
          <w:lang w:val="en-US"/>
        </w:rPr>
        <w:t xml:space="preserve">. Full-lanes of </w:t>
      </w:r>
      <w:r w:rsidR="00B1327A" w:rsidRPr="00B1327A">
        <w:rPr>
          <w:b/>
          <w:bCs/>
          <w:lang w:val="en-US"/>
        </w:rPr>
        <w:t xml:space="preserve">electrophoresis on 1% agarose gel </w:t>
      </w:r>
      <w:r w:rsidRPr="003A6753">
        <w:rPr>
          <w:b/>
          <w:bCs/>
          <w:lang w:val="en-US"/>
        </w:rPr>
        <w:t xml:space="preserve">analyses depicted in Figure </w:t>
      </w:r>
      <w:r w:rsidR="00B1327A">
        <w:rPr>
          <w:b/>
          <w:bCs/>
          <w:lang w:val="en-US"/>
        </w:rPr>
        <w:t>1</w:t>
      </w:r>
      <w:r w:rsidRPr="003A6753">
        <w:rPr>
          <w:b/>
          <w:bCs/>
          <w:lang w:val="en-US"/>
        </w:rPr>
        <w:t>.</w:t>
      </w:r>
      <w:r w:rsidR="00D41C75">
        <w:rPr>
          <w:b/>
          <w:bCs/>
          <w:lang w:val="en-US"/>
        </w:rPr>
        <w:t xml:space="preserve"> </w:t>
      </w:r>
      <w:r w:rsidR="00D41C75" w:rsidRPr="00D41C75">
        <w:rPr>
          <w:sz w:val="20"/>
          <w:lang w:val="en-US"/>
        </w:rPr>
        <w:t xml:space="preserve">Analysis of products by: </w:t>
      </w:r>
      <w:r w:rsidR="00D41C75" w:rsidRPr="00D41C75">
        <w:rPr>
          <w:b/>
          <w:bCs/>
          <w:sz w:val="20"/>
          <w:lang w:val="en-US"/>
        </w:rPr>
        <w:t>(A)</w:t>
      </w:r>
      <w:r w:rsidR="00D41C75" w:rsidRPr="00D41C75">
        <w:rPr>
          <w:sz w:val="20"/>
          <w:lang w:val="en-US"/>
        </w:rPr>
        <w:t xml:space="preserve"> PCR products of RRP (242 bp</w:t>
      </w:r>
      <w:r w:rsidR="00AD38AD">
        <w:rPr>
          <w:sz w:val="20"/>
          <w:lang w:val="en-US"/>
        </w:rPr>
        <w:t>, arrow</w:t>
      </w:r>
      <w:r w:rsidR="00D41C75" w:rsidRPr="00D41C75">
        <w:rPr>
          <w:sz w:val="20"/>
          <w:lang w:val="en-US"/>
        </w:rPr>
        <w:t>), RRD (404 bp</w:t>
      </w:r>
      <w:r w:rsidR="00AD38AD">
        <w:rPr>
          <w:sz w:val="20"/>
          <w:lang w:val="en-US"/>
        </w:rPr>
        <w:t>, arrow</w:t>
      </w:r>
      <w:r w:rsidR="00D41C75" w:rsidRPr="00D41C75">
        <w:rPr>
          <w:sz w:val="20"/>
          <w:lang w:val="en-US"/>
        </w:rPr>
        <w:t xml:space="preserve">), water (CT); </w:t>
      </w:r>
      <w:r w:rsidR="00D41C75" w:rsidRPr="00D41C75">
        <w:rPr>
          <w:b/>
          <w:bCs/>
          <w:sz w:val="20"/>
          <w:lang w:val="en-US"/>
        </w:rPr>
        <w:t>(B)</w:t>
      </w:r>
      <w:r w:rsidR="00D41C75" w:rsidRPr="00D41C75">
        <w:rPr>
          <w:sz w:val="20"/>
          <w:lang w:val="en-US"/>
        </w:rPr>
        <w:t xml:space="preserve"> pINVf amplified after ligation of the functional regions forming the segment with 659 bp; </w:t>
      </w:r>
      <w:r w:rsidR="00D41C75" w:rsidRPr="00D41C75">
        <w:rPr>
          <w:b/>
          <w:bCs/>
          <w:sz w:val="20"/>
          <w:lang w:val="en-US"/>
        </w:rPr>
        <w:t>(</w:t>
      </w:r>
      <w:r w:rsidR="0072651C">
        <w:rPr>
          <w:b/>
          <w:bCs/>
          <w:sz w:val="20"/>
          <w:lang w:val="en-US"/>
        </w:rPr>
        <w:t>C</w:t>
      </w:r>
      <w:r w:rsidR="00D41C75" w:rsidRPr="00D41C75">
        <w:rPr>
          <w:b/>
          <w:bCs/>
          <w:sz w:val="20"/>
          <w:lang w:val="en-US"/>
        </w:rPr>
        <w:t>)</w:t>
      </w:r>
      <w:r w:rsidR="00D41C75" w:rsidRPr="00D41C75">
        <w:rPr>
          <w:sz w:val="20"/>
          <w:lang w:val="en-US"/>
        </w:rPr>
        <w:t xml:space="preserve"> PCR products of the vector templates using two primer sets: </w:t>
      </w:r>
      <w:r w:rsidR="00D41C75" w:rsidRPr="00D41C75">
        <w:rPr>
          <w:i/>
          <w:sz w:val="20"/>
          <w:lang w:val="en-US"/>
        </w:rPr>
        <w:t>LEGO-F</w:t>
      </w:r>
      <w:r w:rsidR="00D41C75" w:rsidRPr="00D41C75">
        <w:rPr>
          <w:sz w:val="20"/>
          <w:lang w:val="en-US"/>
        </w:rPr>
        <w:t xml:space="preserve"> and </w:t>
      </w:r>
      <w:r w:rsidR="00D41C75" w:rsidRPr="00D41C75">
        <w:rPr>
          <w:i/>
          <w:sz w:val="20"/>
          <w:lang w:val="en-US"/>
        </w:rPr>
        <w:t>R</w:t>
      </w:r>
      <w:r w:rsidR="00D41C75" w:rsidRPr="00D41C75">
        <w:rPr>
          <w:sz w:val="20"/>
          <w:lang w:val="en-US"/>
        </w:rPr>
        <w:t xml:space="preserve"> and </w:t>
      </w:r>
      <w:r w:rsidR="00D41C75" w:rsidRPr="00D41C75">
        <w:rPr>
          <w:i/>
          <w:sz w:val="20"/>
          <w:lang w:val="en-US"/>
        </w:rPr>
        <w:t>INV-F</w:t>
      </w:r>
      <w:r w:rsidR="00D41C75" w:rsidRPr="00D41C75">
        <w:rPr>
          <w:sz w:val="20"/>
          <w:lang w:val="en-US"/>
        </w:rPr>
        <w:t xml:space="preserve"> and </w:t>
      </w:r>
      <w:r w:rsidR="00D41C75" w:rsidRPr="00D41C75">
        <w:rPr>
          <w:i/>
          <w:sz w:val="20"/>
          <w:lang w:val="en-US"/>
        </w:rPr>
        <w:t xml:space="preserve">R; </w:t>
      </w:r>
      <w:r w:rsidR="00D41C75" w:rsidRPr="00D41C75">
        <w:rPr>
          <w:sz w:val="20"/>
          <w:lang w:val="en-US"/>
        </w:rPr>
        <w:t>the lanes correspond to: 1. pSFFV (726 bp) in LeGO-G/NeoOpt, 2. pINVf (850 bp) in LeGO-</w:t>
      </w:r>
      <w:proofErr w:type="spellStart"/>
      <w:r w:rsidR="006A4F3C">
        <w:rPr>
          <w:sz w:val="20"/>
          <w:lang w:val="en-US"/>
        </w:rPr>
        <w:t>C</w:t>
      </w:r>
      <w:r w:rsidR="00D41C75" w:rsidRPr="00D41C75">
        <w:rPr>
          <w:sz w:val="20"/>
          <w:lang w:val="en-US"/>
        </w:rPr>
        <w:t>pINV</w:t>
      </w:r>
      <w:proofErr w:type="spellEnd"/>
      <w:r w:rsidR="00D41C75" w:rsidRPr="00D41C75">
        <w:rPr>
          <w:sz w:val="20"/>
          <w:lang w:val="en-US"/>
        </w:rPr>
        <w:t xml:space="preserve">, </w:t>
      </w:r>
      <w:r w:rsidR="006E7017">
        <w:rPr>
          <w:sz w:val="20"/>
          <w:lang w:val="en-US"/>
        </w:rPr>
        <w:t xml:space="preserve">3. </w:t>
      </w:r>
      <w:r w:rsidR="006A4F3C" w:rsidRPr="00D41C75">
        <w:rPr>
          <w:sz w:val="20"/>
          <w:lang w:val="en-US"/>
        </w:rPr>
        <w:t>pINVf (850 bp) in LeGO-</w:t>
      </w:r>
      <w:r w:rsidR="006A4F3C">
        <w:rPr>
          <w:sz w:val="20"/>
          <w:lang w:val="en-US"/>
        </w:rPr>
        <w:t>G</w:t>
      </w:r>
      <w:r w:rsidR="006A4F3C" w:rsidRPr="00D41C75">
        <w:rPr>
          <w:sz w:val="20"/>
          <w:lang w:val="en-US"/>
        </w:rPr>
        <w:t xml:space="preserve">pINV, </w:t>
      </w:r>
      <w:r w:rsidR="007E5EF1">
        <w:rPr>
          <w:sz w:val="20"/>
          <w:lang w:val="en-US"/>
        </w:rPr>
        <w:t>4</w:t>
      </w:r>
      <w:r w:rsidR="00D41C75" w:rsidRPr="00D41C75">
        <w:rPr>
          <w:sz w:val="20"/>
          <w:lang w:val="en-US"/>
        </w:rPr>
        <w:t xml:space="preserve">. no pINVf amplification in LeGO-G/NeoOpt, </w:t>
      </w:r>
      <w:r w:rsidR="007E5EF1">
        <w:rPr>
          <w:sz w:val="20"/>
          <w:lang w:val="en-US"/>
        </w:rPr>
        <w:t>5</w:t>
      </w:r>
      <w:r w:rsidR="00D41C75" w:rsidRPr="00D41C75">
        <w:rPr>
          <w:sz w:val="20"/>
          <w:lang w:val="en-US"/>
        </w:rPr>
        <w:t>. pINVf (659 bp) in LeGO-</w:t>
      </w:r>
      <w:proofErr w:type="spellStart"/>
      <w:r w:rsidR="006A3352">
        <w:rPr>
          <w:sz w:val="20"/>
          <w:lang w:val="en-US"/>
        </w:rPr>
        <w:t>C</w:t>
      </w:r>
      <w:r w:rsidR="00D41C75" w:rsidRPr="00D41C75">
        <w:rPr>
          <w:sz w:val="20"/>
          <w:lang w:val="en-US"/>
        </w:rPr>
        <w:t>pINV</w:t>
      </w:r>
      <w:proofErr w:type="spellEnd"/>
      <w:r w:rsidR="0072651C">
        <w:rPr>
          <w:sz w:val="20"/>
          <w:lang w:val="en-US"/>
        </w:rPr>
        <w:t xml:space="preserve">, </w:t>
      </w:r>
      <w:r w:rsidR="007E5EF1">
        <w:rPr>
          <w:sz w:val="20"/>
          <w:lang w:val="en-US"/>
        </w:rPr>
        <w:t>6</w:t>
      </w:r>
      <w:r w:rsidR="0072651C">
        <w:rPr>
          <w:sz w:val="20"/>
          <w:lang w:val="en-US"/>
        </w:rPr>
        <w:t xml:space="preserve">. </w:t>
      </w:r>
      <w:r w:rsidR="006E7017" w:rsidRPr="00D41C75">
        <w:rPr>
          <w:sz w:val="20"/>
          <w:lang w:val="en-US"/>
        </w:rPr>
        <w:t>pINVf (659 bp) in LeGO-</w:t>
      </w:r>
      <w:r w:rsidR="006A3352">
        <w:rPr>
          <w:sz w:val="20"/>
          <w:lang w:val="en-US"/>
        </w:rPr>
        <w:t>G</w:t>
      </w:r>
      <w:r w:rsidR="006E7017" w:rsidRPr="00D41C75">
        <w:rPr>
          <w:sz w:val="20"/>
          <w:lang w:val="en-US"/>
        </w:rPr>
        <w:t>pINV</w:t>
      </w:r>
      <w:r w:rsidR="00D41C75" w:rsidRPr="00D41C75">
        <w:rPr>
          <w:b/>
          <w:bCs/>
          <w:sz w:val="20"/>
          <w:lang w:val="en-US"/>
        </w:rPr>
        <w:t>; (</w:t>
      </w:r>
      <w:r w:rsidR="006E7017">
        <w:rPr>
          <w:b/>
          <w:bCs/>
          <w:sz w:val="20"/>
          <w:lang w:val="en-US"/>
        </w:rPr>
        <w:t>D</w:t>
      </w:r>
      <w:r w:rsidR="00D41C75" w:rsidRPr="00D41C75">
        <w:rPr>
          <w:b/>
          <w:bCs/>
          <w:sz w:val="20"/>
          <w:lang w:val="en-US"/>
        </w:rPr>
        <w:t xml:space="preserve">) </w:t>
      </w:r>
      <w:r w:rsidR="00D41C75" w:rsidRPr="00D41C75">
        <w:rPr>
          <w:sz w:val="20"/>
          <w:lang w:val="en-US"/>
        </w:rPr>
        <w:t xml:space="preserve">Vector digestion with </w:t>
      </w:r>
      <w:r w:rsidR="00D41C75" w:rsidRPr="00D41C75">
        <w:rPr>
          <w:i/>
          <w:iCs/>
          <w:sz w:val="20"/>
          <w:lang w:val="en-US"/>
        </w:rPr>
        <w:t>NheI</w:t>
      </w:r>
      <w:r w:rsidR="00D41C75" w:rsidRPr="00D41C75">
        <w:rPr>
          <w:sz w:val="20"/>
          <w:lang w:val="en-US"/>
        </w:rPr>
        <w:t xml:space="preserve"> and </w:t>
      </w:r>
      <w:r w:rsidR="00D41C75" w:rsidRPr="00D41C75">
        <w:rPr>
          <w:i/>
          <w:iCs/>
          <w:sz w:val="20"/>
          <w:lang w:val="en-US"/>
        </w:rPr>
        <w:t>EcoRI</w:t>
      </w:r>
      <w:r w:rsidR="00D41C75" w:rsidRPr="00D41C75">
        <w:rPr>
          <w:sz w:val="20"/>
          <w:lang w:val="en-US"/>
        </w:rPr>
        <w:t xml:space="preserve">: </w:t>
      </w:r>
      <w:r w:rsidR="00E4649C">
        <w:rPr>
          <w:sz w:val="20"/>
          <w:lang w:val="en-US"/>
        </w:rPr>
        <w:t xml:space="preserve">1. </w:t>
      </w:r>
      <w:r w:rsidR="00D41C75" w:rsidRPr="00D41C75">
        <w:rPr>
          <w:sz w:val="20"/>
          <w:lang w:val="en-US"/>
        </w:rPr>
        <w:t xml:space="preserve">LeGO-G/NeoOpt containing pSFFV (1960 bp, arrow), </w:t>
      </w:r>
      <w:r w:rsidR="00E4649C">
        <w:rPr>
          <w:sz w:val="20"/>
          <w:lang w:val="en-US"/>
        </w:rPr>
        <w:t xml:space="preserve">2. </w:t>
      </w:r>
      <w:r w:rsidR="00D41C75" w:rsidRPr="00D41C75">
        <w:rPr>
          <w:sz w:val="20"/>
          <w:lang w:val="en-US"/>
        </w:rPr>
        <w:t>linearized LeGO-</w:t>
      </w:r>
      <w:proofErr w:type="spellStart"/>
      <w:r w:rsidR="008D3D88">
        <w:rPr>
          <w:sz w:val="20"/>
          <w:lang w:val="en-US"/>
        </w:rPr>
        <w:t>C</w:t>
      </w:r>
      <w:r w:rsidR="00D41C75" w:rsidRPr="00D41C75">
        <w:rPr>
          <w:sz w:val="20"/>
          <w:lang w:val="en-US"/>
        </w:rPr>
        <w:t>pINV</w:t>
      </w:r>
      <w:proofErr w:type="spellEnd"/>
      <w:r w:rsidR="00D41C75" w:rsidRPr="00D41C75">
        <w:rPr>
          <w:sz w:val="20"/>
          <w:lang w:val="en-US"/>
        </w:rPr>
        <w:t xml:space="preserve"> and absence of pSFFV</w:t>
      </w:r>
      <w:r w:rsidR="00E4649C">
        <w:rPr>
          <w:sz w:val="20"/>
          <w:lang w:val="en-US"/>
        </w:rPr>
        <w:t xml:space="preserve">, 2. </w:t>
      </w:r>
      <w:r w:rsidR="00E4649C" w:rsidRPr="00D41C75">
        <w:rPr>
          <w:sz w:val="20"/>
          <w:lang w:val="en-US"/>
        </w:rPr>
        <w:t>linearized LeGO-GpINV and absence of pSFF</w:t>
      </w:r>
      <w:r w:rsidR="008D3D88">
        <w:rPr>
          <w:sz w:val="20"/>
          <w:lang w:val="en-US"/>
        </w:rPr>
        <w:t>V</w:t>
      </w:r>
      <w:r w:rsidR="00D41C75" w:rsidRPr="00D41C75">
        <w:rPr>
          <w:sz w:val="20"/>
          <w:lang w:val="en-US"/>
        </w:rPr>
        <w:t xml:space="preserve">. </w:t>
      </w:r>
      <w:r w:rsidR="00D41C75" w:rsidRPr="00B1327A">
        <w:rPr>
          <w:b/>
          <w:bCs/>
          <w:sz w:val="20"/>
          <w:lang w:val="en-US"/>
        </w:rPr>
        <w:t>M1</w:t>
      </w:r>
      <w:r w:rsidR="00D41C75" w:rsidRPr="00B1327A">
        <w:rPr>
          <w:sz w:val="20"/>
          <w:lang w:val="en-US"/>
        </w:rPr>
        <w:t xml:space="preserve">: GeneRuler molecular mass standard 1 kb DNA Ladder; </w:t>
      </w:r>
      <w:r w:rsidR="00D41C75" w:rsidRPr="00B1327A">
        <w:rPr>
          <w:b/>
          <w:sz w:val="20"/>
          <w:lang w:val="en-US"/>
        </w:rPr>
        <w:t>M1’</w:t>
      </w:r>
      <w:r w:rsidR="00D41C75" w:rsidRPr="00B1327A">
        <w:rPr>
          <w:sz w:val="20"/>
          <w:lang w:val="en-US"/>
        </w:rPr>
        <w:t xml:space="preserve">: Molecular mass standard 1 kb (Amresco Inc, Solon, OH); </w:t>
      </w:r>
      <w:r w:rsidR="00D41C75" w:rsidRPr="00B1327A">
        <w:rPr>
          <w:b/>
          <w:bCs/>
          <w:sz w:val="20"/>
          <w:lang w:val="en-US"/>
        </w:rPr>
        <w:t>MM</w:t>
      </w:r>
      <w:r w:rsidR="00D41C75" w:rsidRPr="00B1327A">
        <w:rPr>
          <w:sz w:val="20"/>
          <w:lang w:val="en-US"/>
        </w:rPr>
        <w:t xml:space="preserve">: </w:t>
      </w:r>
      <w:proofErr w:type="spellStart"/>
      <w:r w:rsidR="00D41C75" w:rsidRPr="00B1327A">
        <w:rPr>
          <w:sz w:val="20"/>
          <w:lang w:val="en-US"/>
        </w:rPr>
        <w:t>Fastruler</w:t>
      </w:r>
      <w:proofErr w:type="spellEnd"/>
      <w:r w:rsidR="00D41C75" w:rsidRPr="00B1327A">
        <w:rPr>
          <w:sz w:val="20"/>
          <w:lang w:val="en-US"/>
        </w:rPr>
        <w:t xml:space="preserve"> Middle Range DNA Ladder mass standard.</w:t>
      </w:r>
    </w:p>
    <w:p w14:paraId="551B8C66" w14:textId="70A91BDA" w:rsidR="00920D7C" w:rsidRDefault="00694C87" w:rsidP="00920D7C">
      <w:pPr>
        <w:rPr>
          <w:lang w:val="en-US"/>
        </w:rPr>
      </w:pPr>
      <w:r>
        <w:rPr>
          <w:noProof/>
        </w:rPr>
        <w:drawing>
          <wp:inline distT="0" distB="0" distL="0" distR="0" wp14:anchorId="576053C3" wp14:editId="40D175A7">
            <wp:extent cx="5010150" cy="3457575"/>
            <wp:effectExtent l="0" t="0" r="0" b="0"/>
            <wp:docPr id="8" name="Imagem 8" descr="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Interface gráfica do usuári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93" r="7220" b="33678"/>
                    <a:stretch/>
                  </pic:blipFill>
                  <pic:spPr bwMode="auto">
                    <a:xfrm>
                      <a:off x="0" y="0"/>
                      <a:ext cx="50101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AE022E" w14:textId="77777777" w:rsidR="001177C6" w:rsidRDefault="001177C6" w:rsidP="00920D7C">
      <w:pPr>
        <w:rPr>
          <w:lang w:val="en-US"/>
        </w:rPr>
      </w:pPr>
    </w:p>
    <w:p w14:paraId="56F2A090" w14:textId="77777777" w:rsidR="001177C6" w:rsidRDefault="001177C6" w:rsidP="00920D7C">
      <w:pPr>
        <w:rPr>
          <w:b/>
          <w:bCs/>
          <w:lang w:val="en-US"/>
        </w:rPr>
      </w:pPr>
    </w:p>
    <w:p w14:paraId="5ACCBA34" w14:textId="77777777" w:rsidR="001177C6" w:rsidRDefault="001177C6" w:rsidP="00920D7C">
      <w:pPr>
        <w:rPr>
          <w:b/>
          <w:bCs/>
          <w:lang w:val="en-US"/>
        </w:rPr>
      </w:pPr>
    </w:p>
    <w:p w14:paraId="3C40A55E" w14:textId="77777777" w:rsidR="001177C6" w:rsidRDefault="001177C6" w:rsidP="00920D7C">
      <w:pPr>
        <w:rPr>
          <w:b/>
          <w:bCs/>
          <w:lang w:val="en-US"/>
        </w:rPr>
      </w:pPr>
    </w:p>
    <w:p w14:paraId="169520C2" w14:textId="77777777" w:rsidR="001177C6" w:rsidRDefault="001177C6" w:rsidP="00920D7C">
      <w:pPr>
        <w:rPr>
          <w:b/>
          <w:bCs/>
          <w:lang w:val="en-US"/>
        </w:rPr>
      </w:pPr>
    </w:p>
    <w:p w14:paraId="61F5C06E" w14:textId="77777777" w:rsidR="001177C6" w:rsidRDefault="001177C6" w:rsidP="00920D7C">
      <w:pPr>
        <w:rPr>
          <w:b/>
          <w:bCs/>
          <w:lang w:val="en-US"/>
        </w:rPr>
      </w:pPr>
    </w:p>
    <w:p w14:paraId="69E596F8" w14:textId="77777777" w:rsidR="001177C6" w:rsidRDefault="001177C6" w:rsidP="00920D7C">
      <w:pPr>
        <w:rPr>
          <w:b/>
          <w:bCs/>
          <w:lang w:val="en-US"/>
        </w:rPr>
      </w:pPr>
    </w:p>
    <w:p w14:paraId="7921B03C" w14:textId="77777777" w:rsidR="001177C6" w:rsidRDefault="001177C6" w:rsidP="00920D7C">
      <w:pPr>
        <w:rPr>
          <w:b/>
          <w:bCs/>
          <w:lang w:val="en-US"/>
        </w:rPr>
      </w:pPr>
    </w:p>
    <w:p w14:paraId="7C2D7544" w14:textId="77777777" w:rsidR="001177C6" w:rsidRDefault="001177C6" w:rsidP="00920D7C">
      <w:pPr>
        <w:rPr>
          <w:b/>
          <w:bCs/>
          <w:lang w:val="en-US"/>
        </w:rPr>
      </w:pPr>
    </w:p>
    <w:p w14:paraId="3DB40444" w14:textId="77777777" w:rsidR="001177C6" w:rsidRDefault="001177C6" w:rsidP="00920D7C">
      <w:pPr>
        <w:rPr>
          <w:b/>
          <w:bCs/>
          <w:lang w:val="en-US"/>
        </w:rPr>
      </w:pPr>
    </w:p>
    <w:p w14:paraId="351ED6F6" w14:textId="77777777" w:rsidR="001177C6" w:rsidRDefault="001177C6" w:rsidP="00920D7C">
      <w:pPr>
        <w:rPr>
          <w:b/>
          <w:bCs/>
          <w:lang w:val="en-US"/>
        </w:rPr>
      </w:pPr>
    </w:p>
    <w:p w14:paraId="7CE4AD91" w14:textId="77777777" w:rsidR="001177C6" w:rsidRDefault="001177C6" w:rsidP="00920D7C">
      <w:pPr>
        <w:rPr>
          <w:b/>
          <w:bCs/>
          <w:lang w:val="en-US"/>
        </w:rPr>
      </w:pPr>
    </w:p>
    <w:p w14:paraId="58FD4D0F" w14:textId="37EA709A" w:rsidR="00B21396" w:rsidRDefault="00B21396" w:rsidP="00920D7C">
      <w:pPr>
        <w:rPr>
          <w:lang w:val="en-US"/>
        </w:rPr>
      </w:pPr>
      <w:r w:rsidRPr="003A6753">
        <w:rPr>
          <w:b/>
          <w:bCs/>
          <w:lang w:val="en-US"/>
        </w:rPr>
        <w:lastRenderedPageBreak/>
        <w:t xml:space="preserve">Supplementary figure 3. Full-lanes of Western blot analyses depicted in Figure </w:t>
      </w:r>
      <w:r w:rsidR="006F560E" w:rsidRPr="003A6753">
        <w:rPr>
          <w:b/>
          <w:bCs/>
          <w:lang w:val="en-US"/>
        </w:rPr>
        <w:t>6B</w:t>
      </w:r>
      <w:r w:rsidRPr="003A6753">
        <w:rPr>
          <w:b/>
          <w:bCs/>
          <w:lang w:val="en-US"/>
        </w:rPr>
        <w:t>.</w:t>
      </w:r>
      <w:r w:rsidR="003055CB">
        <w:rPr>
          <w:lang w:val="en-US"/>
        </w:rPr>
        <w:t xml:space="preserve"> </w:t>
      </w:r>
      <w:r w:rsidR="00245FD2" w:rsidRPr="00245FD2">
        <w:rPr>
          <w:lang w:val="en-US"/>
        </w:rPr>
        <w:t>Relative expression of involucrin by western blot in MSC</w:t>
      </w:r>
      <w:r w:rsidR="008D3D88">
        <w:rPr>
          <w:lang w:val="en-US"/>
        </w:rPr>
        <w:t xml:space="preserve">, </w:t>
      </w:r>
      <w:r w:rsidR="00245FD2" w:rsidRPr="00245FD2">
        <w:rPr>
          <w:lang w:val="en-US"/>
        </w:rPr>
        <w:t>HaCaT</w:t>
      </w:r>
      <w:r w:rsidR="008D3D88">
        <w:rPr>
          <w:lang w:val="en-US"/>
        </w:rPr>
        <w:t xml:space="preserve">, </w:t>
      </w:r>
      <w:r w:rsidR="001177C6">
        <w:rPr>
          <w:lang w:val="en-US"/>
        </w:rPr>
        <w:t>primary k</w:t>
      </w:r>
      <w:r w:rsidR="008D3D88">
        <w:rPr>
          <w:lang w:val="en-US"/>
        </w:rPr>
        <w:t xml:space="preserve">eratinocytes (Ker) and </w:t>
      </w:r>
      <w:r w:rsidR="001177C6">
        <w:rPr>
          <w:lang w:val="en-US"/>
        </w:rPr>
        <w:t xml:space="preserve">dermal </w:t>
      </w:r>
      <w:r w:rsidR="00FA61F6">
        <w:rPr>
          <w:lang w:val="en-US"/>
        </w:rPr>
        <w:t>fibroblasts</w:t>
      </w:r>
      <w:r w:rsidR="00245FD2" w:rsidRPr="00245FD2">
        <w:rPr>
          <w:lang w:val="en-US"/>
        </w:rPr>
        <w:t xml:space="preserve"> </w:t>
      </w:r>
      <w:r w:rsidR="001177C6">
        <w:rPr>
          <w:lang w:val="en-US"/>
        </w:rPr>
        <w:t xml:space="preserve">(FP) </w:t>
      </w:r>
      <w:r w:rsidR="00245FD2" w:rsidRPr="00245FD2">
        <w:rPr>
          <w:lang w:val="en-US"/>
        </w:rPr>
        <w:t xml:space="preserve">cultured by 7 and 14 days in DMEM </w:t>
      </w:r>
      <w:r w:rsidR="0099367A">
        <w:rPr>
          <w:lang w:val="en-US"/>
        </w:rPr>
        <w:t xml:space="preserve">(D) </w:t>
      </w:r>
      <w:r w:rsidR="00245FD2" w:rsidRPr="00245FD2">
        <w:rPr>
          <w:lang w:val="en-US"/>
        </w:rPr>
        <w:t xml:space="preserve">and in KSFM </w:t>
      </w:r>
      <w:r w:rsidR="0099367A">
        <w:rPr>
          <w:lang w:val="en-US"/>
        </w:rPr>
        <w:t xml:space="preserve">(K) </w:t>
      </w:r>
      <w:r w:rsidR="00245FD2" w:rsidRPr="00245FD2">
        <w:rPr>
          <w:lang w:val="en-US"/>
        </w:rPr>
        <w:t>on the same days. 14' corresponds to cell lysates from MSC transduced with the recombinant vector.</w:t>
      </w:r>
      <w:r w:rsidR="00A866E5">
        <w:rPr>
          <w:lang w:val="en-US"/>
        </w:rPr>
        <w:t xml:space="preserve"> </w:t>
      </w:r>
      <w:r w:rsidR="004A1880">
        <w:rPr>
          <w:lang w:val="en-US"/>
        </w:rPr>
        <w:t xml:space="preserve">Marker: </w:t>
      </w:r>
      <w:proofErr w:type="spellStart"/>
      <w:r w:rsidR="00A866E5" w:rsidRPr="00A866E5">
        <w:rPr>
          <w:lang w:val="en-US"/>
        </w:rPr>
        <w:t>SeeBlue</w:t>
      </w:r>
      <w:proofErr w:type="spellEnd"/>
      <w:r w:rsidR="00A866E5" w:rsidRPr="00A866E5">
        <w:rPr>
          <w:lang w:val="en-US"/>
        </w:rPr>
        <w:t xml:space="preserve"> Plus</w:t>
      </w:r>
      <w:r w:rsidR="00A8262D">
        <w:rPr>
          <w:lang w:val="en-US"/>
        </w:rPr>
        <w:t xml:space="preserve"> 2 (</w:t>
      </w:r>
      <w:r w:rsidR="00504C8E">
        <w:rPr>
          <w:color w:val="000000"/>
        </w:rPr>
        <w:t xml:space="preserve">Thermo Fisher Scientific, </w:t>
      </w:r>
      <w:proofErr w:type="spellStart"/>
      <w:r w:rsidR="00504C8E">
        <w:rPr>
          <w:color w:val="000000"/>
        </w:rPr>
        <w:t>Waltham</w:t>
      </w:r>
      <w:proofErr w:type="spellEnd"/>
      <w:r w:rsidR="00504C8E">
        <w:rPr>
          <w:color w:val="000000"/>
        </w:rPr>
        <w:t>, MA)</w:t>
      </w:r>
      <w:r w:rsidR="00A866E5">
        <w:rPr>
          <w:lang w:val="en-US"/>
        </w:rPr>
        <w:t>.</w:t>
      </w:r>
    </w:p>
    <w:p w14:paraId="3BC9A808" w14:textId="15C17D16" w:rsidR="00B71D80" w:rsidRPr="00245FD2" w:rsidRDefault="00E47E06" w:rsidP="00920D7C">
      <w:pPr>
        <w:rPr>
          <w:lang w:val="en-US"/>
        </w:rPr>
      </w:pPr>
      <w:bookmarkStart w:id="0" w:name="_GoBack"/>
      <w:r>
        <w:rPr>
          <w:noProof/>
        </w:rPr>
        <w:drawing>
          <wp:inline distT="0" distB="0" distL="0" distR="0" wp14:anchorId="0D6EEBB8" wp14:editId="3F572A63">
            <wp:extent cx="4355116" cy="2999232"/>
            <wp:effectExtent l="0" t="0" r="0" b="0"/>
            <wp:docPr id="9" name="Imagem 9" descr="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Interface gráfica do usuári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96" b="25037"/>
                    <a:stretch/>
                  </pic:blipFill>
                  <pic:spPr bwMode="auto">
                    <a:xfrm>
                      <a:off x="0" y="0"/>
                      <a:ext cx="4362298" cy="3004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2676BB3F" w14:textId="5EA1C95F" w:rsidR="00B71F68" w:rsidRPr="00B21396" w:rsidRDefault="00B71F68" w:rsidP="00920D7C">
      <w:pPr>
        <w:rPr>
          <w:lang w:val="en-US"/>
        </w:rPr>
      </w:pPr>
    </w:p>
    <w:sectPr w:rsidR="00B71F68" w:rsidRPr="00B213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0D7C"/>
    <w:rsid w:val="00016EFB"/>
    <w:rsid w:val="001177C6"/>
    <w:rsid w:val="00174276"/>
    <w:rsid w:val="00245FD2"/>
    <w:rsid w:val="002A28F3"/>
    <w:rsid w:val="003055CB"/>
    <w:rsid w:val="00336723"/>
    <w:rsid w:val="003A6753"/>
    <w:rsid w:val="003C3876"/>
    <w:rsid w:val="004156CA"/>
    <w:rsid w:val="004A1880"/>
    <w:rsid w:val="00504C8E"/>
    <w:rsid w:val="005C7782"/>
    <w:rsid w:val="00694C87"/>
    <w:rsid w:val="006A3352"/>
    <w:rsid w:val="006A4F3C"/>
    <w:rsid w:val="006E7017"/>
    <w:rsid w:val="006F560E"/>
    <w:rsid w:val="0072651C"/>
    <w:rsid w:val="007978A1"/>
    <w:rsid w:val="007E5EF1"/>
    <w:rsid w:val="008165A8"/>
    <w:rsid w:val="008C1B41"/>
    <w:rsid w:val="008D3D88"/>
    <w:rsid w:val="00920D7C"/>
    <w:rsid w:val="0099367A"/>
    <w:rsid w:val="00A543B9"/>
    <w:rsid w:val="00A8262D"/>
    <w:rsid w:val="00A866E5"/>
    <w:rsid w:val="00AD38AD"/>
    <w:rsid w:val="00B1327A"/>
    <w:rsid w:val="00B21396"/>
    <w:rsid w:val="00B71D80"/>
    <w:rsid w:val="00B71F68"/>
    <w:rsid w:val="00CE2490"/>
    <w:rsid w:val="00D41C75"/>
    <w:rsid w:val="00E430FE"/>
    <w:rsid w:val="00E4649C"/>
    <w:rsid w:val="00E47E06"/>
    <w:rsid w:val="00FA4CEC"/>
    <w:rsid w:val="00FA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635AD"/>
  <w15:chartTrackingRefBased/>
  <w15:docId w15:val="{3097E25E-9D02-478F-83AF-FF46A0FEF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20D7C"/>
    <w:pPr>
      <w:spacing w:before="240" w:after="120" w:line="360" w:lineRule="auto"/>
      <w:outlineLvl w:val="0"/>
    </w:pPr>
    <w:rPr>
      <w:rFonts w:ascii="Arial" w:eastAsia="Arial" w:hAnsi="Arial" w:cs="Arial"/>
      <w:b/>
      <w:caps/>
      <w:sz w:val="24"/>
      <w:szCs w:val="20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920D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20D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920D7C"/>
    <w:rPr>
      <w:rFonts w:ascii="Arial" w:eastAsia="Arial" w:hAnsi="Arial" w:cs="Arial"/>
      <w:b/>
      <w:caps/>
      <w:sz w:val="24"/>
      <w:szCs w:val="20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316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myrian fernandes</dc:creator>
  <cp:keywords/>
  <dc:description/>
  <cp:lastModifiedBy>Microsoft Office User</cp:lastModifiedBy>
  <cp:revision>40</cp:revision>
  <dcterms:created xsi:type="dcterms:W3CDTF">2021-11-22T13:54:00Z</dcterms:created>
  <dcterms:modified xsi:type="dcterms:W3CDTF">2021-11-29T12:54:00Z</dcterms:modified>
</cp:coreProperties>
</file>