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7214" w14:textId="77777777" w:rsidR="00065B95" w:rsidRPr="00065B95" w:rsidRDefault="00065B95" w:rsidP="00065B95">
      <w:pPr>
        <w:spacing w:after="0" w:line="360" w:lineRule="auto"/>
        <w:contextualSpacing/>
        <w:jc w:val="center"/>
        <w:outlineLvl w:val="2"/>
        <w:rPr>
          <w:rFonts w:asciiTheme="majorBidi" w:eastAsia="Times New Roman" w:hAnsiTheme="majorBidi" w:cstheme="majorBidi"/>
          <w:b/>
          <w:bCs/>
          <w:color w:val="1F1F1F"/>
          <w:sz w:val="32"/>
          <w:szCs w:val="32"/>
          <w:lang w:val="en-GB" w:eastAsia="en-GB"/>
        </w:rPr>
      </w:pPr>
      <w:r w:rsidRPr="00065B95">
        <w:rPr>
          <w:rFonts w:asciiTheme="majorBidi" w:eastAsia="Times New Roman" w:hAnsiTheme="majorBidi" w:cstheme="majorBidi"/>
          <w:b/>
          <w:bCs/>
          <w:color w:val="1F1F1F"/>
          <w:sz w:val="32"/>
          <w:szCs w:val="32"/>
          <w:lang w:val="en-GB" w:eastAsia="en-GB"/>
        </w:rPr>
        <w:t>Systematic Review Protocol</w:t>
      </w:r>
    </w:p>
    <w:p w14:paraId="1B67BC2C" w14:textId="77777777" w:rsidR="009D54F1" w:rsidRDefault="00065B95" w:rsidP="00065B95">
      <w:pPr>
        <w:spacing w:after="0" w:line="360" w:lineRule="auto"/>
        <w:contextualSpacing/>
        <w:rPr>
          <w:rFonts w:asciiTheme="majorBidi" w:eastAsia="Times New Roman" w:hAnsiTheme="majorBidi" w:cstheme="majorBidi"/>
          <w:color w:val="1F1F1F"/>
          <w:sz w:val="24"/>
          <w:szCs w:val="24"/>
          <w:bdr w:val="none" w:sz="0" w:space="0" w:color="auto" w:frame="1"/>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Title:</w:t>
      </w:r>
      <w:r w:rsidRPr="00065B95">
        <w:rPr>
          <w:rFonts w:asciiTheme="majorBidi" w:eastAsia="Times New Roman" w:hAnsiTheme="majorBidi" w:cstheme="majorBidi"/>
          <w:color w:val="1F1F1F"/>
          <w:sz w:val="24"/>
          <w:szCs w:val="24"/>
          <w:bdr w:val="none" w:sz="0" w:space="0" w:color="auto" w:frame="1"/>
          <w:lang w:val="en-GB" w:eastAsia="en-GB"/>
        </w:rPr>
        <w:t xml:space="preserve"> Substance Use in Conflict-Affected Sudan (2021–2026): A Systematic Review of Prevalence, Patterns, and Risk Factors</w:t>
      </w:r>
    </w:p>
    <w:p w14:paraId="58A52E0C" w14:textId="1F946808" w:rsidR="00065B95" w:rsidRPr="00065B95" w:rsidRDefault="00065B95" w:rsidP="00065B95">
      <w:p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lang w:val="en-GB" w:eastAsia="en-GB"/>
        </w:rPr>
        <w:t xml:space="preserve"> </w:t>
      </w:r>
    </w:p>
    <w:p w14:paraId="7EFBF0CB" w14:textId="22AB4575" w:rsidR="00065B95" w:rsidRPr="00065B95" w:rsidRDefault="00065B95" w:rsidP="00065B95">
      <w:pPr>
        <w:spacing w:after="0" w:line="360" w:lineRule="auto"/>
        <w:contextualSpacing/>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t xml:space="preserve">1. Administrative Information </w:t>
      </w:r>
      <w:r w:rsidR="009D54F1">
        <w:rPr>
          <w:rFonts w:asciiTheme="majorBidi" w:eastAsia="Times New Roman" w:hAnsiTheme="majorBidi" w:cstheme="majorBidi"/>
          <w:b/>
          <w:bCs/>
          <w:color w:val="1F1F1F"/>
          <w:sz w:val="24"/>
          <w:szCs w:val="24"/>
          <w:lang w:val="en-GB" w:eastAsia="en-GB"/>
        </w:rPr>
        <w:t xml:space="preserve"> </w:t>
      </w:r>
    </w:p>
    <w:p w14:paraId="22519A27" w14:textId="77777777" w:rsidR="00065B95" w:rsidRPr="00065B95" w:rsidRDefault="00065B95" w:rsidP="00065B95">
      <w:pPr>
        <w:numPr>
          <w:ilvl w:val="0"/>
          <w:numId w:val="1"/>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Review Title:</w:t>
      </w:r>
      <w:r w:rsidRPr="00065B95">
        <w:rPr>
          <w:rFonts w:asciiTheme="majorBidi" w:eastAsia="Times New Roman" w:hAnsiTheme="majorBidi" w:cstheme="majorBidi"/>
          <w:color w:val="1F1F1F"/>
          <w:sz w:val="24"/>
          <w:szCs w:val="24"/>
          <w:bdr w:val="none" w:sz="0" w:space="0" w:color="auto" w:frame="1"/>
          <w:lang w:val="en-GB" w:eastAsia="en-GB"/>
        </w:rPr>
        <w:t xml:space="preserve"> Substance Use in Conflict-Affected Sudan (2021–2026): A Systematic Review of Prevalence, Patterns, and Risk Factors</w:t>
      </w:r>
      <w:r w:rsidRPr="00065B95">
        <w:rPr>
          <w:rFonts w:asciiTheme="majorBidi" w:eastAsia="Times New Roman" w:hAnsiTheme="majorBidi" w:cstheme="majorBidi"/>
          <w:color w:val="1F1F1F"/>
          <w:sz w:val="24"/>
          <w:szCs w:val="24"/>
          <w:lang w:val="en-GB" w:eastAsia="en-GB"/>
        </w:rPr>
        <w:t xml:space="preserve"> </w:t>
      </w:r>
    </w:p>
    <w:p w14:paraId="2F938E21" w14:textId="77777777"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4AC05829" w14:textId="77777777" w:rsidR="00065B95" w:rsidRDefault="00065B95" w:rsidP="00065B95">
      <w:pPr>
        <w:numPr>
          <w:ilvl w:val="0"/>
          <w:numId w:val="1"/>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Reporting Standard:</w:t>
      </w:r>
      <w:r w:rsidRPr="00065B95">
        <w:rPr>
          <w:rFonts w:asciiTheme="majorBidi" w:eastAsia="Times New Roman" w:hAnsiTheme="majorBidi" w:cstheme="majorBidi"/>
          <w:color w:val="1F1F1F"/>
          <w:sz w:val="24"/>
          <w:szCs w:val="24"/>
          <w:bdr w:val="none" w:sz="0" w:space="0" w:color="auto" w:frame="1"/>
          <w:lang w:val="en-GB" w:eastAsia="en-GB"/>
        </w:rPr>
        <w:t xml:space="preserve"> This protocol adheres to the PRISMA-P (Preferred Reporting Items for Systematic Review and Meta-Analysis Protocols) guidelines, with the final manuscript structured according to PRISMA 2020 and </w:t>
      </w:r>
      <w:proofErr w:type="spellStart"/>
      <w:r w:rsidRPr="00065B95">
        <w:rPr>
          <w:rFonts w:asciiTheme="majorBidi" w:eastAsia="Times New Roman" w:hAnsiTheme="majorBidi" w:cstheme="majorBidi"/>
          <w:color w:val="1F1F1F"/>
          <w:sz w:val="24"/>
          <w:szCs w:val="24"/>
          <w:bdr w:val="none" w:sz="0" w:space="0" w:color="auto" w:frame="1"/>
          <w:lang w:val="en-GB" w:eastAsia="en-GB"/>
        </w:rPr>
        <w:t>SWiM</w:t>
      </w:r>
      <w:proofErr w:type="spellEnd"/>
      <w:r w:rsidRPr="00065B95">
        <w:rPr>
          <w:rFonts w:asciiTheme="majorBidi" w:eastAsia="Times New Roman" w:hAnsiTheme="majorBidi" w:cstheme="majorBidi"/>
          <w:color w:val="1F1F1F"/>
          <w:sz w:val="24"/>
          <w:szCs w:val="24"/>
          <w:bdr w:val="none" w:sz="0" w:space="0" w:color="auto" w:frame="1"/>
          <w:lang w:val="en-GB" w:eastAsia="en-GB"/>
        </w:rPr>
        <w:t xml:space="preserve"> guidelines.</w:t>
      </w:r>
      <w:r w:rsidRPr="00065B95">
        <w:rPr>
          <w:rFonts w:asciiTheme="majorBidi" w:eastAsia="Times New Roman" w:hAnsiTheme="majorBidi" w:cstheme="majorBidi"/>
          <w:color w:val="1F1F1F"/>
          <w:sz w:val="24"/>
          <w:szCs w:val="24"/>
          <w:lang w:val="en-GB" w:eastAsia="en-GB"/>
        </w:rPr>
        <w:t xml:space="preserve"> </w:t>
      </w:r>
    </w:p>
    <w:p w14:paraId="3EE488B5" w14:textId="77777777" w:rsidR="00065B95" w:rsidRPr="00065B95" w:rsidRDefault="00065B95" w:rsidP="00065B95">
      <w:pPr>
        <w:spacing w:after="0" w:line="360" w:lineRule="auto"/>
        <w:contextualSpacing/>
        <w:rPr>
          <w:rFonts w:asciiTheme="majorBidi" w:eastAsia="Times New Roman" w:hAnsiTheme="majorBidi" w:cstheme="majorBidi"/>
          <w:color w:val="1F1F1F"/>
          <w:sz w:val="24"/>
          <w:szCs w:val="24"/>
          <w:lang w:val="en-GB" w:eastAsia="en-GB"/>
        </w:rPr>
      </w:pPr>
    </w:p>
    <w:p w14:paraId="69C58408" w14:textId="59670DDB" w:rsidR="00065B95" w:rsidRPr="00065B95" w:rsidRDefault="00065B95" w:rsidP="00065B95">
      <w:pPr>
        <w:spacing w:after="0" w:line="360" w:lineRule="auto"/>
        <w:contextualSpacing/>
        <w:outlineLvl w:val="3"/>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t>2. Background and Rationale</w:t>
      </w:r>
    </w:p>
    <w:p w14:paraId="05C80D7E" w14:textId="77777777" w:rsidR="00065B95" w:rsidRDefault="00065B95" w:rsidP="00065B95">
      <w:p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 xml:space="preserve">Political instability and full-scale armed conflict since 2019—culminating in the April 2023 war—have driven the collapse of health infrastructure, severe displacement, and an influx of uncontrolled psychoactive substances across Sudan’s borders. Historically, substance misuse </w:t>
      </w:r>
      <w:proofErr w:type="spellStart"/>
      <w:r w:rsidRPr="00065B95">
        <w:rPr>
          <w:rFonts w:asciiTheme="majorBidi" w:eastAsia="Times New Roman" w:hAnsiTheme="majorBidi" w:cstheme="majorBidi"/>
          <w:color w:val="1F1F1F"/>
          <w:sz w:val="24"/>
          <w:szCs w:val="24"/>
          <w:bdr w:val="none" w:sz="0" w:space="0" w:color="auto" w:frame="1"/>
          <w:lang w:val="en-GB" w:eastAsia="en-GB"/>
        </w:rPr>
        <w:t>centered</w:t>
      </w:r>
      <w:proofErr w:type="spellEnd"/>
      <w:r w:rsidRPr="00065B95">
        <w:rPr>
          <w:rFonts w:asciiTheme="majorBidi" w:eastAsia="Times New Roman" w:hAnsiTheme="majorBidi" w:cstheme="majorBidi"/>
          <w:color w:val="1F1F1F"/>
          <w:sz w:val="24"/>
          <w:szCs w:val="24"/>
          <w:bdr w:val="none" w:sz="0" w:space="0" w:color="auto" w:frame="1"/>
          <w:lang w:val="en-GB" w:eastAsia="en-GB"/>
        </w:rPr>
        <w:t xml:space="preserve"> around locally brewed alcohol (</w:t>
      </w:r>
      <w:r w:rsidRPr="00065B95">
        <w:rPr>
          <w:rFonts w:asciiTheme="majorBidi" w:eastAsia="Times New Roman" w:hAnsiTheme="majorBidi" w:cstheme="majorBidi"/>
          <w:i/>
          <w:iCs/>
          <w:color w:val="1F1F1F"/>
          <w:sz w:val="24"/>
          <w:szCs w:val="24"/>
          <w:bdr w:val="none" w:sz="0" w:space="0" w:color="auto" w:frame="1"/>
          <w:lang w:val="en-GB" w:eastAsia="en-GB"/>
        </w:rPr>
        <w:t>aragi</w:t>
      </w:r>
      <w:r w:rsidRPr="00065B95">
        <w:rPr>
          <w:rFonts w:asciiTheme="majorBidi" w:eastAsia="Times New Roman" w:hAnsiTheme="majorBidi" w:cstheme="majorBidi"/>
          <w:color w:val="1F1F1F"/>
          <w:sz w:val="24"/>
          <w:szCs w:val="24"/>
          <w:bdr w:val="none" w:sz="0" w:space="0" w:color="auto" w:frame="1"/>
          <w:lang w:val="en-GB" w:eastAsia="en-GB"/>
        </w:rPr>
        <w:t xml:space="preserve">, </w:t>
      </w:r>
      <w:r w:rsidRPr="00065B95">
        <w:rPr>
          <w:rFonts w:asciiTheme="majorBidi" w:eastAsia="Times New Roman" w:hAnsiTheme="majorBidi" w:cstheme="majorBidi"/>
          <w:i/>
          <w:iCs/>
          <w:color w:val="1F1F1F"/>
          <w:sz w:val="24"/>
          <w:szCs w:val="24"/>
          <w:bdr w:val="none" w:sz="0" w:space="0" w:color="auto" w:frame="1"/>
          <w:lang w:val="en-GB" w:eastAsia="en-GB"/>
        </w:rPr>
        <w:t>marisa</w:t>
      </w:r>
      <w:r w:rsidRPr="00065B95">
        <w:rPr>
          <w:rFonts w:asciiTheme="majorBidi" w:eastAsia="Times New Roman" w:hAnsiTheme="majorBidi" w:cstheme="majorBidi"/>
          <w:color w:val="1F1F1F"/>
          <w:sz w:val="24"/>
          <w:szCs w:val="24"/>
          <w:bdr w:val="none" w:sz="0" w:space="0" w:color="auto" w:frame="1"/>
          <w:lang w:val="en-GB" w:eastAsia="en-GB"/>
        </w:rPr>
        <w:t>), cannabis (</w:t>
      </w:r>
      <w:r w:rsidRPr="00065B95">
        <w:rPr>
          <w:rFonts w:asciiTheme="majorBidi" w:eastAsia="Times New Roman" w:hAnsiTheme="majorBidi" w:cstheme="majorBidi"/>
          <w:i/>
          <w:iCs/>
          <w:color w:val="1F1F1F"/>
          <w:sz w:val="24"/>
          <w:szCs w:val="24"/>
          <w:bdr w:val="none" w:sz="0" w:space="0" w:color="auto" w:frame="1"/>
          <w:lang w:val="en-GB" w:eastAsia="en-GB"/>
        </w:rPr>
        <w:t>bango</w:t>
      </w:r>
      <w:r w:rsidRPr="00065B95">
        <w:rPr>
          <w:rFonts w:asciiTheme="majorBidi" w:eastAsia="Times New Roman" w:hAnsiTheme="majorBidi" w:cstheme="majorBidi"/>
          <w:color w:val="1F1F1F"/>
          <w:sz w:val="24"/>
          <w:szCs w:val="24"/>
          <w:bdr w:val="none" w:sz="0" w:space="0" w:color="auto" w:frame="1"/>
          <w:lang w:val="en-GB" w:eastAsia="en-GB"/>
        </w:rPr>
        <w:t>), and tobacco products including oral snuff (</w:t>
      </w:r>
      <w:r w:rsidRPr="00065B95">
        <w:rPr>
          <w:rFonts w:asciiTheme="majorBidi" w:eastAsia="Times New Roman" w:hAnsiTheme="majorBidi" w:cstheme="majorBidi"/>
          <w:i/>
          <w:iCs/>
          <w:color w:val="1F1F1F"/>
          <w:sz w:val="24"/>
          <w:szCs w:val="24"/>
          <w:bdr w:val="none" w:sz="0" w:space="0" w:color="auto" w:frame="1"/>
          <w:lang w:val="en-GB" w:eastAsia="en-GB"/>
        </w:rPr>
        <w:t>toombak</w:t>
      </w:r>
      <w:r w:rsidRPr="00065B95">
        <w:rPr>
          <w:rFonts w:asciiTheme="majorBidi" w:eastAsia="Times New Roman" w:hAnsiTheme="majorBidi" w:cstheme="majorBidi"/>
          <w:color w:val="1F1F1F"/>
          <w:sz w:val="24"/>
          <w:szCs w:val="24"/>
          <w:bdr w:val="none" w:sz="0" w:space="0" w:color="auto" w:frame="1"/>
          <w:lang w:val="en-GB" w:eastAsia="en-GB"/>
        </w:rPr>
        <w:t>). Recent preliminary observations indicate an escalation in synthetic psychostimulant misuse (crystal methamphetamine</w:t>
      </w:r>
      <w:proofErr w:type="gramStart"/>
      <w:r w:rsidRPr="00065B95">
        <w:rPr>
          <w:rFonts w:asciiTheme="majorBidi" w:eastAsia="Times New Roman" w:hAnsiTheme="majorBidi" w:cstheme="majorBidi"/>
          <w:color w:val="1F1F1F"/>
          <w:sz w:val="24"/>
          <w:szCs w:val="24"/>
          <w:bdr w:val="none" w:sz="0" w:space="0" w:color="auto" w:frame="1"/>
          <w:lang w:val="en-GB" w:eastAsia="en-GB"/>
        </w:rPr>
        <w:t>/“</w:t>
      </w:r>
      <w:proofErr w:type="gramEnd"/>
      <w:r w:rsidRPr="00065B95">
        <w:rPr>
          <w:rFonts w:asciiTheme="majorBidi" w:eastAsia="Times New Roman" w:hAnsiTheme="majorBidi" w:cstheme="majorBidi"/>
          <w:color w:val="1F1F1F"/>
          <w:sz w:val="24"/>
          <w:szCs w:val="24"/>
          <w:bdr w:val="none" w:sz="0" w:space="0" w:color="auto" w:frame="1"/>
          <w:lang w:val="en-GB" w:eastAsia="en-GB"/>
        </w:rPr>
        <w:t>ice”) and the diversion of controlled prescription pharmaceuticals (tramadol, benzodiazepines, pregabalin). A systematic review is required to consolidate epidemiological evidence regarding the shift in prevalence, consumption patterns, and conflict-driven risk factors between 2021 and 2026.</w:t>
      </w:r>
      <w:r w:rsidRPr="00065B95">
        <w:rPr>
          <w:rFonts w:asciiTheme="majorBidi" w:eastAsia="Times New Roman" w:hAnsiTheme="majorBidi" w:cstheme="majorBidi"/>
          <w:color w:val="1F1F1F"/>
          <w:sz w:val="24"/>
          <w:szCs w:val="24"/>
          <w:lang w:val="en-GB" w:eastAsia="en-GB"/>
        </w:rPr>
        <w:t xml:space="preserve"> </w:t>
      </w:r>
    </w:p>
    <w:p w14:paraId="6CCE2A73" w14:textId="77777777" w:rsidR="00065B95" w:rsidRPr="00065B95" w:rsidRDefault="00065B95" w:rsidP="00065B95">
      <w:pPr>
        <w:spacing w:after="0" w:line="360" w:lineRule="auto"/>
        <w:contextualSpacing/>
        <w:rPr>
          <w:rFonts w:asciiTheme="majorBidi" w:eastAsia="Times New Roman" w:hAnsiTheme="majorBidi" w:cstheme="majorBidi"/>
          <w:color w:val="1F1F1F"/>
          <w:sz w:val="24"/>
          <w:szCs w:val="24"/>
          <w:lang w:val="en-GB" w:eastAsia="en-GB"/>
        </w:rPr>
      </w:pPr>
    </w:p>
    <w:p w14:paraId="1619DEE4" w14:textId="77777777" w:rsidR="00065B95" w:rsidRPr="00065B95" w:rsidRDefault="00065B95" w:rsidP="00065B95">
      <w:pPr>
        <w:spacing w:after="0" w:line="360" w:lineRule="auto"/>
        <w:contextualSpacing/>
        <w:outlineLvl w:val="3"/>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t>3. Review Objectives</w:t>
      </w:r>
    </w:p>
    <w:p w14:paraId="79888473" w14:textId="77777777" w:rsidR="00065B95" w:rsidRPr="00065B95" w:rsidRDefault="00065B95" w:rsidP="00065B95">
      <w:pPr>
        <w:numPr>
          <w:ilvl w:val="0"/>
          <w:numId w:val="2"/>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Quantify the recent prevalence of substance and alcohol use across community, academic, clinical, and displaced populations in Sudan.</w:t>
      </w:r>
      <w:r w:rsidRPr="00065B95">
        <w:rPr>
          <w:rFonts w:asciiTheme="majorBidi" w:eastAsia="Times New Roman" w:hAnsiTheme="majorBidi" w:cstheme="majorBidi"/>
          <w:color w:val="1F1F1F"/>
          <w:sz w:val="24"/>
          <w:szCs w:val="24"/>
          <w:lang w:val="en-GB" w:eastAsia="en-GB"/>
        </w:rPr>
        <w:t xml:space="preserve"> </w:t>
      </w:r>
    </w:p>
    <w:p w14:paraId="2470D7E6" w14:textId="6E642D96" w:rsidR="00065B95" w:rsidRPr="00065B95" w:rsidRDefault="00065B95" w:rsidP="00065B95">
      <w:pPr>
        <w:numPr>
          <w:ilvl w:val="0"/>
          <w:numId w:val="2"/>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Identify shifts in patterns of substance use</w:t>
      </w:r>
    </w:p>
    <w:p w14:paraId="5405631D" w14:textId="77777777" w:rsidR="00065B95" w:rsidRPr="00065B95" w:rsidRDefault="00065B95" w:rsidP="00065B95">
      <w:pPr>
        <w:numPr>
          <w:ilvl w:val="0"/>
          <w:numId w:val="2"/>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Determine key demographic, psychological, social, and conflict-related risk factors driving addiction during the 2021–2026 period.</w:t>
      </w:r>
      <w:r w:rsidRPr="00065B95">
        <w:rPr>
          <w:rFonts w:asciiTheme="majorBidi" w:eastAsia="Times New Roman" w:hAnsiTheme="majorBidi" w:cstheme="majorBidi"/>
          <w:color w:val="1F1F1F"/>
          <w:sz w:val="24"/>
          <w:szCs w:val="24"/>
          <w:lang w:val="en-GB" w:eastAsia="en-GB"/>
        </w:rPr>
        <w:t xml:space="preserve"> </w:t>
      </w:r>
    </w:p>
    <w:p w14:paraId="6DB83F07" w14:textId="77777777" w:rsid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2C7D3F85" w14:textId="1A646A74" w:rsidR="00065B95" w:rsidRDefault="00065B95" w:rsidP="00065B95">
      <w:pPr>
        <w:pStyle w:val="ListParagraph"/>
        <w:numPr>
          <w:ilvl w:val="0"/>
          <w:numId w:val="2"/>
        </w:numPr>
        <w:spacing w:after="0" w:line="360" w:lineRule="auto"/>
        <w:outlineLvl w:val="3"/>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lastRenderedPageBreak/>
        <w:t>Eligibility Criteria (PEO Framework)</w:t>
      </w:r>
    </w:p>
    <w:p w14:paraId="5F2F2436" w14:textId="77777777" w:rsidR="00065B95" w:rsidRPr="00065B95" w:rsidRDefault="00065B95" w:rsidP="00065B95">
      <w:pPr>
        <w:pStyle w:val="ListParagraph"/>
        <w:spacing w:after="0" w:line="360" w:lineRule="auto"/>
        <w:outlineLvl w:val="3"/>
        <w:rPr>
          <w:rFonts w:asciiTheme="majorBidi" w:eastAsia="Times New Roman" w:hAnsiTheme="majorBidi" w:cstheme="majorBidi"/>
          <w:b/>
          <w:bCs/>
          <w:color w:val="1F1F1F"/>
          <w:sz w:val="24"/>
          <w:szCs w:val="24"/>
          <w:lang w:val="en-GB" w:eastAsia="en-GB"/>
        </w:rPr>
      </w:pPr>
    </w:p>
    <w:p w14:paraId="2E1673BA" w14:textId="77777777" w:rsidR="00065B95" w:rsidRPr="00065B95" w:rsidRDefault="00065B95" w:rsidP="00065B95">
      <w:pPr>
        <w:numPr>
          <w:ilvl w:val="0"/>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Population (P):</w:t>
      </w:r>
    </w:p>
    <w:p w14:paraId="122D419B" w14:textId="3ED8437D"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Inclusion:</w:t>
      </w:r>
      <w:r w:rsidRPr="00065B95">
        <w:rPr>
          <w:rFonts w:asciiTheme="majorBidi" w:eastAsia="Times New Roman" w:hAnsiTheme="majorBidi" w:cstheme="majorBidi"/>
          <w:color w:val="1F1F1F"/>
          <w:sz w:val="24"/>
          <w:szCs w:val="24"/>
          <w:bdr w:val="none" w:sz="0" w:space="0" w:color="auto" w:frame="1"/>
          <w:lang w:val="en-GB" w:eastAsia="en-GB"/>
        </w:rPr>
        <w:t xml:space="preserve"> Sudanese individuals of any age, sex, or demographic residing within Sudan </w:t>
      </w:r>
    </w:p>
    <w:p w14:paraId="6D3A9B0B"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7C5AD6A0"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Exclusion:</w:t>
      </w:r>
      <w:r w:rsidRPr="00065B95">
        <w:rPr>
          <w:rFonts w:asciiTheme="majorBidi" w:eastAsia="Times New Roman" w:hAnsiTheme="majorBidi" w:cstheme="majorBidi"/>
          <w:color w:val="1F1F1F"/>
          <w:sz w:val="24"/>
          <w:szCs w:val="24"/>
          <w:bdr w:val="none" w:sz="0" w:space="0" w:color="auto" w:frame="1"/>
          <w:lang w:val="en-GB" w:eastAsia="en-GB"/>
        </w:rPr>
        <w:t xml:space="preserve"> Sudanese individuals in permanent foreign diaspora or living in foreign refugee settlements outside Sudan.</w:t>
      </w:r>
      <w:r w:rsidRPr="00065B95">
        <w:rPr>
          <w:rFonts w:asciiTheme="majorBidi" w:eastAsia="Times New Roman" w:hAnsiTheme="majorBidi" w:cstheme="majorBidi"/>
          <w:color w:val="1F1F1F"/>
          <w:sz w:val="24"/>
          <w:szCs w:val="24"/>
          <w:lang w:val="en-GB" w:eastAsia="en-GB"/>
        </w:rPr>
        <w:t xml:space="preserve"> </w:t>
      </w:r>
    </w:p>
    <w:p w14:paraId="501CD579"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7D3654A0" w14:textId="77777777" w:rsidR="00065B95" w:rsidRPr="00065B95" w:rsidRDefault="00065B95" w:rsidP="00065B95">
      <w:pPr>
        <w:numPr>
          <w:ilvl w:val="0"/>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Exposure (E):</w:t>
      </w:r>
    </w:p>
    <w:p w14:paraId="0C3EEF0B"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Inclusion:</w:t>
      </w:r>
      <w:r w:rsidRPr="00065B95">
        <w:rPr>
          <w:rFonts w:asciiTheme="majorBidi" w:eastAsia="Times New Roman" w:hAnsiTheme="majorBidi" w:cstheme="majorBidi"/>
          <w:color w:val="1F1F1F"/>
          <w:sz w:val="24"/>
          <w:szCs w:val="24"/>
          <w:bdr w:val="none" w:sz="0" w:space="0" w:color="auto" w:frame="1"/>
          <w:lang w:val="en-GB" w:eastAsia="en-GB"/>
        </w:rPr>
        <w:t xml:space="preserve"> Consumption, misuse, or dependence on traditional substances (indigenous alcohol, cannabis, </w:t>
      </w:r>
      <w:r w:rsidRPr="00065B95">
        <w:rPr>
          <w:rFonts w:asciiTheme="majorBidi" w:eastAsia="Times New Roman" w:hAnsiTheme="majorBidi" w:cstheme="majorBidi"/>
          <w:i/>
          <w:iCs/>
          <w:color w:val="1F1F1F"/>
          <w:sz w:val="24"/>
          <w:szCs w:val="24"/>
          <w:bdr w:val="none" w:sz="0" w:space="0" w:color="auto" w:frame="1"/>
          <w:lang w:val="en-GB" w:eastAsia="en-GB"/>
        </w:rPr>
        <w:t>toombak</w:t>
      </w:r>
      <w:r w:rsidRPr="00065B95">
        <w:rPr>
          <w:rFonts w:asciiTheme="majorBidi" w:eastAsia="Times New Roman" w:hAnsiTheme="majorBidi" w:cstheme="majorBidi"/>
          <w:color w:val="1F1F1F"/>
          <w:sz w:val="24"/>
          <w:szCs w:val="24"/>
          <w:bdr w:val="none" w:sz="0" w:space="0" w:color="auto" w:frame="1"/>
          <w:lang w:val="en-GB" w:eastAsia="en-GB"/>
        </w:rPr>
        <w:t>, smoked tobacco), diverted pharmaceuticals (tramadol, benzodiazepines, clonazepam, pregabalin, codeine syrups), synthetic psychostimulants (crystal methamphetamine/ice, Captagon), and volatile inhalants (industrial solvents, glue).</w:t>
      </w:r>
      <w:r w:rsidRPr="00065B95">
        <w:rPr>
          <w:rFonts w:asciiTheme="majorBidi" w:eastAsia="Times New Roman" w:hAnsiTheme="majorBidi" w:cstheme="majorBidi"/>
          <w:color w:val="1F1F1F"/>
          <w:sz w:val="24"/>
          <w:szCs w:val="24"/>
          <w:lang w:val="en-GB" w:eastAsia="en-GB"/>
        </w:rPr>
        <w:t xml:space="preserve"> </w:t>
      </w:r>
    </w:p>
    <w:p w14:paraId="6565255A"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7456DBE9"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Exclusion:</w:t>
      </w:r>
      <w:r w:rsidRPr="00065B95">
        <w:rPr>
          <w:rFonts w:asciiTheme="majorBidi" w:eastAsia="Times New Roman" w:hAnsiTheme="majorBidi" w:cstheme="majorBidi"/>
          <w:color w:val="1F1F1F"/>
          <w:sz w:val="24"/>
          <w:szCs w:val="24"/>
          <w:bdr w:val="none" w:sz="0" w:space="0" w:color="auto" w:frame="1"/>
          <w:lang w:val="en-GB" w:eastAsia="en-GB"/>
        </w:rPr>
        <w:t xml:space="preserve"> Studies restricted solely to chemical assay/biomarker profiles of substances without human prevalence or consumption endpoints; clinical intervention or treatment efficacy trials without baseline epidemiological/prevalence measures.</w:t>
      </w:r>
      <w:r w:rsidRPr="00065B95">
        <w:rPr>
          <w:rFonts w:asciiTheme="majorBidi" w:eastAsia="Times New Roman" w:hAnsiTheme="majorBidi" w:cstheme="majorBidi"/>
          <w:color w:val="1F1F1F"/>
          <w:sz w:val="24"/>
          <w:szCs w:val="24"/>
          <w:lang w:val="en-GB" w:eastAsia="en-GB"/>
        </w:rPr>
        <w:t xml:space="preserve"> </w:t>
      </w:r>
    </w:p>
    <w:p w14:paraId="764EDED9"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4AC8202B" w14:textId="77777777" w:rsidR="00065B95" w:rsidRPr="00065B95" w:rsidRDefault="00065B95" w:rsidP="00065B95">
      <w:pPr>
        <w:numPr>
          <w:ilvl w:val="0"/>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Outcomes (O):</w:t>
      </w:r>
    </w:p>
    <w:p w14:paraId="279EC18A" w14:textId="4F432B86"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Primary:</w:t>
      </w:r>
      <w:r w:rsidRPr="00065B95">
        <w:rPr>
          <w:rFonts w:asciiTheme="majorBidi" w:eastAsia="Times New Roman" w:hAnsiTheme="majorBidi" w:cstheme="majorBidi"/>
          <w:color w:val="1F1F1F"/>
          <w:sz w:val="24"/>
          <w:szCs w:val="24"/>
          <w:bdr w:val="none" w:sz="0" w:space="0" w:color="auto" w:frame="1"/>
          <w:lang w:val="en-GB" w:eastAsia="en-GB"/>
        </w:rPr>
        <w:t xml:space="preserve"> Point, period, or lifetime prevalence rates of substance use</w:t>
      </w:r>
    </w:p>
    <w:p w14:paraId="1073814F"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3A3473B0"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Secondary:</w:t>
      </w:r>
      <w:r w:rsidRPr="00065B95">
        <w:rPr>
          <w:rFonts w:asciiTheme="majorBidi" w:eastAsia="Times New Roman" w:hAnsiTheme="majorBidi" w:cstheme="majorBidi"/>
          <w:color w:val="1F1F1F"/>
          <w:sz w:val="24"/>
          <w:szCs w:val="24"/>
          <w:bdr w:val="none" w:sz="0" w:space="0" w:color="auto" w:frame="1"/>
          <w:lang w:val="en-GB" w:eastAsia="en-GB"/>
        </w:rPr>
        <w:t xml:space="preserve"> Odds ratios (OR) or multivariable correlates identifying demographic (age, male sex), socioeconomic (unemployment, poverty), clinical (PTSD, psychological trauma), or environmental (forced displacement, border trafficking, lack of sales bans) risk factors.</w:t>
      </w:r>
      <w:r w:rsidRPr="00065B95">
        <w:rPr>
          <w:rFonts w:asciiTheme="majorBidi" w:eastAsia="Times New Roman" w:hAnsiTheme="majorBidi" w:cstheme="majorBidi"/>
          <w:color w:val="1F1F1F"/>
          <w:sz w:val="24"/>
          <w:szCs w:val="24"/>
          <w:lang w:val="en-GB" w:eastAsia="en-GB"/>
        </w:rPr>
        <w:t xml:space="preserve"> </w:t>
      </w:r>
    </w:p>
    <w:p w14:paraId="0947056D" w14:textId="77777777" w:rsid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420F22AC" w14:textId="77777777" w:rsid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48EED6C7"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04A7DBF3" w14:textId="77777777" w:rsidR="00065B95" w:rsidRPr="00065B95" w:rsidRDefault="00065B95" w:rsidP="00065B95">
      <w:pPr>
        <w:numPr>
          <w:ilvl w:val="0"/>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lastRenderedPageBreak/>
        <w:t>Study Design &amp; Characteristics:</w:t>
      </w:r>
    </w:p>
    <w:p w14:paraId="36ADB958" w14:textId="2E8D2574"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41AC240F"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Inclusion:</w:t>
      </w:r>
      <w:r w:rsidRPr="00065B95">
        <w:rPr>
          <w:rFonts w:asciiTheme="majorBidi" w:eastAsia="Times New Roman" w:hAnsiTheme="majorBidi" w:cstheme="majorBidi"/>
          <w:color w:val="1F1F1F"/>
          <w:sz w:val="24"/>
          <w:szCs w:val="24"/>
          <w:bdr w:val="none" w:sz="0" w:space="0" w:color="auto" w:frame="1"/>
          <w:lang w:val="en-GB" w:eastAsia="en-GB"/>
        </w:rPr>
        <w:t xml:space="preserve"> Observational designs including cross-sectional surveys, cohort studies, case-control evaluations, and clinical surveillance audits. Both peer-reviewed journal articles and indexed preprint manuscripts under review (e.g., Research Square) are eligible.</w:t>
      </w:r>
      <w:r w:rsidRPr="00065B95">
        <w:rPr>
          <w:rFonts w:asciiTheme="majorBidi" w:eastAsia="Times New Roman" w:hAnsiTheme="majorBidi" w:cstheme="majorBidi"/>
          <w:color w:val="1F1F1F"/>
          <w:sz w:val="24"/>
          <w:szCs w:val="24"/>
          <w:lang w:val="en-GB" w:eastAsia="en-GB"/>
        </w:rPr>
        <w:t xml:space="preserve"> </w:t>
      </w:r>
    </w:p>
    <w:p w14:paraId="2FB00570"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0ECD5542"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Exclusion:</w:t>
      </w:r>
      <w:r w:rsidRPr="00065B95">
        <w:rPr>
          <w:rFonts w:asciiTheme="majorBidi" w:eastAsia="Times New Roman" w:hAnsiTheme="majorBidi" w:cstheme="majorBidi"/>
          <w:color w:val="1F1F1F"/>
          <w:sz w:val="24"/>
          <w:szCs w:val="24"/>
          <w:bdr w:val="none" w:sz="0" w:space="0" w:color="auto" w:frame="1"/>
          <w:lang w:val="en-GB" w:eastAsia="en-GB"/>
        </w:rPr>
        <w:t xml:space="preserve"> Narrative reviews without primary data, systematic reviews, conference abstracts, editorials, and individual case reports.</w:t>
      </w:r>
      <w:r w:rsidRPr="00065B95">
        <w:rPr>
          <w:rFonts w:asciiTheme="majorBidi" w:eastAsia="Times New Roman" w:hAnsiTheme="majorBidi" w:cstheme="majorBidi"/>
          <w:color w:val="1F1F1F"/>
          <w:sz w:val="24"/>
          <w:szCs w:val="24"/>
          <w:lang w:val="en-GB" w:eastAsia="en-GB"/>
        </w:rPr>
        <w:t xml:space="preserve"> </w:t>
      </w:r>
    </w:p>
    <w:p w14:paraId="764C87F6"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7108D10A"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Timeframe:</w:t>
      </w:r>
      <w:r w:rsidRPr="00065B95">
        <w:rPr>
          <w:rFonts w:asciiTheme="majorBidi" w:eastAsia="Times New Roman" w:hAnsiTheme="majorBidi" w:cstheme="majorBidi"/>
          <w:color w:val="1F1F1F"/>
          <w:sz w:val="24"/>
          <w:szCs w:val="24"/>
          <w:bdr w:val="none" w:sz="0" w:space="0" w:color="auto" w:frame="1"/>
          <w:lang w:val="en-GB" w:eastAsia="en-GB"/>
        </w:rPr>
        <w:t xml:space="preserve"> Studies published between January 1, 2021, and June 2026.</w:t>
      </w:r>
      <w:r w:rsidRPr="00065B95">
        <w:rPr>
          <w:rFonts w:asciiTheme="majorBidi" w:eastAsia="Times New Roman" w:hAnsiTheme="majorBidi" w:cstheme="majorBidi"/>
          <w:color w:val="1F1F1F"/>
          <w:sz w:val="24"/>
          <w:szCs w:val="24"/>
          <w:lang w:val="en-GB" w:eastAsia="en-GB"/>
        </w:rPr>
        <w:t xml:space="preserve"> </w:t>
      </w:r>
    </w:p>
    <w:p w14:paraId="7A486364"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4619EFC9" w14:textId="77777777" w:rsidR="00065B95" w:rsidRPr="00065B95" w:rsidRDefault="00065B95" w:rsidP="00065B95">
      <w:pPr>
        <w:numPr>
          <w:ilvl w:val="1"/>
          <w:numId w:val="3"/>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Language:</w:t>
      </w:r>
      <w:r w:rsidRPr="00065B95">
        <w:rPr>
          <w:rFonts w:asciiTheme="majorBidi" w:eastAsia="Times New Roman" w:hAnsiTheme="majorBidi" w:cstheme="majorBidi"/>
          <w:color w:val="1F1F1F"/>
          <w:sz w:val="24"/>
          <w:szCs w:val="24"/>
          <w:bdr w:val="none" w:sz="0" w:space="0" w:color="auto" w:frame="1"/>
          <w:lang w:val="en-GB" w:eastAsia="en-GB"/>
        </w:rPr>
        <w:t xml:space="preserve"> English and Arabic.</w:t>
      </w:r>
      <w:r w:rsidRPr="00065B95">
        <w:rPr>
          <w:rFonts w:asciiTheme="majorBidi" w:eastAsia="Times New Roman" w:hAnsiTheme="majorBidi" w:cstheme="majorBidi"/>
          <w:color w:val="1F1F1F"/>
          <w:sz w:val="24"/>
          <w:szCs w:val="24"/>
          <w:lang w:val="en-GB" w:eastAsia="en-GB"/>
        </w:rPr>
        <w:t xml:space="preserve"> </w:t>
      </w:r>
    </w:p>
    <w:p w14:paraId="6C10C09E"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59BA5BFE" w14:textId="77777777" w:rsidR="00065B95" w:rsidRPr="00065B95" w:rsidRDefault="00065B95" w:rsidP="00065B95">
      <w:pPr>
        <w:spacing w:after="0" w:line="360" w:lineRule="auto"/>
        <w:contextualSpacing/>
        <w:outlineLvl w:val="3"/>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t>5. Information Sources &amp; Search Strategy</w:t>
      </w:r>
    </w:p>
    <w:p w14:paraId="5D67FD02" w14:textId="77777777" w:rsidR="00065B95" w:rsidRPr="00065B95" w:rsidRDefault="00065B95" w:rsidP="00065B95">
      <w:pPr>
        <w:numPr>
          <w:ilvl w:val="0"/>
          <w:numId w:val="4"/>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Electronic Databases:</w:t>
      </w:r>
    </w:p>
    <w:p w14:paraId="43520FF5" w14:textId="77777777" w:rsidR="00065B95" w:rsidRPr="00065B95" w:rsidRDefault="00065B95" w:rsidP="00065B95">
      <w:pPr>
        <w:numPr>
          <w:ilvl w:val="1"/>
          <w:numId w:val="4"/>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PubMed / MEDLINE</w:t>
      </w:r>
      <w:r w:rsidRPr="00065B95">
        <w:rPr>
          <w:rFonts w:asciiTheme="majorBidi" w:eastAsia="Times New Roman" w:hAnsiTheme="majorBidi" w:cstheme="majorBidi"/>
          <w:color w:val="1F1F1F"/>
          <w:sz w:val="24"/>
          <w:szCs w:val="24"/>
          <w:lang w:val="en-GB" w:eastAsia="en-GB"/>
        </w:rPr>
        <w:t xml:space="preserve"> </w:t>
      </w:r>
    </w:p>
    <w:p w14:paraId="0350E1E2" w14:textId="77777777" w:rsidR="00065B95" w:rsidRPr="00065B95" w:rsidRDefault="00065B95" w:rsidP="00065B95">
      <w:pPr>
        <w:numPr>
          <w:ilvl w:val="1"/>
          <w:numId w:val="4"/>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Web of Science Core Collection</w:t>
      </w:r>
      <w:r w:rsidRPr="00065B95">
        <w:rPr>
          <w:rFonts w:asciiTheme="majorBidi" w:eastAsia="Times New Roman" w:hAnsiTheme="majorBidi" w:cstheme="majorBidi"/>
          <w:color w:val="1F1F1F"/>
          <w:sz w:val="24"/>
          <w:szCs w:val="24"/>
          <w:lang w:val="en-GB" w:eastAsia="en-GB"/>
        </w:rPr>
        <w:t xml:space="preserve"> </w:t>
      </w:r>
    </w:p>
    <w:p w14:paraId="2E3F58F3" w14:textId="77777777" w:rsidR="00065B95" w:rsidRPr="00065B95" w:rsidRDefault="00065B95" w:rsidP="00065B95">
      <w:pPr>
        <w:numPr>
          <w:ilvl w:val="1"/>
          <w:numId w:val="4"/>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African Journals Online (AJOL)</w:t>
      </w:r>
      <w:r w:rsidRPr="00065B95">
        <w:rPr>
          <w:rFonts w:asciiTheme="majorBidi" w:eastAsia="Times New Roman" w:hAnsiTheme="majorBidi" w:cstheme="majorBidi"/>
          <w:color w:val="1F1F1F"/>
          <w:sz w:val="24"/>
          <w:szCs w:val="24"/>
          <w:lang w:val="en-GB" w:eastAsia="en-GB"/>
        </w:rPr>
        <w:t xml:space="preserve"> </w:t>
      </w:r>
    </w:p>
    <w:p w14:paraId="2DE006FF" w14:textId="77777777" w:rsidR="00065B95" w:rsidRPr="00065B95" w:rsidRDefault="00065B95" w:rsidP="00065B95">
      <w:pPr>
        <w:numPr>
          <w:ilvl w:val="1"/>
          <w:numId w:val="4"/>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Google Scholar (utilized for forward/backward citation screening and grey literature capture)</w:t>
      </w:r>
      <w:r w:rsidRPr="00065B95">
        <w:rPr>
          <w:rFonts w:asciiTheme="majorBidi" w:eastAsia="Times New Roman" w:hAnsiTheme="majorBidi" w:cstheme="majorBidi"/>
          <w:color w:val="1F1F1F"/>
          <w:sz w:val="24"/>
          <w:szCs w:val="24"/>
          <w:lang w:val="en-GB" w:eastAsia="en-GB"/>
        </w:rPr>
        <w:t xml:space="preserve"> </w:t>
      </w:r>
    </w:p>
    <w:p w14:paraId="70B2AA47"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66EA8577" w14:textId="5C4552D1" w:rsidR="00065B95" w:rsidRPr="00065B95" w:rsidRDefault="00065B95" w:rsidP="00065B95">
      <w:pPr>
        <w:numPr>
          <w:ilvl w:val="0"/>
          <w:numId w:val="4"/>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Search Architecture:</w:t>
      </w:r>
      <w:r w:rsidRPr="00065B95">
        <w:rPr>
          <w:rFonts w:asciiTheme="majorBidi" w:eastAsia="Times New Roman" w:hAnsiTheme="majorBidi" w:cstheme="majorBidi"/>
          <w:color w:val="1F1F1F"/>
          <w:sz w:val="24"/>
          <w:szCs w:val="24"/>
          <w:bdr w:val="none" w:sz="0" w:space="0" w:color="auto" w:frame="1"/>
          <w:lang w:val="en-GB" w:eastAsia="en-GB"/>
        </w:rPr>
        <w:t xml:space="preserve"> </w:t>
      </w:r>
    </w:p>
    <w:p w14:paraId="3855C153" w14:textId="4A52D60D" w:rsidR="00065B95" w:rsidRPr="00065B95" w:rsidRDefault="00065B95" w:rsidP="00065B95">
      <w:pPr>
        <w:numPr>
          <w:ilvl w:val="1"/>
          <w:numId w:val="4"/>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i/>
          <w:iCs/>
          <w:color w:val="1F1F1F"/>
          <w:sz w:val="24"/>
          <w:szCs w:val="24"/>
          <w:bdr w:val="none" w:sz="0" w:space="0" w:color="auto" w:frame="1"/>
          <w:lang w:val="en-GB" w:eastAsia="en-GB"/>
        </w:rPr>
        <w:t>Sample Query Structure (PubMed):</w:t>
      </w:r>
    </w:p>
    <w:p w14:paraId="4CE6700F"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lang w:val="en-GB" w:eastAsia="en-GB"/>
        </w:rPr>
        <w:t>("Sudan"[Mesh] OR "Sudan*"[</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"Khartoum"[</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"Darfur"[</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"Kassala"[</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AND ("Substance-Related Disorders"[Mesh] OR "drug abuse"[</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"addiction"[</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"prevalence"[</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AND ("Methamphetamine"[Mesh] OR "Ice"[</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"Toombak"[</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"Tramadol"[</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"Bango"[</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"Cannabis"[Mesh] OR "Inhalants"[</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 OR "Aragi"[</w:t>
      </w:r>
      <w:proofErr w:type="spellStart"/>
      <w:r w:rsidRPr="00065B95">
        <w:rPr>
          <w:rFonts w:asciiTheme="majorBidi" w:eastAsia="Times New Roman" w:hAnsiTheme="majorBidi" w:cstheme="majorBidi"/>
          <w:color w:val="1F1F1F"/>
          <w:sz w:val="24"/>
          <w:szCs w:val="24"/>
          <w:lang w:val="en-GB" w:eastAsia="en-GB"/>
        </w:rPr>
        <w:t>tiab</w:t>
      </w:r>
      <w:proofErr w:type="spellEnd"/>
      <w:r w:rsidRPr="00065B95">
        <w:rPr>
          <w:rFonts w:asciiTheme="majorBidi" w:eastAsia="Times New Roman" w:hAnsiTheme="majorBidi" w:cstheme="majorBidi"/>
          <w:color w:val="1F1F1F"/>
          <w:sz w:val="24"/>
          <w:szCs w:val="24"/>
          <w:lang w:val="en-GB" w:eastAsia="en-GB"/>
        </w:rPr>
        <w:t>])</w:t>
      </w:r>
    </w:p>
    <w:p w14:paraId="3F65C04C" w14:textId="77777777" w:rsid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58D6B79F"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3D8EFD13" w14:textId="77777777" w:rsidR="00065B95" w:rsidRPr="00065B95" w:rsidRDefault="00065B95" w:rsidP="00065B95">
      <w:pPr>
        <w:spacing w:after="0" w:line="360" w:lineRule="auto"/>
        <w:contextualSpacing/>
        <w:outlineLvl w:val="3"/>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lastRenderedPageBreak/>
        <w:t>6. Study Selection &amp; Data Management</w:t>
      </w:r>
    </w:p>
    <w:p w14:paraId="318F9719" w14:textId="77777777" w:rsidR="00065B95" w:rsidRPr="00065B95" w:rsidRDefault="00065B95" w:rsidP="00065B95">
      <w:pPr>
        <w:numPr>
          <w:ilvl w:val="0"/>
          <w:numId w:val="5"/>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Deduplication:</w:t>
      </w:r>
      <w:r w:rsidRPr="00065B95">
        <w:rPr>
          <w:rFonts w:asciiTheme="majorBidi" w:eastAsia="Times New Roman" w:hAnsiTheme="majorBidi" w:cstheme="majorBidi"/>
          <w:color w:val="1F1F1F"/>
          <w:sz w:val="24"/>
          <w:szCs w:val="24"/>
          <w:bdr w:val="none" w:sz="0" w:space="0" w:color="auto" w:frame="1"/>
          <w:lang w:val="en-GB" w:eastAsia="en-GB"/>
        </w:rPr>
        <w:t xml:space="preserve"> Search results will be compiled into Mendeley reference management software to identify and eliminate duplicate entries.</w:t>
      </w:r>
      <w:r w:rsidRPr="00065B95">
        <w:rPr>
          <w:rFonts w:asciiTheme="majorBidi" w:eastAsia="Times New Roman" w:hAnsiTheme="majorBidi" w:cstheme="majorBidi"/>
          <w:color w:val="1F1F1F"/>
          <w:sz w:val="24"/>
          <w:szCs w:val="24"/>
          <w:lang w:val="en-GB" w:eastAsia="en-GB"/>
        </w:rPr>
        <w:t xml:space="preserve"> </w:t>
      </w:r>
    </w:p>
    <w:p w14:paraId="794575D4" w14:textId="77777777"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78C649D0" w14:textId="77777777" w:rsidR="00065B95" w:rsidRPr="00065B95" w:rsidRDefault="00065B95" w:rsidP="00065B95">
      <w:pPr>
        <w:numPr>
          <w:ilvl w:val="0"/>
          <w:numId w:val="5"/>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Screening:</w:t>
      </w:r>
      <w:r w:rsidRPr="00065B95">
        <w:rPr>
          <w:rFonts w:asciiTheme="majorBidi" w:eastAsia="Times New Roman" w:hAnsiTheme="majorBidi" w:cstheme="majorBidi"/>
          <w:color w:val="1F1F1F"/>
          <w:sz w:val="24"/>
          <w:szCs w:val="24"/>
          <w:bdr w:val="none" w:sz="0" w:space="0" w:color="auto" w:frame="1"/>
          <w:lang w:val="en-GB" w:eastAsia="en-GB"/>
        </w:rPr>
        <w:t xml:space="preserve"> Reviewers will independently screen titles and abstracts against the predetermined eligibility criteria. Potentially eligible full-text reports will be retrieved and evaluated.</w:t>
      </w:r>
      <w:r w:rsidRPr="00065B95">
        <w:rPr>
          <w:rFonts w:asciiTheme="majorBidi" w:eastAsia="Times New Roman" w:hAnsiTheme="majorBidi" w:cstheme="majorBidi"/>
          <w:color w:val="1F1F1F"/>
          <w:sz w:val="24"/>
          <w:szCs w:val="24"/>
          <w:lang w:val="en-GB" w:eastAsia="en-GB"/>
        </w:rPr>
        <w:t xml:space="preserve"> </w:t>
      </w:r>
    </w:p>
    <w:p w14:paraId="3457C18B" w14:textId="77777777"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25A8AE31" w14:textId="4FD4DD40" w:rsidR="00065B95" w:rsidRPr="00065B95" w:rsidRDefault="00065B95" w:rsidP="00065B95">
      <w:pPr>
        <w:numPr>
          <w:ilvl w:val="0"/>
          <w:numId w:val="5"/>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Dispute Resolution:</w:t>
      </w:r>
      <w:r w:rsidRPr="00065B95">
        <w:rPr>
          <w:rFonts w:asciiTheme="majorBidi" w:eastAsia="Times New Roman" w:hAnsiTheme="majorBidi" w:cstheme="majorBidi"/>
          <w:color w:val="1F1F1F"/>
          <w:sz w:val="24"/>
          <w:szCs w:val="24"/>
          <w:bdr w:val="none" w:sz="0" w:space="0" w:color="auto" w:frame="1"/>
          <w:lang w:val="en-GB" w:eastAsia="en-GB"/>
        </w:rPr>
        <w:t xml:space="preserve"> Discrepancies between reviewers will be resolved via consensus; unresolved conflicts will be </w:t>
      </w:r>
      <w:r>
        <w:rPr>
          <w:rFonts w:asciiTheme="majorBidi" w:eastAsia="Times New Roman" w:hAnsiTheme="majorBidi" w:cstheme="majorBidi"/>
          <w:color w:val="1F1F1F"/>
          <w:sz w:val="24"/>
          <w:szCs w:val="24"/>
          <w:bdr w:val="none" w:sz="0" w:space="0" w:color="auto" w:frame="1"/>
          <w:lang w:val="en-GB" w:eastAsia="en-GB"/>
        </w:rPr>
        <w:t>decided</w:t>
      </w:r>
      <w:r w:rsidRPr="00065B95">
        <w:rPr>
          <w:rFonts w:asciiTheme="majorBidi" w:eastAsia="Times New Roman" w:hAnsiTheme="majorBidi" w:cstheme="majorBidi"/>
          <w:color w:val="1F1F1F"/>
          <w:sz w:val="24"/>
          <w:szCs w:val="24"/>
          <w:bdr w:val="none" w:sz="0" w:space="0" w:color="auto" w:frame="1"/>
          <w:lang w:val="en-GB" w:eastAsia="en-GB"/>
        </w:rPr>
        <w:t xml:space="preserve"> by a senior </w:t>
      </w:r>
      <w:r>
        <w:rPr>
          <w:rFonts w:asciiTheme="majorBidi" w:eastAsia="Times New Roman" w:hAnsiTheme="majorBidi" w:cstheme="majorBidi"/>
          <w:color w:val="1F1F1F"/>
          <w:sz w:val="24"/>
          <w:szCs w:val="24"/>
          <w:bdr w:val="none" w:sz="0" w:space="0" w:color="auto" w:frame="1"/>
          <w:lang w:val="en-GB" w:eastAsia="en-GB"/>
        </w:rPr>
        <w:t>researcher</w:t>
      </w:r>
      <w:r w:rsidRPr="00065B95">
        <w:rPr>
          <w:rFonts w:asciiTheme="majorBidi" w:eastAsia="Times New Roman" w:hAnsiTheme="majorBidi" w:cstheme="majorBidi"/>
          <w:color w:val="1F1F1F"/>
          <w:sz w:val="24"/>
          <w:szCs w:val="24"/>
          <w:bdr w:val="none" w:sz="0" w:space="0" w:color="auto" w:frame="1"/>
          <w:lang w:val="en-GB" w:eastAsia="en-GB"/>
        </w:rPr>
        <w:t>.</w:t>
      </w:r>
      <w:r w:rsidRPr="00065B95">
        <w:rPr>
          <w:rFonts w:asciiTheme="majorBidi" w:eastAsia="Times New Roman" w:hAnsiTheme="majorBidi" w:cstheme="majorBidi"/>
          <w:color w:val="1F1F1F"/>
          <w:sz w:val="24"/>
          <w:szCs w:val="24"/>
          <w:lang w:val="en-GB" w:eastAsia="en-GB"/>
        </w:rPr>
        <w:t xml:space="preserve"> </w:t>
      </w:r>
    </w:p>
    <w:p w14:paraId="532F4639" w14:textId="77777777"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57A5C9EE" w14:textId="77777777" w:rsidR="00065B95" w:rsidRPr="00065B95" w:rsidRDefault="00065B95" w:rsidP="00065B95">
      <w:pPr>
        <w:numPr>
          <w:ilvl w:val="0"/>
          <w:numId w:val="5"/>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Data Extraction:</w:t>
      </w:r>
      <w:r w:rsidRPr="00065B95">
        <w:rPr>
          <w:rFonts w:asciiTheme="majorBidi" w:eastAsia="Times New Roman" w:hAnsiTheme="majorBidi" w:cstheme="majorBidi"/>
          <w:color w:val="1F1F1F"/>
          <w:sz w:val="24"/>
          <w:szCs w:val="24"/>
          <w:lang w:val="en-GB" w:eastAsia="en-GB"/>
        </w:rPr>
        <w:t xml:space="preserve"> A standardized, pilot-tested spreadsheet will capture:</w:t>
      </w:r>
    </w:p>
    <w:p w14:paraId="5C4AA75E" w14:textId="77777777" w:rsidR="00065B95" w:rsidRPr="00065B95" w:rsidRDefault="00065B95" w:rsidP="00065B95">
      <w:pPr>
        <w:numPr>
          <w:ilvl w:val="1"/>
          <w:numId w:val="5"/>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Study metadata (first author, publication year)</w:t>
      </w:r>
      <w:r w:rsidRPr="00065B95">
        <w:rPr>
          <w:rFonts w:asciiTheme="majorBidi" w:eastAsia="Times New Roman" w:hAnsiTheme="majorBidi" w:cstheme="majorBidi"/>
          <w:color w:val="1F1F1F"/>
          <w:sz w:val="24"/>
          <w:szCs w:val="24"/>
          <w:lang w:val="en-GB" w:eastAsia="en-GB"/>
        </w:rPr>
        <w:t xml:space="preserve"> </w:t>
      </w:r>
    </w:p>
    <w:p w14:paraId="1E800628" w14:textId="0A054FAE" w:rsidR="00065B95" w:rsidRPr="00065B95" w:rsidRDefault="00065B95" w:rsidP="00065B95">
      <w:pPr>
        <w:numPr>
          <w:ilvl w:val="1"/>
          <w:numId w:val="5"/>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 xml:space="preserve">Study design </w:t>
      </w:r>
    </w:p>
    <w:p w14:paraId="5A765FA6" w14:textId="77777777" w:rsidR="009B4470" w:rsidRPr="009B4470" w:rsidRDefault="00065B95" w:rsidP="00065B95">
      <w:pPr>
        <w:numPr>
          <w:ilvl w:val="1"/>
          <w:numId w:val="5"/>
        </w:numPr>
        <w:spacing w:after="0" w:line="360" w:lineRule="auto"/>
        <w:contextualSpacing/>
        <w:rPr>
          <w:rFonts w:asciiTheme="majorBidi" w:eastAsia="Times New Roman" w:hAnsiTheme="majorBidi" w:cstheme="majorBidi"/>
          <w:color w:val="1F1F1F"/>
          <w:sz w:val="24"/>
          <w:szCs w:val="24"/>
          <w:lang w:val="en-GB" w:eastAsia="en-GB"/>
        </w:rPr>
      </w:pPr>
      <w:r w:rsidRPr="009B4470">
        <w:rPr>
          <w:rFonts w:asciiTheme="majorBidi" w:eastAsia="Times New Roman" w:hAnsiTheme="majorBidi" w:cstheme="majorBidi"/>
          <w:color w:val="1F1F1F"/>
          <w:sz w:val="24"/>
          <w:szCs w:val="24"/>
          <w:bdr w:val="none" w:sz="0" w:space="0" w:color="auto" w:frame="1"/>
          <w:lang w:val="en-GB" w:eastAsia="en-GB"/>
        </w:rPr>
        <w:t xml:space="preserve">Target population </w:t>
      </w:r>
      <w:r w:rsidR="009B4470" w:rsidRPr="009B4470">
        <w:rPr>
          <w:rFonts w:asciiTheme="majorBidi" w:eastAsia="Times New Roman" w:hAnsiTheme="majorBidi" w:cstheme="majorBidi"/>
          <w:color w:val="1F1F1F"/>
          <w:sz w:val="24"/>
          <w:szCs w:val="24"/>
          <w:bdr w:val="none" w:sz="0" w:space="0" w:color="auto" w:frame="1"/>
          <w:lang w:val="en-GB" w:eastAsia="en-GB"/>
        </w:rPr>
        <w:t xml:space="preserve">and sample size (N) </w:t>
      </w:r>
    </w:p>
    <w:p w14:paraId="31908E8E" w14:textId="4EE5A1A0" w:rsidR="00065B95" w:rsidRPr="009B4470" w:rsidRDefault="00065B95" w:rsidP="00065B95">
      <w:pPr>
        <w:numPr>
          <w:ilvl w:val="1"/>
          <w:numId w:val="5"/>
        </w:numPr>
        <w:spacing w:after="0" w:line="360" w:lineRule="auto"/>
        <w:contextualSpacing/>
        <w:rPr>
          <w:rFonts w:asciiTheme="majorBidi" w:eastAsia="Times New Roman" w:hAnsiTheme="majorBidi" w:cstheme="majorBidi"/>
          <w:color w:val="1F1F1F"/>
          <w:sz w:val="24"/>
          <w:szCs w:val="24"/>
          <w:lang w:val="en-GB" w:eastAsia="en-GB"/>
        </w:rPr>
      </w:pPr>
      <w:r w:rsidRPr="009B4470">
        <w:rPr>
          <w:rFonts w:asciiTheme="majorBidi" w:eastAsia="Times New Roman" w:hAnsiTheme="majorBidi" w:cstheme="majorBidi"/>
          <w:color w:val="1F1F1F"/>
          <w:sz w:val="24"/>
          <w:szCs w:val="24"/>
          <w:bdr w:val="none" w:sz="0" w:space="0" w:color="auto" w:frame="1"/>
          <w:lang w:val="en-GB" w:eastAsia="en-GB"/>
        </w:rPr>
        <w:t>Specific substance class evaluated</w:t>
      </w:r>
      <w:r w:rsidRPr="009B4470">
        <w:rPr>
          <w:rFonts w:asciiTheme="majorBidi" w:eastAsia="Times New Roman" w:hAnsiTheme="majorBidi" w:cstheme="majorBidi"/>
          <w:color w:val="1F1F1F"/>
          <w:sz w:val="24"/>
          <w:szCs w:val="24"/>
          <w:lang w:val="en-GB" w:eastAsia="en-GB"/>
        </w:rPr>
        <w:t xml:space="preserve"> </w:t>
      </w:r>
    </w:p>
    <w:p w14:paraId="18F8CDBA" w14:textId="77777777" w:rsidR="00065B95" w:rsidRPr="00065B95" w:rsidRDefault="00065B95" w:rsidP="00065B95">
      <w:pPr>
        <w:numPr>
          <w:ilvl w:val="1"/>
          <w:numId w:val="5"/>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Quantitative prevalence rates (%)</w:t>
      </w:r>
      <w:r w:rsidRPr="00065B95">
        <w:rPr>
          <w:rFonts w:asciiTheme="majorBidi" w:eastAsia="Times New Roman" w:hAnsiTheme="majorBidi" w:cstheme="majorBidi"/>
          <w:color w:val="1F1F1F"/>
          <w:sz w:val="24"/>
          <w:szCs w:val="24"/>
          <w:lang w:val="en-GB" w:eastAsia="en-GB"/>
        </w:rPr>
        <w:t xml:space="preserve"> </w:t>
      </w:r>
    </w:p>
    <w:p w14:paraId="7AC53DB3"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7BDD0059" w14:textId="77777777" w:rsidR="00065B95" w:rsidRPr="00065B95" w:rsidRDefault="00065B95" w:rsidP="00065B95">
      <w:pPr>
        <w:spacing w:after="0" w:line="360" w:lineRule="auto"/>
        <w:contextualSpacing/>
        <w:outlineLvl w:val="3"/>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t>7. Risk of Bias &amp; Quality Appraisal</w:t>
      </w:r>
    </w:p>
    <w:p w14:paraId="68634E24" w14:textId="77777777" w:rsidR="00065B95" w:rsidRPr="00065B95" w:rsidRDefault="00065B95" w:rsidP="00065B95">
      <w:pPr>
        <w:pStyle w:val="ListParagraph"/>
        <w:numPr>
          <w:ilvl w:val="0"/>
          <w:numId w:val="8"/>
        </w:numPr>
        <w:spacing w:after="0" w:line="360" w:lineRule="auto"/>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Individual study methodological quality will be appraised using the Joanna Briggs Institute (JBI) Critical Appraisal Checklist for Studies Reporting Prevalence Data.</w:t>
      </w:r>
      <w:r w:rsidRPr="00065B95">
        <w:rPr>
          <w:rFonts w:asciiTheme="majorBidi" w:eastAsia="Times New Roman" w:hAnsiTheme="majorBidi" w:cstheme="majorBidi"/>
          <w:color w:val="1F1F1F"/>
          <w:sz w:val="24"/>
          <w:szCs w:val="24"/>
          <w:lang w:val="en-GB" w:eastAsia="en-GB"/>
        </w:rPr>
        <w:t xml:space="preserve"> </w:t>
      </w:r>
    </w:p>
    <w:p w14:paraId="44B9A600" w14:textId="194DE56E" w:rsidR="00065B95" w:rsidRPr="00065B95" w:rsidRDefault="00065B95" w:rsidP="00065B95">
      <w:pPr>
        <w:spacing w:after="0" w:line="360" w:lineRule="auto"/>
        <w:contextualSpacing/>
        <w:rPr>
          <w:rFonts w:asciiTheme="majorBidi" w:eastAsia="Times New Roman" w:hAnsiTheme="majorBidi" w:cstheme="majorBidi"/>
          <w:color w:val="1F1F1F"/>
          <w:sz w:val="24"/>
          <w:szCs w:val="24"/>
          <w:lang w:val="en-GB" w:eastAsia="en-GB"/>
        </w:rPr>
      </w:pPr>
    </w:p>
    <w:p w14:paraId="21222F8F" w14:textId="77777777" w:rsidR="00065B95" w:rsidRPr="00065B95" w:rsidRDefault="00065B95" w:rsidP="00065B95">
      <w:pPr>
        <w:numPr>
          <w:ilvl w:val="0"/>
          <w:numId w:val="6"/>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Scoring Categories:</w:t>
      </w:r>
    </w:p>
    <w:p w14:paraId="69E280E8" w14:textId="77777777" w:rsidR="009D54F1" w:rsidRPr="009D54F1" w:rsidRDefault="009D54F1" w:rsidP="009D54F1">
      <w:pPr>
        <w:numPr>
          <w:ilvl w:val="1"/>
          <w:numId w:val="6"/>
        </w:numPr>
        <w:spacing w:after="0" w:line="360" w:lineRule="auto"/>
        <w:contextualSpacing/>
        <w:rPr>
          <w:rFonts w:asciiTheme="majorBidi" w:eastAsia="Times New Roman" w:hAnsiTheme="majorBidi" w:cstheme="majorBidi"/>
          <w:color w:val="1F1F1F"/>
          <w:sz w:val="24"/>
          <w:szCs w:val="24"/>
          <w:bdr w:val="none" w:sz="0" w:space="0" w:color="auto" w:frame="1"/>
          <w:lang w:val="en-GB" w:eastAsia="en-GB"/>
        </w:rPr>
      </w:pPr>
      <w:r w:rsidRPr="009D54F1">
        <w:rPr>
          <w:rFonts w:asciiTheme="majorBidi" w:eastAsia="Times New Roman" w:hAnsiTheme="majorBidi" w:cstheme="majorBidi"/>
          <w:color w:val="1F1F1F"/>
          <w:sz w:val="24"/>
          <w:szCs w:val="24"/>
          <w:bdr w:val="none" w:sz="0" w:space="0" w:color="auto" w:frame="1"/>
          <w:lang w:val="en-GB" w:eastAsia="en-GB"/>
        </w:rPr>
        <w:t>Scoring: Y = Yes (Criterion met, 1 pt); N = No (Criterion not met, 0 pts); U = Unclear / Not reported (0 pts).</w:t>
      </w:r>
    </w:p>
    <w:p w14:paraId="31783A98" w14:textId="77777777" w:rsidR="009D54F1" w:rsidRPr="009D54F1" w:rsidRDefault="009D54F1" w:rsidP="009D54F1">
      <w:pPr>
        <w:numPr>
          <w:ilvl w:val="1"/>
          <w:numId w:val="6"/>
        </w:numPr>
        <w:spacing w:after="0" w:line="360" w:lineRule="auto"/>
        <w:contextualSpacing/>
        <w:rPr>
          <w:rFonts w:asciiTheme="majorBidi" w:eastAsia="Times New Roman" w:hAnsiTheme="majorBidi" w:cstheme="majorBidi"/>
          <w:color w:val="1F1F1F"/>
          <w:sz w:val="24"/>
          <w:szCs w:val="24"/>
          <w:bdr w:val="none" w:sz="0" w:space="0" w:color="auto" w:frame="1"/>
          <w:lang w:val="en-GB" w:eastAsia="en-GB"/>
        </w:rPr>
      </w:pPr>
      <w:r w:rsidRPr="009D54F1">
        <w:rPr>
          <w:rFonts w:asciiTheme="majorBidi" w:eastAsia="Times New Roman" w:hAnsiTheme="majorBidi" w:cstheme="majorBidi"/>
          <w:color w:val="1F1F1F"/>
          <w:sz w:val="24"/>
          <w:szCs w:val="24"/>
          <w:bdr w:val="none" w:sz="0" w:space="0" w:color="auto" w:frame="1"/>
          <w:lang w:val="en-GB" w:eastAsia="en-GB"/>
        </w:rPr>
        <w:t>Risk of Bias Tiers: Low Risk = 7–9 / 9; Moderate Risk = 4–6 / 9; High Risk = 0–3 / 9.</w:t>
      </w:r>
    </w:p>
    <w:p w14:paraId="4642AFD1" w14:textId="77777777" w:rsidR="00065B95" w:rsidRPr="00065B95" w:rsidRDefault="00065B95" w:rsidP="00065B95">
      <w:pPr>
        <w:numPr>
          <w:ilvl w:val="0"/>
          <w:numId w:val="6"/>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Reviewers will execute critical appraisals independently, with differences resolved through group consensus.</w:t>
      </w:r>
      <w:r w:rsidRPr="00065B95">
        <w:rPr>
          <w:rFonts w:asciiTheme="majorBidi" w:eastAsia="Times New Roman" w:hAnsiTheme="majorBidi" w:cstheme="majorBidi"/>
          <w:color w:val="1F1F1F"/>
          <w:sz w:val="24"/>
          <w:szCs w:val="24"/>
          <w:lang w:val="en-GB" w:eastAsia="en-GB"/>
        </w:rPr>
        <w:t xml:space="preserve"> </w:t>
      </w:r>
    </w:p>
    <w:p w14:paraId="075FB5A1" w14:textId="77777777"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7DC786A6" w14:textId="77777777" w:rsidR="00065B95" w:rsidRPr="00065B95" w:rsidRDefault="00065B95" w:rsidP="00065B95">
      <w:pPr>
        <w:spacing w:after="0" w:line="360" w:lineRule="auto"/>
        <w:contextualSpacing/>
        <w:outlineLvl w:val="3"/>
        <w:rPr>
          <w:rFonts w:asciiTheme="majorBidi" w:eastAsia="Times New Roman" w:hAnsiTheme="majorBidi" w:cstheme="majorBidi"/>
          <w:b/>
          <w:bCs/>
          <w:color w:val="1F1F1F"/>
          <w:sz w:val="24"/>
          <w:szCs w:val="24"/>
          <w:lang w:val="en-GB" w:eastAsia="en-GB"/>
        </w:rPr>
      </w:pPr>
      <w:r w:rsidRPr="00065B95">
        <w:rPr>
          <w:rFonts w:asciiTheme="majorBidi" w:eastAsia="Times New Roman" w:hAnsiTheme="majorBidi" w:cstheme="majorBidi"/>
          <w:b/>
          <w:bCs/>
          <w:color w:val="1F1F1F"/>
          <w:sz w:val="24"/>
          <w:szCs w:val="24"/>
          <w:lang w:val="en-GB" w:eastAsia="en-GB"/>
        </w:rPr>
        <w:t>8. Data Synthesis Plan</w:t>
      </w:r>
    </w:p>
    <w:p w14:paraId="6A85921A" w14:textId="624855FB" w:rsidR="00065B95" w:rsidRPr="00065B95" w:rsidRDefault="00065B95" w:rsidP="00065B95">
      <w:pPr>
        <w:numPr>
          <w:ilvl w:val="0"/>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lastRenderedPageBreak/>
        <w:t>Quantitative Feasibility:</w:t>
      </w:r>
      <w:r w:rsidRPr="00065B95">
        <w:rPr>
          <w:rFonts w:asciiTheme="majorBidi" w:eastAsia="Times New Roman" w:hAnsiTheme="majorBidi" w:cstheme="majorBidi"/>
          <w:color w:val="1F1F1F"/>
          <w:sz w:val="24"/>
          <w:szCs w:val="24"/>
          <w:bdr w:val="none" w:sz="0" w:space="0" w:color="auto" w:frame="1"/>
          <w:lang w:val="en-GB" w:eastAsia="en-GB"/>
        </w:rPr>
        <w:t xml:space="preserve"> Given anticipated methodological diversity across sampling designs, diagnostic instruments, and target populations, pooling via formal statistical meta-analysis will be avoided if substantial measurement heterogeneity is identified.</w:t>
      </w:r>
      <w:r w:rsidRPr="00065B95">
        <w:rPr>
          <w:rFonts w:asciiTheme="majorBidi" w:eastAsia="Times New Roman" w:hAnsiTheme="majorBidi" w:cstheme="majorBidi"/>
          <w:color w:val="1F1F1F"/>
          <w:sz w:val="24"/>
          <w:szCs w:val="24"/>
          <w:lang w:val="en-GB" w:eastAsia="en-GB"/>
        </w:rPr>
        <w:t xml:space="preserve"> </w:t>
      </w:r>
    </w:p>
    <w:p w14:paraId="2142DCC5" w14:textId="77777777"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1D1C2592" w14:textId="77777777" w:rsidR="00065B95" w:rsidRPr="00065B95" w:rsidRDefault="00065B95" w:rsidP="00065B95">
      <w:pPr>
        <w:numPr>
          <w:ilvl w:val="0"/>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Synthesis Framework:</w:t>
      </w:r>
      <w:r w:rsidRPr="00065B95">
        <w:rPr>
          <w:rFonts w:asciiTheme="majorBidi" w:eastAsia="Times New Roman" w:hAnsiTheme="majorBidi" w:cstheme="majorBidi"/>
          <w:color w:val="1F1F1F"/>
          <w:sz w:val="24"/>
          <w:szCs w:val="24"/>
          <w:bdr w:val="none" w:sz="0" w:space="0" w:color="auto" w:frame="1"/>
          <w:lang w:val="en-GB" w:eastAsia="en-GB"/>
        </w:rPr>
        <w:t xml:space="preserve"> Findings will be synthesized narratively according to the </w:t>
      </w:r>
      <w:r w:rsidRPr="009D54F1">
        <w:rPr>
          <w:rFonts w:asciiTheme="majorBidi" w:eastAsia="Times New Roman" w:hAnsiTheme="majorBidi" w:cstheme="majorBidi"/>
          <w:color w:val="1F1F1F"/>
          <w:sz w:val="24"/>
          <w:szCs w:val="24"/>
          <w:bdr w:val="none" w:sz="0" w:space="0" w:color="auto" w:frame="1"/>
          <w:lang w:val="en-GB" w:eastAsia="en-GB"/>
        </w:rPr>
        <w:t>Synthesis Without Meta-analysis (</w:t>
      </w:r>
      <w:proofErr w:type="spellStart"/>
      <w:r w:rsidRPr="009D54F1">
        <w:rPr>
          <w:rFonts w:asciiTheme="majorBidi" w:eastAsia="Times New Roman" w:hAnsiTheme="majorBidi" w:cstheme="majorBidi"/>
          <w:color w:val="1F1F1F"/>
          <w:sz w:val="24"/>
          <w:szCs w:val="24"/>
          <w:bdr w:val="none" w:sz="0" w:space="0" w:color="auto" w:frame="1"/>
          <w:lang w:val="en-GB" w:eastAsia="en-GB"/>
        </w:rPr>
        <w:t>SWiM</w:t>
      </w:r>
      <w:proofErr w:type="spellEnd"/>
      <w:r w:rsidRPr="009D54F1">
        <w:rPr>
          <w:rFonts w:asciiTheme="majorBidi" w:eastAsia="Times New Roman" w:hAnsiTheme="majorBidi" w:cstheme="majorBidi"/>
          <w:color w:val="1F1F1F"/>
          <w:sz w:val="24"/>
          <w:szCs w:val="24"/>
          <w:bdr w:val="none" w:sz="0" w:space="0" w:color="auto" w:frame="1"/>
          <w:lang w:val="en-GB" w:eastAsia="en-GB"/>
        </w:rPr>
        <w:t>)</w:t>
      </w:r>
      <w:r w:rsidRPr="00065B95">
        <w:rPr>
          <w:rFonts w:asciiTheme="majorBidi" w:eastAsia="Times New Roman" w:hAnsiTheme="majorBidi" w:cstheme="majorBidi"/>
          <w:color w:val="1F1F1F"/>
          <w:sz w:val="24"/>
          <w:szCs w:val="24"/>
          <w:bdr w:val="none" w:sz="0" w:space="0" w:color="auto" w:frame="1"/>
          <w:lang w:val="en-GB" w:eastAsia="en-GB"/>
        </w:rPr>
        <w:t xml:space="preserve"> guidelines.</w:t>
      </w:r>
      <w:r w:rsidRPr="00065B95">
        <w:rPr>
          <w:rFonts w:asciiTheme="majorBidi" w:eastAsia="Times New Roman" w:hAnsiTheme="majorBidi" w:cstheme="majorBidi"/>
          <w:color w:val="1F1F1F"/>
          <w:sz w:val="24"/>
          <w:szCs w:val="24"/>
          <w:lang w:val="en-GB" w:eastAsia="en-GB"/>
        </w:rPr>
        <w:t xml:space="preserve"> </w:t>
      </w:r>
    </w:p>
    <w:p w14:paraId="5BDA07C3" w14:textId="77777777" w:rsidR="00065B95" w:rsidRPr="00065B95" w:rsidRDefault="00065B95" w:rsidP="00065B95">
      <w:pPr>
        <w:spacing w:after="0" w:line="360" w:lineRule="auto"/>
        <w:ind w:left="720"/>
        <w:contextualSpacing/>
        <w:rPr>
          <w:rFonts w:asciiTheme="majorBidi" w:eastAsia="Times New Roman" w:hAnsiTheme="majorBidi" w:cstheme="majorBidi"/>
          <w:color w:val="1F1F1F"/>
          <w:sz w:val="24"/>
          <w:szCs w:val="24"/>
          <w:lang w:val="en-GB" w:eastAsia="en-GB"/>
        </w:rPr>
      </w:pPr>
    </w:p>
    <w:p w14:paraId="5668A6BF" w14:textId="77777777" w:rsidR="00065B95" w:rsidRPr="00065B95" w:rsidRDefault="00065B95" w:rsidP="00065B95">
      <w:pPr>
        <w:numPr>
          <w:ilvl w:val="0"/>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b/>
          <w:bCs/>
          <w:color w:val="1F1F1F"/>
          <w:sz w:val="24"/>
          <w:szCs w:val="24"/>
          <w:bdr w:val="none" w:sz="0" w:space="0" w:color="auto" w:frame="1"/>
          <w:lang w:val="en-GB" w:eastAsia="en-GB"/>
        </w:rPr>
        <w:t>Sub-group Categorization:</w:t>
      </w:r>
      <w:r w:rsidRPr="00065B95">
        <w:rPr>
          <w:rFonts w:asciiTheme="majorBidi" w:eastAsia="Times New Roman" w:hAnsiTheme="majorBidi" w:cstheme="majorBidi"/>
          <w:color w:val="1F1F1F"/>
          <w:sz w:val="24"/>
          <w:szCs w:val="24"/>
          <w:bdr w:val="none" w:sz="0" w:space="0" w:color="auto" w:frame="1"/>
          <w:lang w:val="en-GB" w:eastAsia="en-GB"/>
        </w:rPr>
        <w:t xml:space="preserve"> Findings will be organized by substance classes:</w:t>
      </w:r>
      <w:r w:rsidRPr="00065B95">
        <w:rPr>
          <w:rFonts w:asciiTheme="majorBidi" w:eastAsia="Times New Roman" w:hAnsiTheme="majorBidi" w:cstheme="majorBidi"/>
          <w:color w:val="1F1F1F"/>
          <w:sz w:val="24"/>
          <w:szCs w:val="24"/>
          <w:lang w:val="en-GB" w:eastAsia="en-GB"/>
        </w:rPr>
        <w:t xml:space="preserve"> </w:t>
      </w:r>
    </w:p>
    <w:p w14:paraId="147BDD44" w14:textId="77777777" w:rsidR="00065B95" w:rsidRPr="00065B95" w:rsidRDefault="00065B95" w:rsidP="00065B95">
      <w:pPr>
        <w:numPr>
          <w:ilvl w:val="1"/>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Smoked and smokeless tobacco (</w:t>
      </w:r>
      <w:r w:rsidRPr="00065B95">
        <w:rPr>
          <w:rFonts w:asciiTheme="majorBidi" w:eastAsia="Times New Roman" w:hAnsiTheme="majorBidi" w:cstheme="majorBidi"/>
          <w:i/>
          <w:iCs/>
          <w:color w:val="1F1F1F"/>
          <w:sz w:val="24"/>
          <w:szCs w:val="24"/>
          <w:bdr w:val="none" w:sz="0" w:space="0" w:color="auto" w:frame="1"/>
          <w:lang w:val="en-GB" w:eastAsia="en-GB"/>
        </w:rPr>
        <w:t>toombak</w:t>
      </w:r>
      <w:r w:rsidRPr="00065B95">
        <w:rPr>
          <w:rFonts w:asciiTheme="majorBidi" w:eastAsia="Times New Roman" w:hAnsiTheme="majorBidi" w:cstheme="majorBidi"/>
          <w:color w:val="1F1F1F"/>
          <w:sz w:val="24"/>
          <w:szCs w:val="24"/>
          <w:bdr w:val="none" w:sz="0" w:space="0" w:color="auto" w:frame="1"/>
          <w:lang w:val="en-GB" w:eastAsia="en-GB"/>
        </w:rPr>
        <w:t>, cigarettes, water pipe)</w:t>
      </w:r>
      <w:r w:rsidRPr="00065B95">
        <w:rPr>
          <w:rFonts w:asciiTheme="majorBidi" w:eastAsia="Times New Roman" w:hAnsiTheme="majorBidi" w:cstheme="majorBidi"/>
          <w:color w:val="1F1F1F"/>
          <w:sz w:val="24"/>
          <w:szCs w:val="24"/>
          <w:lang w:val="en-GB" w:eastAsia="en-GB"/>
        </w:rPr>
        <w:t xml:space="preserve"> </w:t>
      </w:r>
    </w:p>
    <w:p w14:paraId="41F3D767" w14:textId="77777777" w:rsidR="00065B95" w:rsidRPr="00065B95" w:rsidRDefault="00065B95" w:rsidP="00065B95">
      <w:pPr>
        <w:numPr>
          <w:ilvl w:val="1"/>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Synthetic psychostimulants (crystal methamphetamine/ice)</w:t>
      </w:r>
      <w:r w:rsidRPr="00065B95">
        <w:rPr>
          <w:rFonts w:asciiTheme="majorBidi" w:eastAsia="Times New Roman" w:hAnsiTheme="majorBidi" w:cstheme="majorBidi"/>
          <w:color w:val="1F1F1F"/>
          <w:sz w:val="24"/>
          <w:szCs w:val="24"/>
          <w:lang w:val="en-GB" w:eastAsia="en-GB"/>
        </w:rPr>
        <w:t xml:space="preserve"> </w:t>
      </w:r>
    </w:p>
    <w:p w14:paraId="5C5CA0ED" w14:textId="77777777" w:rsidR="00065B95" w:rsidRPr="00065B95" w:rsidRDefault="00065B95" w:rsidP="00065B95">
      <w:pPr>
        <w:numPr>
          <w:ilvl w:val="1"/>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Prescription opioids and sedatives (tramadol, clonazepam)</w:t>
      </w:r>
      <w:r w:rsidRPr="00065B95">
        <w:rPr>
          <w:rFonts w:asciiTheme="majorBidi" w:eastAsia="Times New Roman" w:hAnsiTheme="majorBidi" w:cstheme="majorBidi"/>
          <w:color w:val="1F1F1F"/>
          <w:sz w:val="24"/>
          <w:szCs w:val="24"/>
          <w:lang w:val="en-GB" w:eastAsia="en-GB"/>
        </w:rPr>
        <w:t xml:space="preserve"> </w:t>
      </w:r>
    </w:p>
    <w:p w14:paraId="72475C63" w14:textId="77777777" w:rsidR="00065B95" w:rsidRPr="00065B95" w:rsidRDefault="00065B95" w:rsidP="00065B95">
      <w:pPr>
        <w:numPr>
          <w:ilvl w:val="1"/>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Volatile inhalants, local alcohol, and single illicit agents</w:t>
      </w:r>
      <w:r w:rsidRPr="00065B95">
        <w:rPr>
          <w:rFonts w:asciiTheme="majorBidi" w:eastAsia="Times New Roman" w:hAnsiTheme="majorBidi" w:cstheme="majorBidi"/>
          <w:color w:val="1F1F1F"/>
          <w:sz w:val="24"/>
          <w:szCs w:val="24"/>
          <w:lang w:val="en-GB" w:eastAsia="en-GB"/>
        </w:rPr>
        <w:t xml:space="preserve"> </w:t>
      </w:r>
    </w:p>
    <w:p w14:paraId="23CD3306" w14:textId="77777777" w:rsidR="00065B95" w:rsidRPr="00065B95" w:rsidRDefault="00065B95" w:rsidP="00065B95">
      <w:pPr>
        <w:numPr>
          <w:ilvl w:val="1"/>
          <w:numId w:val="7"/>
        </w:numPr>
        <w:spacing w:after="0" w:line="360" w:lineRule="auto"/>
        <w:contextualSpacing/>
        <w:rPr>
          <w:rFonts w:asciiTheme="majorBidi" w:eastAsia="Times New Roman" w:hAnsiTheme="majorBidi" w:cstheme="majorBidi"/>
          <w:color w:val="1F1F1F"/>
          <w:sz w:val="24"/>
          <w:szCs w:val="24"/>
          <w:lang w:val="en-GB" w:eastAsia="en-GB"/>
        </w:rPr>
      </w:pPr>
      <w:r w:rsidRPr="00065B95">
        <w:rPr>
          <w:rFonts w:asciiTheme="majorBidi" w:eastAsia="Times New Roman" w:hAnsiTheme="majorBidi" w:cstheme="majorBidi"/>
          <w:color w:val="1F1F1F"/>
          <w:sz w:val="24"/>
          <w:szCs w:val="24"/>
          <w:bdr w:val="none" w:sz="0" w:space="0" w:color="auto" w:frame="1"/>
          <w:lang w:val="en-GB" w:eastAsia="en-GB"/>
        </w:rPr>
        <w:t>Concurrent polysubstance use regimens</w:t>
      </w:r>
      <w:r w:rsidRPr="00065B95">
        <w:rPr>
          <w:rFonts w:asciiTheme="majorBidi" w:eastAsia="Times New Roman" w:hAnsiTheme="majorBidi" w:cstheme="majorBidi"/>
          <w:color w:val="1F1F1F"/>
          <w:sz w:val="24"/>
          <w:szCs w:val="24"/>
          <w:lang w:val="en-GB" w:eastAsia="en-GB"/>
        </w:rPr>
        <w:t xml:space="preserve"> </w:t>
      </w:r>
    </w:p>
    <w:p w14:paraId="122B36C3" w14:textId="77777777" w:rsidR="00065B95" w:rsidRPr="00065B95" w:rsidRDefault="00065B95" w:rsidP="00065B95">
      <w:pPr>
        <w:spacing w:after="0" w:line="360" w:lineRule="auto"/>
        <w:ind w:left="1440"/>
        <w:contextualSpacing/>
        <w:rPr>
          <w:rFonts w:asciiTheme="majorBidi" w:eastAsia="Times New Roman" w:hAnsiTheme="majorBidi" w:cstheme="majorBidi"/>
          <w:color w:val="1F1F1F"/>
          <w:sz w:val="24"/>
          <w:szCs w:val="24"/>
          <w:lang w:val="en-GB" w:eastAsia="en-GB"/>
        </w:rPr>
      </w:pPr>
    </w:p>
    <w:p w14:paraId="3045FF70" w14:textId="77777777" w:rsidR="00000000" w:rsidRPr="00065B95" w:rsidRDefault="00000000" w:rsidP="00065B95">
      <w:pPr>
        <w:spacing w:after="0" w:line="360" w:lineRule="auto"/>
        <w:contextualSpacing/>
        <w:rPr>
          <w:rFonts w:asciiTheme="majorBidi" w:hAnsiTheme="majorBidi" w:cstheme="majorBidi"/>
          <w:sz w:val="24"/>
          <w:szCs w:val="24"/>
          <w:lang w:val="en-GB"/>
        </w:rPr>
      </w:pPr>
    </w:p>
    <w:sectPr w:rsidR="00433682" w:rsidRPr="00065B95" w:rsidSect="00065B95">
      <w:pgSz w:w="12240" w:h="15840"/>
      <w:pgMar w:top="1134"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8EB"/>
    <w:multiLevelType w:val="multilevel"/>
    <w:tmpl w:val="C0980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C1F1C"/>
    <w:multiLevelType w:val="multilevel"/>
    <w:tmpl w:val="3D52D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C5D63"/>
    <w:multiLevelType w:val="multilevel"/>
    <w:tmpl w:val="D13C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20F65"/>
    <w:multiLevelType w:val="multilevel"/>
    <w:tmpl w:val="7D467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905C0"/>
    <w:multiLevelType w:val="multilevel"/>
    <w:tmpl w:val="AA0E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F304D"/>
    <w:multiLevelType w:val="hybridMultilevel"/>
    <w:tmpl w:val="9272B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87437D"/>
    <w:multiLevelType w:val="multilevel"/>
    <w:tmpl w:val="CEFE8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764958"/>
    <w:multiLevelType w:val="multilevel"/>
    <w:tmpl w:val="FB28E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1B4E2A"/>
    <w:multiLevelType w:val="multilevel"/>
    <w:tmpl w:val="B18E1B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742323">
    <w:abstractNumId w:val="2"/>
  </w:num>
  <w:num w:numId="2" w16cid:durableId="949318899">
    <w:abstractNumId w:val="6"/>
  </w:num>
  <w:num w:numId="3" w16cid:durableId="1867283053">
    <w:abstractNumId w:val="7"/>
  </w:num>
  <w:num w:numId="4" w16cid:durableId="1709407391">
    <w:abstractNumId w:val="0"/>
  </w:num>
  <w:num w:numId="5" w16cid:durableId="1874077310">
    <w:abstractNumId w:val="3"/>
  </w:num>
  <w:num w:numId="6" w16cid:durableId="2108888167">
    <w:abstractNumId w:val="1"/>
  </w:num>
  <w:num w:numId="7" w16cid:durableId="190609619">
    <w:abstractNumId w:val="8"/>
  </w:num>
  <w:num w:numId="8" w16cid:durableId="1222711051">
    <w:abstractNumId w:val="5"/>
  </w:num>
  <w:num w:numId="9" w16cid:durableId="1531215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062"/>
    <w:rsid w:val="00065B95"/>
    <w:rsid w:val="003F6249"/>
    <w:rsid w:val="00653062"/>
    <w:rsid w:val="009B4470"/>
    <w:rsid w:val="009D54F1"/>
    <w:rsid w:val="00CB222E"/>
    <w:rsid w:val="00EA2D53"/>
    <w:rsid w:val="00F60E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BC40C"/>
  <w15:chartTrackingRefBased/>
  <w15:docId w15:val="{7D4E69E2-11E8-4355-AF97-BD9CAADD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0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530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5306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5306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5306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530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0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0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0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06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5306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5306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5306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5306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530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0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0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062"/>
    <w:rPr>
      <w:rFonts w:eastAsiaTheme="majorEastAsia" w:cstheme="majorBidi"/>
      <w:color w:val="272727" w:themeColor="text1" w:themeTint="D8"/>
    </w:rPr>
  </w:style>
  <w:style w:type="paragraph" w:styleId="Title">
    <w:name w:val="Title"/>
    <w:basedOn w:val="Normal"/>
    <w:next w:val="Normal"/>
    <w:link w:val="TitleChar"/>
    <w:uiPriority w:val="10"/>
    <w:qFormat/>
    <w:rsid w:val="00653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0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0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0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062"/>
    <w:pPr>
      <w:spacing w:before="160"/>
      <w:jc w:val="center"/>
    </w:pPr>
    <w:rPr>
      <w:i/>
      <w:iCs/>
      <w:color w:val="404040" w:themeColor="text1" w:themeTint="BF"/>
    </w:rPr>
  </w:style>
  <w:style w:type="character" w:customStyle="1" w:styleId="QuoteChar">
    <w:name w:val="Quote Char"/>
    <w:basedOn w:val="DefaultParagraphFont"/>
    <w:link w:val="Quote"/>
    <w:uiPriority w:val="29"/>
    <w:rsid w:val="00653062"/>
    <w:rPr>
      <w:i/>
      <w:iCs/>
      <w:color w:val="404040" w:themeColor="text1" w:themeTint="BF"/>
    </w:rPr>
  </w:style>
  <w:style w:type="paragraph" w:styleId="ListParagraph">
    <w:name w:val="List Paragraph"/>
    <w:basedOn w:val="Normal"/>
    <w:uiPriority w:val="34"/>
    <w:qFormat/>
    <w:rsid w:val="00653062"/>
    <w:pPr>
      <w:ind w:left="720"/>
      <w:contextualSpacing/>
    </w:pPr>
  </w:style>
  <w:style w:type="character" w:styleId="IntenseEmphasis">
    <w:name w:val="Intense Emphasis"/>
    <w:basedOn w:val="DefaultParagraphFont"/>
    <w:uiPriority w:val="21"/>
    <w:qFormat/>
    <w:rsid w:val="00653062"/>
    <w:rPr>
      <w:i/>
      <w:iCs/>
      <w:color w:val="2E74B5" w:themeColor="accent1" w:themeShade="BF"/>
    </w:rPr>
  </w:style>
  <w:style w:type="paragraph" w:styleId="IntenseQuote">
    <w:name w:val="Intense Quote"/>
    <w:basedOn w:val="Normal"/>
    <w:next w:val="Normal"/>
    <w:link w:val="IntenseQuoteChar"/>
    <w:uiPriority w:val="30"/>
    <w:qFormat/>
    <w:rsid w:val="006530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53062"/>
    <w:rPr>
      <w:i/>
      <w:iCs/>
      <w:color w:val="2E74B5" w:themeColor="accent1" w:themeShade="BF"/>
    </w:rPr>
  </w:style>
  <w:style w:type="character" w:styleId="IntenseReference">
    <w:name w:val="Intense Reference"/>
    <w:basedOn w:val="DefaultParagraphFont"/>
    <w:uiPriority w:val="32"/>
    <w:qFormat/>
    <w:rsid w:val="0065306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Husameddin Elshiekh</dc:creator>
  <cp:keywords/>
  <dc:description/>
  <cp:lastModifiedBy>Husameddin Elshiekh</cp:lastModifiedBy>
  <cp:revision>2</cp:revision>
  <dcterms:created xsi:type="dcterms:W3CDTF">2026-09-13T16:24:00Z</dcterms:created>
  <dcterms:modified xsi:type="dcterms:W3CDTF">2026-09-13T17:51:00Z</dcterms:modified>
</cp:coreProperties>
</file>