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6537" w14:textId="77777777" w:rsidR="001125F9" w:rsidRDefault="00000000">
      <w:pPr>
        <w:spacing w:after="240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Extended Data</w:t>
      </w:r>
    </w:p>
    <w:p w14:paraId="4867D64E" w14:textId="77777777" w:rsidR="000F2B15" w:rsidRPr="009A1307" w:rsidRDefault="00A8486D">
      <w:pPr>
        <w:spacing w:before="120" w:after="40"/>
        <w:jc w:val="center"/>
        <w:rPr>
          <w:lang w:val="en-GB"/>
        </w:rPr>
      </w:pPr>
      <w:r>
        <w:rPr>
          <w:noProof/>
          <w:lang w:val="ca-ES" w:eastAsia="ca-ES"/>
        </w:rPr>
        <w:drawing>
          <wp:inline distT="0" distB="0" distL="0" distR="0" wp14:anchorId="344B95EE" wp14:editId="377AE997">
            <wp:extent cx="4576612" cy="3683000"/>
            <wp:effectExtent l="0" t="0" r="0" b="0"/>
            <wp:docPr id="10383258" name="Imagen 10383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2906"/>
                    <a:stretch/>
                  </pic:blipFill>
                  <pic:spPr bwMode="auto">
                    <a:xfrm>
                      <a:off x="0" y="0"/>
                      <a:ext cx="4584102" cy="3689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55AAE" w14:textId="77777777" w:rsidR="000F2B15" w:rsidRPr="009A1307" w:rsidRDefault="00A8486D">
      <w:pPr>
        <w:spacing w:before="80" w:after="160" w:line="276" w:lineRule="auto"/>
        <w:jc w:val="both"/>
        <w:rPr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Fig. 1. </w:t>
      </w:r>
      <w:r>
        <w:rPr>
          <w:sz w:val="20"/>
          <w:szCs w:val="20"/>
          <w:lang w:val="en-GB"/>
        </w:rPr>
        <w:t>Frequency distributions of the morphometric indices for the 50 studied catchments. Dashed lines, median; dotted lines, mean; skewness shown in each panel.</w:t>
      </w:r>
    </w:p>
    <w:p w14:paraId="46C4B813" w14:textId="77777777" w:rsidR="000F2B15" w:rsidRPr="009A1307" w:rsidRDefault="00A8486D">
      <w:pPr>
        <w:spacing w:before="120" w:after="40"/>
        <w:jc w:val="center"/>
        <w:rPr>
          <w:lang w:val="en-GB"/>
        </w:rPr>
      </w:pPr>
      <w:r>
        <w:rPr>
          <w:noProof/>
          <w:lang w:val="ca-ES" w:eastAsia="ca-ES"/>
        </w:rPr>
        <w:drawing>
          <wp:inline distT="0" distB="0" distL="0" distR="0" wp14:anchorId="36AC2C84" wp14:editId="7647EDCD">
            <wp:extent cx="3511550" cy="2902187"/>
            <wp:effectExtent l="0" t="0" r="0" b="0"/>
            <wp:docPr id="1597273924" name="Imagen 159727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t="3698"/>
                    <a:stretch/>
                  </pic:blipFill>
                  <pic:spPr bwMode="auto">
                    <a:xfrm>
                      <a:off x="0" y="0"/>
                      <a:ext cx="3515657" cy="2905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D69C34" w14:textId="77777777" w:rsidR="000F2B15" w:rsidRPr="009A1307" w:rsidRDefault="00A8486D">
      <w:pPr>
        <w:spacing w:before="80" w:after="160" w:line="276" w:lineRule="auto"/>
        <w:jc w:val="both"/>
        <w:rPr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Fig. 2. </w:t>
      </w:r>
      <w:r>
        <w:rPr>
          <w:sz w:val="20"/>
          <w:szCs w:val="20"/>
          <w:lang w:val="en-GB"/>
        </w:rPr>
        <w:t>Spearman rank correlation matrix of the morphometric indices (n = 50). Colour intensity and printed values give the correlation coefficient ρ.</w:t>
      </w:r>
    </w:p>
    <w:p w14:paraId="5B332E90" w14:textId="77777777" w:rsidR="000F2B15" w:rsidRPr="009A1307" w:rsidRDefault="00F95799">
      <w:pPr>
        <w:spacing w:before="120" w:after="40"/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0FE3F90" wp14:editId="1808C01F">
            <wp:extent cx="5943600" cy="3201670"/>
            <wp:effectExtent l="0" t="0" r="0" b="0"/>
            <wp:docPr id="6249599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E2294" w14:textId="77777777" w:rsidR="000F2B15" w:rsidRPr="009A1307" w:rsidRDefault="00A8486D">
      <w:pPr>
        <w:spacing w:before="80" w:after="160" w:line="276" w:lineRule="auto"/>
        <w:jc w:val="both"/>
        <w:rPr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Fig. 3. </w:t>
      </w:r>
      <w:r>
        <w:rPr>
          <w:sz w:val="20"/>
          <w:szCs w:val="20"/>
          <w:lang w:val="en-GB"/>
        </w:rPr>
        <w:t>Morphometric comparison between urban (n = 37) and agricultural (n = 13) ghost-river catchments. Boxes show the interquartile range and median; whiskers, 1.5× IQR; two-sided Mann-Whitney U test P values are printed for each variable.</w:t>
      </w:r>
    </w:p>
    <w:p w14:paraId="48D1608E" w14:textId="15EAAEC2" w:rsidR="00E45D8F" w:rsidRDefault="008B296D">
      <w:pPr>
        <w:spacing w:before="120" w:after="40"/>
        <w:jc w:val="center"/>
        <w:rPr>
          <w:lang w:val="en-GB"/>
        </w:rPr>
      </w:pPr>
      <w:r>
        <w:rPr>
          <w:noProof/>
        </w:rPr>
        <w:drawing>
          <wp:inline distT="0" distB="0" distL="0" distR="0" wp14:anchorId="10C67DA7" wp14:editId="5DACC376">
            <wp:extent cx="5943600" cy="2459355"/>
            <wp:effectExtent l="0" t="0" r="0" b="0"/>
            <wp:docPr id="162169039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20ACB" w14:textId="405F6B9C" w:rsidR="00E45D8F" w:rsidRDefault="00000000">
      <w:pPr>
        <w:spacing w:before="80" w:after="160" w:line="276" w:lineRule="auto"/>
        <w:jc w:val="both"/>
        <w:rPr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Fig. 4. </w:t>
      </w:r>
      <w:r>
        <w:rPr>
          <w:sz w:val="20"/>
          <w:szCs w:val="20"/>
          <w:lang w:val="en-GB"/>
        </w:rPr>
        <w:t>Choice of the number of catchment clusters. (A) Ward hierarchical dendrogram of the 50 catchments on seven standardised morphometric variables; the dashed line marks the four-cluster cut and colours denote the four types shown in Fig. 2. The only strongly separated division is the primary two-cluster split (large mountain catchments versus small coastal basins); the merges producing three, four and five clusters occur at closely spaced linkage heights. (B) Internal validation indices versus the number of clusters k: average silhouette width (left axis) and total within-cluster sum of squares (right axis, elbow criterion). No index identifies k = 4 as optimal</w:t>
      </w:r>
      <w:r w:rsidR="008B296D">
        <w:rPr>
          <w:sz w:val="20"/>
          <w:szCs w:val="20"/>
          <w:lang w:val="en-GB"/>
        </w:rPr>
        <w:t xml:space="preserve">, </w:t>
      </w:r>
      <w:r>
        <w:rPr>
          <w:sz w:val="20"/>
          <w:szCs w:val="20"/>
          <w:lang w:val="en-GB"/>
        </w:rPr>
        <w:t>the silhouette width is a local minimum there and the elbow is gradual</w:t>
      </w:r>
      <w:r w:rsidR="008B296D">
        <w:rPr>
          <w:sz w:val="20"/>
          <w:szCs w:val="20"/>
          <w:lang w:val="en-GB"/>
        </w:rPr>
        <w:t xml:space="preserve">, </w:t>
      </w:r>
      <w:r>
        <w:rPr>
          <w:sz w:val="20"/>
          <w:szCs w:val="20"/>
          <w:lang w:val="en-GB"/>
        </w:rPr>
        <w:t>so the four-cluster solution was adopted for geomorphological interpretability and parsimony rather than internal-index optimality.</w:t>
      </w:r>
    </w:p>
    <w:p w14:paraId="6914D41A" w14:textId="5FD8553C" w:rsidR="00E45D8F" w:rsidRDefault="008B296D">
      <w:pPr>
        <w:spacing w:before="120" w:after="40"/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2632CA5E" wp14:editId="55FCC8B6">
            <wp:extent cx="5943600" cy="2296160"/>
            <wp:effectExtent l="0" t="0" r="0" b="8890"/>
            <wp:docPr id="15794956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9D8CA" w14:textId="77777777" w:rsidR="00E45D8F" w:rsidRDefault="00000000">
      <w:pPr>
        <w:spacing w:before="80" w:after="160" w:line="276" w:lineRule="auto"/>
        <w:jc w:val="both"/>
        <w:rPr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Fig. 5. </w:t>
      </w:r>
      <w:r>
        <w:rPr>
          <w:sz w:val="20"/>
          <w:szCs w:val="20"/>
          <w:lang w:val="en-GB"/>
        </w:rPr>
        <w:t>Hydrological screening of flood hazard (Témez modified rational method, 100-year design storm). (A) Peak discharge, (B) specific discharge and (C) runoff coefficient for recognised (mapped, n = 18) versus unrecognised (unmapped, n = 32) catchments. Peak discharges are statistically comparable (P = 0.86); unmapped catchments generate significantly higher specific discharges (P = 0.010) and runoff coefficients (P = 0.008), indicating a persistent — indeed, per unit area, more torrential — flood hazard. Boxes, interquartile range and median; whiskers, 1.5× IQR; points, outliers.</w:t>
      </w:r>
    </w:p>
    <w:p w14:paraId="7D9E9412" w14:textId="77777777" w:rsidR="000F2B15" w:rsidRPr="00E361FE" w:rsidRDefault="00A8486D">
      <w:pPr>
        <w:spacing w:before="200" w:after="80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Extended Data Table 1.</w:t>
      </w:r>
      <w:r>
        <w:rPr>
          <w:sz w:val="20"/>
          <w:szCs w:val="20"/>
          <w:lang w:val="en-GB"/>
        </w:rPr>
        <w:t xml:space="preserve"> Morphometric comparison between urban and agricultural ghost-river catchments (median values; two-sided Mann-Whitney U test).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0"/>
        <w:gridCol w:w="1900"/>
        <w:gridCol w:w="1900"/>
        <w:gridCol w:w="1500"/>
        <w:gridCol w:w="1700"/>
      </w:tblGrid>
      <w:tr w:rsidR="000F2B15" w:rsidRPr="009A1307" w14:paraId="16667633" w14:textId="77777777">
        <w:trPr>
          <w:tblHeader/>
        </w:trPr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37CCF" w14:textId="77777777" w:rsidR="000F2B15" w:rsidRPr="009A1307" w:rsidRDefault="00A8486D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Variable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7FE3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Urban (n=37)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08F3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Agric. (n=13)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25DB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P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2D6C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Sig.</w:t>
            </w:r>
          </w:p>
        </w:tc>
      </w:tr>
      <w:tr w:rsidR="000F2B15" w:rsidRPr="009A1307" w14:paraId="70DD29BF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13733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Area (km²)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F9F7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2.55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58B1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1.38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6030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0.122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E8E7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4FBF3D59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78A81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Mean slope (%)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97C7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24.14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88F9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12.80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A3E3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0.070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1CF6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632D78F2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1545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Max. slope (%)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EC6E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80.61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939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56.04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40C3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0.002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5CBE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**</w:t>
            </w:r>
          </w:p>
        </w:tc>
      </w:tr>
      <w:tr w:rsidR="000F2B15" w:rsidRPr="009A1307" w14:paraId="7B5DDC42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5D61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Relief (m)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446E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332.2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16F2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165.9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2E7F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0.138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9C7A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50A76BAC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7DAD1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Circularity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2741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0.266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C935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0.235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D232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0.413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8B8CD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42BF3BFD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A9594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Compactness (Kc)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91E6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1.937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0A59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2.065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C9C9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0.413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042C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1134167C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D355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Strahler order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55CE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2.0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99FC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1.0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4307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0.069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36F5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</w:tbl>
    <w:p w14:paraId="164F4268" w14:textId="77777777" w:rsidR="000F2B15" w:rsidRPr="00E361FE" w:rsidRDefault="00A8486D">
      <w:pPr>
        <w:spacing w:before="200" w:after="80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Table 2. </w:t>
      </w:r>
      <w:r>
        <w:rPr>
          <w:sz w:val="20"/>
          <w:szCs w:val="20"/>
          <w:lang w:val="en-GB"/>
        </w:rPr>
        <w:t>Coverage of the modelled flood extents (percentage of catchment area) across the 50 catchments.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0"/>
        <w:gridCol w:w="2500"/>
        <w:gridCol w:w="2300"/>
        <w:gridCol w:w="2200"/>
      </w:tblGrid>
      <w:tr w:rsidR="000F2B15" w:rsidRPr="009A1307" w14:paraId="0035FADC" w14:textId="77777777">
        <w:trPr>
          <w:tblHeader/>
        </w:trPr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33B76" w14:textId="77777777" w:rsidR="000F2B15" w:rsidRPr="009A1307" w:rsidRDefault="00A8486D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Return period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D1A1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Catchments affected</w:t>
            </w:r>
          </w:p>
        </w:tc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F113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Median coverage (%)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A4469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Max. coverage (%)</w:t>
            </w:r>
          </w:p>
        </w:tc>
      </w:tr>
      <w:tr w:rsidR="000F2B15" w:rsidRPr="009A1307" w14:paraId="53E57E34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58D49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T50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9E84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11 (22.0%)</w:t>
            </w:r>
          </w:p>
        </w:tc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20F2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2.38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CB0B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6.15</w:t>
            </w:r>
          </w:p>
        </w:tc>
      </w:tr>
      <w:tr w:rsidR="000F2B15" w:rsidRPr="009A1307" w14:paraId="77EAFCDF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7839C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T100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0AEA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25 (50.0%)</w:t>
            </w:r>
          </w:p>
        </w:tc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9BC6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2.34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D6C9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100.0</w:t>
            </w:r>
          </w:p>
        </w:tc>
      </w:tr>
      <w:tr w:rsidR="000F2B15" w:rsidRPr="009A1307" w14:paraId="03AB5F3C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3DD11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T500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497F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25 (50.0%)</w:t>
            </w:r>
          </w:p>
        </w:tc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5A5F5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3.43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C84B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100.0</w:t>
            </w:r>
          </w:p>
        </w:tc>
      </w:tr>
    </w:tbl>
    <w:p w14:paraId="6071279C" w14:textId="77777777" w:rsidR="000F2B15" w:rsidRPr="00E361FE" w:rsidRDefault="00A8486D">
      <w:pPr>
        <w:spacing w:before="200" w:after="80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Extended Data Table 3.</w:t>
      </w:r>
      <w:r>
        <w:rPr>
          <w:sz w:val="20"/>
          <w:szCs w:val="20"/>
          <w:lang w:val="en-GB"/>
        </w:rPr>
        <w:t xml:space="preserve"> Comparison between catchments inside (mapped) and outside (unmapped) the APSFR register (median values; two-sided Mann-Whitney U test).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0"/>
        <w:gridCol w:w="1900"/>
        <w:gridCol w:w="1900"/>
        <w:gridCol w:w="1500"/>
        <w:gridCol w:w="1700"/>
      </w:tblGrid>
      <w:tr w:rsidR="000F2B15" w:rsidRPr="009A1307" w14:paraId="410528FA" w14:textId="77777777">
        <w:trPr>
          <w:tblHeader/>
        </w:trPr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968F4" w14:textId="77777777" w:rsidR="000F2B15" w:rsidRPr="009A1307" w:rsidRDefault="00A8486D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Variable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C5E5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Mapped (n=18)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AFEB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Unmapped (n=32)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9F87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P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E969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Sig.</w:t>
            </w:r>
          </w:p>
        </w:tc>
      </w:tr>
      <w:tr w:rsidR="000F2B15" w:rsidRPr="009A1307" w14:paraId="4A85C549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1E924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Area (km²)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A009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4.86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66EA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2.17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02B4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0.298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818A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4CEB9987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E5179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Mean slope (%)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83B2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24.69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29A8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19.67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F89A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0.390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FDC1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60B93C24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D9FD8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lastRenderedPageBreak/>
              <w:t>Max. slope (%)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9E61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75.50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D5BF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70.23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E21D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0.911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532C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0DC2EA2A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5134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Relief (m)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29C9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363.3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CF22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239.5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220E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0.192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4FEE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7F007C00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DFA5E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Circularity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AA8F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0.250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0C3C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0.266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37E0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0.679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709D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2180FCD5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20D8D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Compactness (Kc)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EB64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2.002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4D79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1.938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0262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0.679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4A5F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734713C9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03F02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Strahler order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E227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2.0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C267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1.0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D504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0.504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E20A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49C5EC31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EE88E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Hazard proxy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C3DA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0.400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697C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0.339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4A3C4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0.084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87C5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n.s.</w:t>
            </w:r>
          </w:p>
        </w:tc>
      </w:tr>
      <w:tr w:rsidR="000F2B15" w:rsidRPr="009A1307" w14:paraId="3C91F3F5" w14:textId="77777777"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2F98E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Flood cover T500 (%)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C89B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0.88</w:t>
            </w:r>
          </w:p>
        </w:tc>
        <w:tc>
          <w:tcPr>
            <w:tcW w:w="1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AFB4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0.00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5D00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0.046</w:t>
            </w:r>
          </w:p>
        </w:tc>
        <w:tc>
          <w:tcPr>
            <w:tcW w:w="1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B114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*</w:t>
            </w:r>
          </w:p>
        </w:tc>
      </w:tr>
    </w:tbl>
    <w:p w14:paraId="4648D5E5" w14:textId="77777777" w:rsidR="000F2B15" w:rsidRPr="00C53259" w:rsidRDefault="00A8486D">
      <w:pPr>
        <w:spacing w:before="200" w:after="80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Extended Data Table 4.</w:t>
      </w:r>
      <w:r>
        <w:rPr>
          <w:sz w:val="20"/>
          <w:szCs w:val="20"/>
          <w:lang w:val="en-GB"/>
        </w:rPr>
        <w:t xml:space="preserve"> Ghost-river catchments with the lowest population-weighted net income per person.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0"/>
        <w:gridCol w:w="1500"/>
        <w:gridCol w:w="1500"/>
        <w:gridCol w:w="1600"/>
        <w:gridCol w:w="1400"/>
      </w:tblGrid>
      <w:tr w:rsidR="000F2B15" w:rsidRPr="009A1307" w14:paraId="7EB86886" w14:textId="77777777">
        <w:trPr>
          <w:tblHeader/>
        </w:trPr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28E80" w14:textId="77777777" w:rsidR="000F2B15" w:rsidRPr="009A1307" w:rsidRDefault="00A8486D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Catchment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1BC4F" w14:textId="77777777" w:rsidR="000F2B15" w:rsidRPr="009A1307" w:rsidRDefault="00436D31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APSFR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20D9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Pop.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16E5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Income (€)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2064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% ≥65</w:t>
            </w:r>
          </w:p>
        </w:tc>
      </w:tr>
      <w:tr w:rsidR="000F2B15" w:rsidRPr="009A1307" w14:paraId="205987D3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ED17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Bco. del Caballar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7AF8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4D4C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7,943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4E71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5,797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2015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11.1</w:t>
            </w:r>
          </w:p>
        </w:tc>
      </w:tr>
      <w:tr w:rsidR="000F2B15" w:rsidRPr="009A1307" w14:paraId="548076CC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C65B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Bco. de las Cabreras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81DC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Unmapped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B9A3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2,318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7DC9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8,191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55D1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16.2</w:t>
            </w:r>
          </w:p>
        </w:tc>
      </w:tr>
      <w:tr w:rsidR="000F2B15" w:rsidRPr="009A1307" w14:paraId="0FAC3684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A424E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Rambla de Villanueva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E8E2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FD2D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2,878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790A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8,766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5A37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17.2</w:t>
            </w:r>
          </w:p>
        </w:tc>
      </w:tr>
      <w:tr w:rsidR="000F2B15" w:rsidRPr="009A1307" w14:paraId="13138D1E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42138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Rambla de Villalobos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B553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Unmapped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FBEE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3,967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A3FD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9,071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FD1E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10.0</w:t>
            </w:r>
          </w:p>
        </w:tc>
      </w:tr>
      <w:tr w:rsidR="000F2B15" w:rsidRPr="009A1307" w14:paraId="5B7C92DD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96C58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Bco. de la Mula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E71D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31BE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3,934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246F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9,113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9F1C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12.6</w:t>
            </w:r>
          </w:p>
        </w:tc>
      </w:tr>
      <w:tr w:rsidR="000F2B15" w:rsidRPr="009A1307" w14:paraId="4345A5D3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B1DFF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Rambla del Castellar (Crevillent)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AA73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CB75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18,563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1D1A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9,528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4E01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17.8</w:t>
            </w:r>
          </w:p>
        </w:tc>
      </w:tr>
      <w:tr w:rsidR="000F2B15" w:rsidRPr="009A1307" w14:paraId="48B29BB4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776FA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Bco. de la Higuera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C412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CDB2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3,129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F1FA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9,692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D6ED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22.2</w:t>
            </w:r>
          </w:p>
        </w:tc>
      </w:tr>
      <w:tr w:rsidR="000F2B15" w:rsidRPr="009A1307" w14:paraId="003C9F79" w14:textId="77777777">
        <w:tc>
          <w:tcPr>
            <w:tcW w:w="3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C218F" w14:textId="77777777" w:rsidR="000F2B15" w:rsidRPr="004526BC" w:rsidRDefault="00A8486D">
            <w:r>
              <w:rPr>
                <w:color w:val="000000"/>
                <w:sz w:val="19"/>
                <w:szCs w:val="19"/>
              </w:rPr>
              <w:t>Bco. de Amorós (Vega Baja)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0244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Mapped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C432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6,163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A2CE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9,769</w:t>
            </w:r>
          </w:p>
        </w:tc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3A6B8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23.7</w:t>
            </w:r>
          </w:p>
        </w:tc>
      </w:tr>
    </w:tbl>
    <w:p w14:paraId="30BE8EB1" w14:textId="77777777" w:rsidR="000F2B15" w:rsidRPr="00C53259" w:rsidRDefault="00A8486D">
      <w:pPr>
        <w:spacing w:before="200" w:after="80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 xml:space="preserve">Extended Data Table 5. </w:t>
      </w:r>
      <w:r>
        <w:rPr>
          <w:sz w:val="20"/>
          <w:szCs w:val="20"/>
          <w:lang w:val="en-GB"/>
        </w:rPr>
        <w:t>Descriptive statistics of the morphometric indices for the 50 ghost-river catchments.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0"/>
        <w:gridCol w:w="1070"/>
        <w:gridCol w:w="1070"/>
        <w:gridCol w:w="1070"/>
        <w:gridCol w:w="1070"/>
        <w:gridCol w:w="1070"/>
        <w:gridCol w:w="1070"/>
        <w:gridCol w:w="1080"/>
      </w:tblGrid>
      <w:tr w:rsidR="000F2B15" w:rsidRPr="009A1307" w14:paraId="411FF033" w14:textId="77777777">
        <w:trPr>
          <w:tblHeader/>
        </w:trPr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4FCD0" w14:textId="77777777" w:rsidR="000F2B15" w:rsidRPr="009A1307" w:rsidRDefault="00A8486D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Variable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377A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Min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11A9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Q25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5775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Median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0C4D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Mean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D0DD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Q75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94D9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Max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1111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3960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b/>
                <w:bCs/>
                <w:color w:val="FFFFFF"/>
                <w:sz w:val="19"/>
                <w:szCs w:val="19"/>
                <w:lang w:val="en-GB"/>
              </w:rPr>
              <w:t>Skew.</w:t>
            </w:r>
          </w:p>
        </w:tc>
      </w:tr>
      <w:tr w:rsidR="000F2B15" w:rsidRPr="009A1307" w14:paraId="69447B63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EA3F5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Area (km²)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48FC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0.07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D5BE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0.55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A92B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2.30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B575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4.18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36AC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6.65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15452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21.32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9CE8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1.57</w:t>
            </w:r>
          </w:p>
        </w:tc>
      </w:tr>
      <w:tr w:rsidR="000F2B15" w:rsidRPr="009A1307" w14:paraId="787EEDE4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E7237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Perimeter (m)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0550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1,348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A344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5,491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54125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11,203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0F3B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12,220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3AEE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16,532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A409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33,400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DBFA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0.67</w:t>
            </w:r>
          </w:p>
        </w:tc>
      </w:tr>
      <w:tr w:rsidR="000F2B15" w:rsidRPr="009A1307" w14:paraId="7C648BF9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93DD0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Mean slope (%)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5235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0.69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88A3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14.24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BCEE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22.93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E3D9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21.53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E1F2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28.89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EE036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50.57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C299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0.08</w:t>
            </w:r>
          </w:p>
        </w:tc>
      </w:tr>
      <w:tr w:rsidR="000F2B15" w:rsidRPr="009A1307" w14:paraId="1B95788F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AD4E8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Max. slope (%)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68F1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1.99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C31C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54.63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EA9F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71.90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C0AB5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72.20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3734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90.37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4A6D7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186.13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6660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0.32</w:t>
            </w:r>
          </w:p>
        </w:tc>
      </w:tr>
      <w:tr w:rsidR="000F2B15" w:rsidRPr="009A1307" w14:paraId="4FD7A685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EC124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Relief (m)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46EF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3.22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1373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141.5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F479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297.3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B32C5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317.3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7762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442.5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C6DB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795.4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8E9A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0.56</w:t>
            </w:r>
          </w:p>
        </w:tc>
      </w:tr>
      <w:tr w:rsidR="000F2B15" w:rsidRPr="009A1307" w14:paraId="171EF79B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C1EC6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Mean elevation (m)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D55F55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2.89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70BB5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66.6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8F1B4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106.8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D3CC9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134.1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1E64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180.0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C0F6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406.6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6D10F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1.19</w:t>
            </w:r>
          </w:p>
        </w:tc>
      </w:tr>
      <w:tr w:rsidR="000F2B15" w:rsidRPr="009A1307" w14:paraId="6665C9A0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DAFE8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Circularity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20C68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0.120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2C34E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0.220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B52C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0.266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3E5D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0.268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5A733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0.326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C228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0.470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63897" w14:textId="5F12CC41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0.14</w:t>
            </w:r>
          </w:p>
        </w:tc>
      </w:tr>
      <w:tr w:rsidR="000F2B15" w:rsidRPr="009A1307" w14:paraId="3436E31F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4F7FB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Compactness (Kc)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A57DC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1.46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9808B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1.75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5247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1.94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3FBFD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2.00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6D2F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2.13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8B84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2.89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1842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0.88</w:t>
            </w:r>
          </w:p>
        </w:tc>
      </w:tr>
      <w:tr w:rsidR="000F2B15" w:rsidRPr="009A1307" w14:paraId="29FADEB5" w14:textId="77777777">
        <w:tc>
          <w:tcPr>
            <w:tcW w:w="18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3DCED" w14:textId="77777777" w:rsidR="000F2B15" w:rsidRPr="009A1307" w:rsidRDefault="00A8486D">
            <w:pPr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Strahler order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F409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CFE07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3A15FA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2.0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A03F1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1.58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6128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3.0</w:t>
            </w:r>
          </w:p>
        </w:tc>
        <w:tc>
          <w:tcPr>
            <w:tcW w:w="10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0FCE2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3.0</w:t>
            </w:r>
          </w:p>
        </w:tc>
        <w:tc>
          <w:tcPr>
            <w:tcW w:w="1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26D60" w14:textId="77777777" w:rsidR="000F2B15" w:rsidRPr="009A1307" w:rsidRDefault="00A8486D">
            <w:pPr>
              <w:jc w:val="right"/>
              <w:rPr>
                <w:lang w:val="en-GB"/>
              </w:rPr>
            </w:pPr>
            <w:r>
              <w:rPr>
                <w:color w:val="000000"/>
                <w:sz w:val="19"/>
                <w:szCs w:val="19"/>
                <w:lang w:val="en-GB"/>
              </w:rPr>
              <w:t>−0.12</w:t>
            </w:r>
          </w:p>
        </w:tc>
      </w:tr>
    </w:tbl>
    <w:p w14:paraId="183E8FA3" w14:textId="77777777" w:rsidR="009548B9" w:rsidRDefault="009548B9"/>
    <w:sectPr w:rsidR="009548B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133C"/>
    <w:multiLevelType w:val="hybridMultilevel"/>
    <w:tmpl w:val="90082062"/>
    <w:lvl w:ilvl="0" w:tplc="BE14AC7C">
      <w:start w:val="1"/>
      <w:numFmt w:val="bullet"/>
      <w:lvlText w:val="●"/>
      <w:lvlJc w:val="left"/>
      <w:pPr>
        <w:ind w:left="720" w:hanging="360"/>
      </w:pPr>
    </w:lvl>
    <w:lvl w:ilvl="1" w:tplc="B3647254">
      <w:start w:val="1"/>
      <w:numFmt w:val="bullet"/>
      <w:lvlText w:val="○"/>
      <w:lvlJc w:val="left"/>
      <w:pPr>
        <w:ind w:left="1440" w:hanging="360"/>
      </w:pPr>
    </w:lvl>
    <w:lvl w:ilvl="2" w:tplc="60400D6E">
      <w:start w:val="1"/>
      <w:numFmt w:val="bullet"/>
      <w:lvlText w:val="■"/>
      <w:lvlJc w:val="left"/>
      <w:pPr>
        <w:ind w:left="2160" w:hanging="360"/>
      </w:pPr>
    </w:lvl>
    <w:lvl w:ilvl="3" w:tplc="7E0CF9F6">
      <w:start w:val="1"/>
      <w:numFmt w:val="bullet"/>
      <w:lvlText w:val="●"/>
      <w:lvlJc w:val="left"/>
      <w:pPr>
        <w:ind w:left="2880" w:hanging="360"/>
      </w:pPr>
    </w:lvl>
    <w:lvl w:ilvl="4" w:tplc="0B529310">
      <w:start w:val="1"/>
      <w:numFmt w:val="bullet"/>
      <w:lvlText w:val="○"/>
      <w:lvlJc w:val="left"/>
      <w:pPr>
        <w:ind w:left="3600" w:hanging="360"/>
      </w:pPr>
    </w:lvl>
    <w:lvl w:ilvl="5" w:tplc="301ADE1E">
      <w:start w:val="1"/>
      <w:numFmt w:val="bullet"/>
      <w:lvlText w:val="■"/>
      <w:lvlJc w:val="left"/>
      <w:pPr>
        <w:ind w:left="4320" w:hanging="360"/>
      </w:pPr>
    </w:lvl>
    <w:lvl w:ilvl="6" w:tplc="B8DA15E6">
      <w:start w:val="1"/>
      <w:numFmt w:val="bullet"/>
      <w:lvlText w:val="●"/>
      <w:lvlJc w:val="left"/>
      <w:pPr>
        <w:ind w:left="5040" w:hanging="360"/>
      </w:pPr>
    </w:lvl>
    <w:lvl w:ilvl="7" w:tplc="76C60BD2">
      <w:start w:val="1"/>
      <w:numFmt w:val="bullet"/>
      <w:lvlText w:val="●"/>
      <w:lvlJc w:val="left"/>
      <w:pPr>
        <w:ind w:left="5760" w:hanging="360"/>
      </w:pPr>
    </w:lvl>
    <w:lvl w:ilvl="8" w:tplc="B0FE7B82">
      <w:start w:val="1"/>
      <w:numFmt w:val="bullet"/>
      <w:lvlText w:val="●"/>
      <w:lvlJc w:val="left"/>
      <w:pPr>
        <w:ind w:left="6480" w:hanging="360"/>
      </w:pPr>
    </w:lvl>
  </w:abstractNum>
  <w:num w:numId="1" w16cid:durableId="7894760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B15"/>
    <w:rsid w:val="00006E7C"/>
    <w:rsid w:val="00016310"/>
    <w:rsid w:val="00026258"/>
    <w:rsid w:val="00053A13"/>
    <w:rsid w:val="000657A4"/>
    <w:rsid w:val="00074DF6"/>
    <w:rsid w:val="0009405F"/>
    <w:rsid w:val="000A68AA"/>
    <w:rsid w:val="000B05E7"/>
    <w:rsid w:val="000F2B15"/>
    <w:rsid w:val="001125F9"/>
    <w:rsid w:val="00125268"/>
    <w:rsid w:val="0013422D"/>
    <w:rsid w:val="00134F45"/>
    <w:rsid w:val="001733A2"/>
    <w:rsid w:val="001976C6"/>
    <w:rsid w:val="001B0486"/>
    <w:rsid w:val="00247B23"/>
    <w:rsid w:val="00256839"/>
    <w:rsid w:val="002B4A31"/>
    <w:rsid w:val="002C4719"/>
    <w:rsid w:val="003151BA"/>
    <w:rsid w:val="00326728"/>
    <w:rsid w:val="00337E8D"/>
    <w:rsid w:val="003B6BB8"/>
    <w:rsid w:val="003D07C3"/>
    <w:rsid w:val="00402672"/>
    <w:rsid w:val="0041141B"/>
    <w:rsid w:val="00433058"/>
    <w:rsid w:val="00436D31"/>
    <w:rsid w:val="00437CCB"/>
    <w:rsid w:val="00445C09"/>
    <w:rsid w:val="00525AF1"/>
    <w:rsid w:val="00526DD9"/>
    <w:rsid w:val="005A6D82"/>
    <w:rsid w:val="005B0F2D"/>
    <w:rsid w:val="005C6FCF"/>
    <w:rsid w:val="005D4F5B"/>
    <w:rsid w:val="006804D4"/>
    <w:rsid w:val="006830C9"/>
    <w:rsid w:val="00683888"/>
    <w:rsid w:val="006B5350"/>
    <w:rsid w:val="006B5518"/>
    <w:rsid w:val="006D58F8"/>
    <w:rsid w:val="006D6882"/>
    <w:rsid w:val="006F45A4"/>
    <w:rsid w:val="006F58B4"/>
    <w:rsid w:val="00746291"/>
    <w:rsid w:val="007628B9"/>
    <w:rsid w:val="007D2D6D"/>
    <w:rsid w:val="007F0669"/>
    <w:rsid w:val="007F2F28"/>
    <w:rsid w:val="008B296D"/>
    <w:rsid w:val="00903AE4"/>
    <w:rsid w:val="009362BC"/>
    <w:rsid w:val="00947E1D"/>
    <w:rsid w:val="009548B9"/>
    <w:rsid w:val="009A1307"/>
    <w:rsid w:val="00A82A58"/>
    <w:rsid w:val="00A8486D"/>
    <w:rsid w:val="00AB57F0"/>
    <w:rsid w:val="00AC5933"/>
    <w:rsid w:val="00AD74C2"/>
    <w:rsid w:val="00AE1454"/>
    <w:rsid w:val="00AE4888"/>
    <w:rsid w:val="00B1110F"/>
    <w:rsid w:val="00B2237F"/>
    <w:rsid w:val="00B43FB5"/>
    <w:rsid w:val="00B46B98"/>
    <w:rsid w:val="00C16CF4"/>
    <w:rsid w:val="00C26DB5"/>
    <w:rsid w:val="00C30BF7"/>
    <w:rsid w:val="00C560E7"/>
    <w:rsid w:val="00C72DEB"/>
    <w:rsid w:val="00C83FFA"/>
    <w:rsid w:val="00C96AEC"/>
    <w:rsid w:val="00CC1BF8"/>
    <w:rsid w:val="00CD10A8"/>
    <w:rsid w:val="00CE5B68"/>
    <w:rsid w:val="00CF48B9"/>
    <w:rsid w:val="00D83690"/>
    <w:rsid w:val="00D904EE"/>
    <w:rsid w:val="00E2370F"/>
    <w:rsid w:val="00E361FE"/>
    <w:rsid w:val="00E45D8F"/>
    <w:rsid w:val="00E66C17"/>
    <w:rsid w:val="00EA1889"/>
    <w:rsid w:val="00EF299D"/>
    <w:rsid w:val="00F50F9C"/>
    <w:rsid w:val="00F56997"/>
    <w:rsid w:val="00F67DD0"/>
    <w:rsid w:val="00F85836"/>
    <w:rsid w:val="00F95799"/>
    <w:rsid w:val="00FA63F2"/>
    <w:rsid w:val="00FF06A2"/>
    <w:rsid w:val="00FF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3D32"/>
  <w15:docId w15:val="{EB212DC9-1ED2-45CB-AE70-117DCADF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20" w:after="160"/>
      <w:outlineLvl w:val="0"/>
    </w:pPr>
    <w:rPr>
      <w:rFonts w:ascii="Arial" w:eastAsia="Arial" w:hAnsi="Arial" w:cs="Arial"/>
      <w:b/>
      <w:bCs/>
      <w:color w:val="000000"/>
      <w:sz w:val="28"/>
      <w:szCs w:val="28"/>
    </w:rPr>
  </w:style>
  <w:style w:type="paragraph" w:styleId="Ttulo2">
    <w:name w:val="heading 2"/>
    <w:uiPriority w:val="9"/>
    <w:unhideWhenUsed/>
    <w:qFormat/>
    <w:pPr>
      <w:spacing w:before="220" w:after="120"/>
      <w:outlineLvl w:val="1"/>
    </w:pPr>
    <w:rPr>
      <w:rFonts w:ascii="Arial" w:eastAsia="Arial" w:hAnsi="Arial" w:cs="Arial"/>
      <w:b/>
      <w:bCs/>
      <w:color w:val="000000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947E1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657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657A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657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57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57A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57A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57A4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2C4719"/>
  </w:style>
  <w:style w:type="character" w:styleId="Mencinsinresolver">
    <w:name w:val="Unresolved Mention"/>
    <w:basedOn w:val="Fuentedeprrafopredeter"/>
    <w:uiPriority w:val="99"/>
    <w:semiHidden/>
    <w:unhideWhenUsed/>
    <w:rsid w:val="00683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0C155-7C96-4BCF-B127-91D50A7705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fba6f1-aff4-4b79-8885-6d979e1ad1b9}" enabled="1" method="Standard" siteId="{1c970947-1e9c-4245-bea0-b5ce2a7777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699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Jorge Lorenzo Lacruz</cp:lastModifiedBy>
  <cp:revision>25</cp:revision>
  <dcterms:created xsi:type="dcterms:W3CDTF">2026-06-10T06:55:00Z</dcterms:created>
  <dcterms:modified xsi:type="dcterms:W3CDTF">2026-09-18T00:10:00Z</dcterms:modified>
</cp:coreProperties>
</file>