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208D3" w14:textId="77777777" w:rsidR="00203A17" w:rsidRDefault="00000000">
      <w:r>
        <w:rPr>
          <w:b/>
          <w:sz w:val="26"/>
        </w:rPr>
        <w:t>Supplementary Information</w:t>
      </w:r>
    </w:p>
    <w:p w14:paraId="23F94884" w14:textId="77777777" w:rsidR="00203A17" w:rsidRDefault="00000000" w:rsidP="00A61FFF">
      <w:pPr>
        <w:jc w:val="both"/>
      </w:pPr>
      <w:r>
        <w:rPr>
          <w:b/>
        </w:rPr>
        <w:t xml:space="preserve">Supplementary Table 1. </w:t>
      </w:r>
      <w:r>
        <w:t>Sensitivity of the income–recognition contrast to the unit of analysis. Census sections are nested within catchments and inherit their APSFR status, so the inferential rows test the same contrast at different levels of aggregation. Income is net income per person (ADRH 2021); r is the rank-biserial correlation.</w:t>
      </w:r>
    </w:p>
    <w:tbl>
      <w:tblPr>
        <w:tblStyle w:val="Tabladelista3"/>
        <w:tblW w:w="0" w:type="auto"/>
        <w:jc w:val="center"/>
        <w:tblLayout w:type="fixed"/>
        <w:tblLook w:val="04A0" w:firstRow="1" w:lastRow="0" w:firstColumn="1" w:lastColumn="0" w:noHBand="0" w:noVBand="1"/>
      </w:tblPr>
      <w:tblGrid>
        <w:gridCol w:w="2835"/>
        <w:gridCol w:w="1474"/>
        <w:gridCol w:w="1077"/>
        <w:gridCol w:w="1191"/>
        <w:gridCol w:w="2036"/>
        <w:gridCol w:w="1526"/>
      </w:tblGrid>
      <w:tr w:rsidR="00203A17" w14:paraId="5B93D259" w14:textId="77777777" w:rsidTr="00CE44D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835" w:type="dxa"/>
          </w:tcPr>
          <w:p w14:paraId="2D5FBCD5" w14:textId="77777777" w:rsidR="00203A17" w:rsidRDefault="00000000">
            <w:r>
              <w:rPr>
                <w:sz w:val="18"/>
              </w:rPr>
              <w:t>Unit of analysis</w:t>
            </w:r>
          </w:p>
        </w:tc>
        <w:tc>
          <w:tcPr>
            <w:tcW w:w="1474" w:type="dxa"/>
          </w:tcPr>
          <w:p w14:paraId="4CDBF8CA" w14:textId="77777777" w:rsidR="00203A17" w:rsidRDefault="00000000">
            <w:pPr>
              <w:cnfStyle w:val="100000000000" w:firstRow="1" w:lastRow="0" w:firstColumn="0" w:lastColumn="0" w:oddVBand="0" w:evenVBand="0" w:oddHBand="0" w:evenHBand="0" w:firstRowFirstColumn="0" w:firstRowLastColumn="0" w:lastRowFirstColumn="0" w:lastRowLastColumn="0"/>
            </w:pPr>
            <w:r>
              <w:rPr>
                <w:sz w:val="18"/>
              </w:rPr>
              <w:t>n (mapped / unmapped)</w:t>
            </w:r>
          </w:p>
        </w:tc>
        <w:tc>
          <w:tcPr>
            <w:tcW w:w="1077" w:type="dxa"/>
          </w:tcPr>
          <w:p w14:paraId="2DE44D2D" w14:textId="77777777" w:rsidR="00203A17" w:rsidRDefault="00000000">
            <w:pPr>
              <w:cnfStyle w:val="100000000000" w:firstRow="1" w:lastRow="0" w:firstColumn="0" w:lastColumn="0" w:oddVBand="0" w:evenVBand="0" w:oddHBand="0" w:evenHBand="0" w:firstRowFirstColumn="0" w:firstRowLastColumn="0" w:lastRowFirstColumn="0" w:lastRowLastColumn="0"/>
            </w:pPr>
            <w:r>
              <w:rPr>
                <w:sz w:val="18"/>
              </w:rPr>
              <w:t>Mapped</w:t>
            </w:r>
          </w:p>
        </w:tc>
        <w:tc>
          <w:tcPr>
            <w:tcW w:w="1191" w:type="dxa"/>
          </w:tcPr>
          <w:p w14:paraId="2A71917D" w14:textId="77777777" w:rsidR="00203A17" w:rsidRDefault="00000000">
            <w:pPr>
              <w:cnfStyle w:val="100000000000" w:firstRow="1" w:lastRow="0" w:firstColumn="0" w:lastColumn="0" w:oddVBand="0" w:evenVBand="0" w:oddHBand="0" w:evenHBand="0" w:firstRowFirstColumn="0" w:firstRowLastColumn="0" w:lastRowFirstColumn="0" w:lastRowLastColumn="0"/>
            </w:pPr>
            <w:r>
              <w:rPr>
                <w:sz w:val="18"/>
              </w:rPr>
              <w:t>Unmapped</w:t>
            </w:r>
          </w:p>
        </w:tc>
        <w:tc>
          <w:tcPr>
            <w:tcW w:w="2036" w:type="dxa"/>
          </w:tcPr>
          <w:p w14:paraId="61E72F97" w14:textId="77777777" w:rsidR="00203A17" w:rsidRDefault="00000000">
            <w:pPr>
              <w:cnfStyle w:val="100000000000" w:firstRow="1" w:lastRow="0" w:firstColumn="0" w:lastColumn="0" w:oddVBand="0" w:evenVBand="0" w:oddHBand="0" w:evenHBand="0" w:firstRowFirstColumn="0" w:firstRowLastColumn="0" w:lastRowFirstColumn="0" w:lastRowLastColumn="0"/>
            </w:pPr>
            <w:r>
              <w:rPr>
                <w:sz w:val="18"/>
              </w:rPr>
              <w:t>Effect size</w:t>
            </w:r>
          </w:p>
        </w:tc>
        <w:tc>
          <w:tcPr>
            <w:tcW w:w="1526" w:type="dxa"/>
          </w:tcPr>
          <w:p w14:paraId="7D19A31F" w14:textId="77777777" w:rsidR="00203A17" w:rsidRDefault="00000000">
            <w:pPr>
              <w:cnfStyle w:val="100000000000" w:firstRow="1" w:lastRow="0" w:firstColumn="0" w:lastColumn="0" w:oddVBand="0" w:evenVBand="0" w:oddHBand="0" w:evenHBand="0" w:firstRowFirstColumn="0" w:firstRowLastColumn="0" w:lastRowFirstColumn="0" w:lastRowLastColumn="0"/>
            </w:pPr>
            <w:r>
              <w:rPr>
                <w:sz w:val="18"/>
              </w:rPr>
              <w:t>P</w:t>
            </w:r>
          </w:p>
        </w:tc>
      </w:tr>
      <w:tr w:rsidR="00203A17" w14:paraId="3355CB8D" w14:textId="77777777" w:rsidTr="00CE44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50F9845C" w14:textId="77777777" w:rsidR="00203A17" w:rsidRDefault="00000000">
            <w:r>
              <w:rPr>
                <w:sz w:val="18"/>
              </w:rPr>
              <w:t>Census sections</w:t>
            </w:r>
          </w:p>
        </w:tc>
        <w:tc>
          <w:tcPr>
            <w:tcW w:w="1474" w:type="dxa"/>
          </w:tcPr>
          <w:p w14:paraId="0F57AA12"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64 / 126</w:t>
            </w:r>
          </w:p>
        </w:tc>
        <w:tc>
          <w:tcPr>
            <w:tcW w:w="1077" w:type="dxa"/>
          </w:tcPr>
          <w:p w14:paraId="3124368D"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10,885</w:t>
            </w:r>
          </w:p>
        </w:tc>
        <w:tc>
          <w:tcPr>
            <w:tcW w:w="1191" w:type="dxa"/>
          </w:tcPr>
          <w:p w14:paraId="554D9A09"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12,720</w:t>
            </w:r>
          </w:p>
        </w:tc>
        <w:tc>
          <w:tcPr>
            <w:tcW w:w="2036" w:type="dxa"/>
          </w:tcPr>
          <w:p w14:paraId="1D1B2ACE"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r = 0.46 [0.31–0.61]</w:t>
            </w:r>
          </w:p>
        </w:tc>
        <w:tc>
          <w:tcPr>
            <w:tcW w:w="1526" w:type="dxa"/>
          </w:tcPr>
          <w:p w14:paraId="3645EB04"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1.9 × 10⁻⁷</w:t>
            </w:r>
          </w:p>
        </w:tc>
      </w:tr>
      <w:tr w:rsidR="00203A17" w14:paraId="577D9ED9" w14:textId="77777777" w:rsidTr="00CE44DE">
        <w:trPr>
          <w:jc w:val="center"/>
        </w:trPr>
        <w:tc>
          <w:tcPr>
            <w:cnfStyle w:val="001000000000" w:firstRow="0" w:lastRow="0" w:firstColumn="1" w:lastColumn="0" w:oddVBand="0" w:evenVBand="0" w:oddHBand="0" w:evenHBand="0" w:firstRowFirstColumn="0" w:firstRowLastColumn="0" w:lastRowFirstColumn="0" w:lastRowLastColumn="0"/>
            <w:tcW w:w="2835" w:type="dxa"/>
          </w:tcPr>
          <w:p w14:paraId="7D6EA48E" w14:textId="77777777" w:rsidR="00203A17" w:rsidRDefault="00000000">
            <w:r>
              <w:rPr>
                <w:sz w:val="18"/>
              </w:rPr>
              <w:t>Catchment-level cluster permutation</w:t>
            </w:r>
          </w:p>
        </w:tc>
        <w:tc>
          <w:tcPr>
            <w:tcW w:w="1474" w:type="dxa"/>
          </w:tcPr>
          <w:p w14:paraId="18ABCE9B"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45 catchments</w:t>
            </w:r>
          </w:p>
        </w:tc>
        <w:tc>
          <w:tcPr>
            <w:tcW w:w="1077" w:type="dxa"/>
          </w:tcPr>
          <w:p w14:paraId="1221BCE5"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w:t>
            </w:r>
          </w:p>
        </w:tc>
        <w:tc>
          <w:tcPr>
            <w:tcW w:w="1191" w:type="dxa"/>
          </w:tcPr>
          <w:p w14:paraId="33585397"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w:t>
            </w:r>
          </w:p>
        </w:tc>
        <w:tc>
          <w:tcPr>
            <w:tcW w:w="2036" w:type="dxa"/>
          </w:tcPr>
          <w:p w14:paraId="5E8B9CBF"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95% CI 0.12–0.70</w:t>
            </w:r>
          </w:p>
        </w:tc>
        <w:tc>
          <w:tcPr>
            <w:tcW w:w="1526" w:type="dxa"/>
          </w:tcPr>
          <w:p w14:paraId="2D0943DF"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0.03</w:t>
            </w:r>
          </w:p>
        </w:tc>
      </w:tr>
      <w:tr w:rsidR="00203A17" w14:paraId="5BCF00F4" w14:textId="77777777" w:rsidTr="00CE44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0943C6B3" w14:textId="77777777" w:rsidR="00203A17" w:rsidRDefault="00000000">
            <w:r>
              <w:rPr>
                <w:sz w:val="18"/>
              </w:rPr>
              <w:t>Catchments (population-weighted income)</w:t>
            </w:r>
          </w:p>
        </w:tc>
        <w:tc>
          <w:tcPr>
            <w:tcW w:w="1474" w:type="dxa"/>
          </w:tcPr>
          <w:p w14:paraId="082A68AB"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17 / 28</w:t>
            </w:r>
          </w:p>
        </w:tc>
        <w:tc>
          <w:tcPr>
            <w:tcW w:w="1077" w:type="dxa"/>
          </w:tcPr>
          <w:p w14:paraId="5DFE1EF8"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11,305</w:t>
            </w:r>
          </w:p>
        </w:tc>
        <w:tc>
          <w:tcPr>
            <w:tcW w:w="1191" w:type="dxa"/>
          </w:tcPr>
          <w:p w14:paraId="78F6E86E"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11,482</w:t>
            </w:r>
          </w:p>
        </w:tc>
        <w:tc>
          <w:tcPr>
            <w:tcW w:w="2036" w:type="dxa"/>
          </w:tcPr>
          <w:p w14:paraId="333FCA15"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r = 0.16</w:t>
            </w:r>
          </w:p>
        </w:tc>
        <w:tc>
          <w:tcPr>
            <w:tcW w:w="1526" w:type="dxa"/>
          </w:tcPr>
          <w:p w14:paraId="313866DD"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0.38</w:t>
            </w:r>
          </w:p>
        </w:tc>
      </w:tr>
      <w:tr w:rsidR="00203A17" w14:paraId="3995F256" w14:textId="77777777" w:rsidTr="00CE44DE">
        <w:trPr>
          <w:jc w:val="center"/>
        </w:trPr>
        <w:tc>
          <w:tcPr>
            <w:cnfStyle w:val="001000000000" w:firstRow="0" w:lastRow="0" w:firstColumn="1" w:lastColumn="0" w:oddVBand="0" w:evenVBand="0" w:oddHBand="0" w:evenHBand="0" w:firstRowFirstColumn="0" w:firstRowLastColumn="0" w:lastRowFirstColumn="0" w:lastRowLastColumn="0"/>
            <w:tcW w:w="2835" w:type="dxa"/>
          </w:tcPr>
          <w:p w14:paraId="2F647439" w14:textId="77777777" w:rsidR="00203A17" w:rsidRDefault="00000000">
            <w:r>
              <w:rPr>
                <w:sz w:val="18"/>
              </w:rPr>
              <w:t>Residents (population-weighted median)</w:t>
            </w:r>
          </w:p>
        </w:tc>
        <w:tc>
          <w:tcPr>
            <w:tcW w:w="1474" w:type="dxa"/>
          </w:tcPr>
          <w:p w14:paraId="3BCB718B"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135,408 / 242,217</w:t>
            </w:r>
          </w:p>
        </w:tc>
        <w:tc>
          <w:tcPr>
            <w:tcW w:w="1077" w:type="dxa"/>
          </w:tcPr>
          <w:p w14:paraId="06CFBC3D"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10,891</w:t>
            </w:r>
          </w:p>
        </w:tc>
        <w:tc>
          <w:tcPr>
            <w:tcW w:w="1191" w:type="dxa"/>
          </w:tcPr>
          <w:p w14:paraId="6A75225C"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12,556</w:t>
            </w:r>
          </w:p>
        </w:tc>
        <w:tc>
          <w:tcPr>
            <w:tcW w:w="2036" w:type="dxa"/>
          </w:tcPr>
          <w:p w14:paraId="2AB41816"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w:t>
            </w:r>
          </w:p>
        </w:tc>
        <w:tc>
          <w:tcPr>
            <w:tcW w:w="1526" w:type="dxa"/>
          </w:tcPr>
          <w:p w14:paraId="5A0CD6B6" w14:textId="77777777" w:rsidR="00203A17" w:rsidRDefault="00000000">
            <w:pPr>
              <w:jc w:val="right"/>
              <w:cnfStyle w:val="000000000000" w:firstRow="0" w:lastRow="0" w:firstColumn="0" w:lastColumn="0" w:oddVBand="0" w:evenVBand="0" w:oddHBand="0" w:evenHBand="0" w:firstRowFirstColumn="0" w:firstRowLastColumn="0" w:lastRowFirstColumn="0" w:lastRowLastColumn="0"/>
            </w:pPr>
            <w:r>
              <w:rPr>
                <w:sz w:val="18"/>
              </w:rPr>
              <w:t>—</w:t>
            </w:r>
          </w:p>
        </w:tc>
      </w:tr>
      <w:tr w:rsidR="00203A17" w14:paraId="3928227B" w14:textId="77777777" w:rsidTr="00CE44D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5" w:type="dxa"/>
          </w:tcPr>
          <w:p w14:paraId="487EAE80" w14:textId="77777777" w:rsidR="00203A17" w:rsidRDefault="00000000">
            <w:r>
              <w:rPr>
                <w:sz w:val="18"/>
              </w:rPr>
              <w:t>Residents below national average (%)</w:t>
            </w:r>
          </w:p>
        </w:tc>
        <w:tc>
          <w:tcPr>
            <w:tcW w:w="1474" w:type="dxa"/>
          </w:tcPr>
          <w:p w14:paraId="3EF9357F"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135,408 / 242,217</w:t>
            </w:r>
          </w:p>
        </w:tc>
        <w:tc>
          <w:tcPr>
            <w:tcW w:w="1077" w:type="dxa"/>
          </w:tcPr>
          <w:p w14:paraId="79863089"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86.8</w:t>
            </w:r>
          </w:p>
        </w:tc>
        <w:tc>
          <w:tcPr>
            <w:tcW w:w="1191" w:type="dxa"/>
          </w:tcPr>
          <w:p w14:paraId="2C00EB16"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57.8</w:t>
            </w:r>
          </w:p>
        </w:tc>
        <w:tc>
          <w:tcPr>
            <w:tcW w:w="2036" w:type="dxa"/>
          </w:tcPr>
          <w:p w14:paraId="3A477373"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w:t>
            </w:r>
          </w:p>
        </w:tc>
        <w:tc>
          <w:tcPr>
            <w:tcW w:w="1526" w:type="dxa"/>
          </w:tcPr>
          <w:p w14:paraId="6224CF0D" w14:textId="77777777" w:rsidR="00203A17" w:rsidRDefault="00000000">
            <w:pPr>
              <w:jc w:val="right"/>
              <w:cnfStyle w:val="000000100000" w:firstRow="0" w:lastRow="0" w:firstColumn="0" w:lastColumn="0" w:oddVBand="0" w:evenVBand="0" w:oddHBand="1" w:evenHBand="0" w:firstRowFirstColumn="0" w:firstRowLastColumn="0" w:lastRowFirstColumn="0" w:lastRowLastColumn="0"/>
            </w:pPr>
            <w:r>
              <w:rPr>
                <w:sz w:val="18"/>
              </w:rPr>
              <w:t>—</w:t>
            </w:r>
          </w:p>
        </w:tc>
      </w:tr>
    </w:tbl>
    <w:p w14:paraId="53BF8CB8" w14:textId="77777777" w:rsidR="00203A17" w:rsidRDefault="00000000" w:rsidP="00A61FFF">
      <w:pPr>
        <w:jc w:val="both"/>
      </w:pPr>
      <w:r>
        <w:rPr>
          <w:i/>
        </w:rPr>
        <w:t xml:space="preserve">Note. </w:t>
      </w:r>
      <w:r>
        <w:t>Medians are € per person. The catchment-level comparison uses the 17 mapped and 28 unmapped catchments with income data; for the observed effect (Cohen’s d = 0.23) its statistical power is 0.11, and d ≥ 0.89 would be required for 80% power, so it cannot discriminate between the presence and absence of a contrast of the magnitude observed. The cluster permutation test (5,000 permutations, APSFR status reassigned among catchments) and the cluster bootstrap (10,000 resamples) preserve the nesting of sections within catchments. Population-weighted values describe the 377,625 residents of the census sections overlying the 50 catchments and involve no independence assumption.</w:t>
      </w:r>
    </w:p>
    <w:sectPr w:rsidR="00203A17"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05104835">
    <w:abstractNumId w:val="8"/>
  </w:num>
  <w:num w:numId="2" w16cid:durableId="994726411">
    <w:abstractNumId w:val="6"/>
  </w:num>
  <w:num w:numId="3" w16cid:durableId="418795274">
    <w:abstractNumId w:val="5"/>
  </w:num>
  <w:num w:numId="4" w16cid:durableId="565183457">
    <w:abstractNumId w:val="4"/>
  </w:num>
  <w:num w:numId="5" w16cid:durableId="154542205">
    <w:abstractNumId w:val="7"/>
  </w:num>
  <w:num w:numId="6" w16cid:durableId="314456171">
    <w:abstractNumId w:val="3"/>
  </w:num>
  <w:num w:numId="7" w16cid:durableId="702827718">
    <w:abstractNumId w:val="2"/>
  </w:num>
  <w:num w:numId="8" w16cid:durableId="2019116231">
    <w:abstractNumId w:val="1"/>
  </w:num>
  <w:num w:numId="9" w16cid:durableId="325744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40F"/>
    <w:rsid w:val="00203A17"/>
    <w:rsid w:val="0029639D"/>
    <w:rsid w:val="00326F90"/>
    <w:rsid w:val="008A6774"/>
    <w:rsid w:val="00A61FFF"/>
    <w:rsid w:val="00AA1D8D"/>
    <w:rsid w:val="00B47730"/>
    <w:rsid w:val="00CB0664"/>
    <w:rsid w:val="00CE44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36FACA"/>
  <w14:defaultImageDpi w14:val="300"/>
  <w15:docId w15:val="{71D2FD31-8C6A-4AE5-84E8-D2219E20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adelista3">
    <w:name w:val="List Table 3"/>
    <w:basedOn w:val="Tablanormal"/>
    <w:uiPriority w:val="48"/>
    <w:rsid w:val="00A61FF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3fba6f1-aff4-4b79-8885-6d979e1ad1b9}" enabled="1" method="Standard" siteId="{1c970947-1e9c-4245-bea0-b5ce2a77773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Jorge Lorenzo Lacruz</cp:lastModifiedBy>
  <cp:revision>4</cp:revision>
  <dcterms:created xsi:type="dcterms:W3CDTF">2013-12-23T23:15:00Z</dcterms:created>
  <dcterms:modified xsi:type="dcterms:W3CDTF">2026-09-18T00:12:00Z</dcterms:modified>
  <cp:category/>
</cp:coreProperties>
</file>