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8AD19" w14:textId="77777777" w:rsidR="00752039" w:rsidRPr="001C5F25" w:rsidRDefault="00752039" w:rsidP="00752039">
      <w:pPr>
        <w:jc w:val="both"/>
        <w:rPr>
          <w:sz w:val="22"/>
          <w:szCs w:val="22"/>
        </w:rPr>
      </w:pPr>
      <w:r w:rsidRPr="001C5F25">
        <w:rPr>
          <w:b/>
          <w:bCs/>
          <w:sz w:val="22"/>
          <w:szCs w:val="22"/>
        </w:rPr>
        <w:t>Table 1S. Top predictive features across the nine VIM-2 fitness phenotypes.</w:t>
      </w:r>
      <w:r w:rsidRPr="001C5F25">
        <w:rPr>
          <w:sz w:val="22"/>
          <w:szCs w:val="22"/>
        </w:rPr>
        <w:t xml:space="preserve"> The table summarizes the highest-ranked predictors from the frozen Step 7 permutation-importance analysis, together with native model importance and feature-group assignment. The main-text table is restricted to the leading predictors for each phenotype, while the complete feature-ranking outputs are retained for supplementary analysis. Feature importance is interpreted as predictive contribution rather than causal effect.</w:t>
      </w:r>
    </w:p>
    <w:p w14:paraId="40458DCB" w14:textId="77777777" w:rsidR="00752039" w:rsidRPr="00286EDE" w:rsidRDefault="00752039" w:rsidP="00752039">
      <w:pPr>
        <w:jc w:val="both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"/>
        <w:gridCol w:w="476"/>
        <w:gridCol w:w="1344"/>
        <w:gridCol w:w="1471"/>
        <w:gridCol w:w="1164"/>
        <w:gridCol w:w="1060"/>
        <w:gridCol w:w="966"/>
        <w:gridCol w:w="1841"/>
      </w:tblGrid>
      <w:tr w:rsidR="00752039" w:rsidRPr="000F6B40" w14:paraId="68685AE6" w14:textId="77777777" w:rsidTr="00AA5CB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5D8C5F" w14:textId="77777777" w:rsidR="00752039" w:rsidRPr="000F6B40" w:rsidRDefault="00752039" w:rsidP="00AA5CB0">
            <w:pPr>
              <w:rPr>
                <w:b/>
                <w:bCs/>
                <w:sz w:val="18"/>
                <w:szCs w:val="18"/>
              </w:rPr>
            </w:pPr>
            <w:r w:rsidRPr="000F6B40">
              <w:rPr>
                <w:b/>
                <w:bCs/>
                <w:sz w:val="18"/>
                <w:szCs w:val="18"/>
              </w:rPr>
              <w:t>Phenotype</w:t>
            </w:r>
          </w:p>
        </w:tc>
        <w:tc>
          <w:tcPr>
            <w:tcW w:w="0" w:type="auto"/>
            <w:vAlign w:val="center"/>
            <w:hideMark/>
          </w:tcPr>
          <w:p w14:paraId="6ADEFA5E" w14:textId="77777777" w:rsidR="00752039" w:rsidRPr="000F6B40" w:rsidRDefault="00752039" w:rsidP="00AA5CB0">
            <w:pPr>
              <w:rPr>
                <w:b/>
                <w:bCs/>
                <w:sz w:val="18"/>
                <w:szCs w:val="18"/>
              </w:rPr>
            </w:pPr>
            <w:r w:rsidRPr="000F6B40">
              <w:rPr>
                <w:b/>
                <w:bCs/>
                <w:sz w:val="18"/>
                <w:szCs w:val="18"/>
              </w:rPr>
              <w:t>Rank</w:t>
            </w:r>
          </w:p>
        </w:tc>
        <w:tc>
          <w:tcPr>
            <w:tcW w:w="0" w:type="auto"/>
            <w:vAlign w:val="center"/>
            <w:hideMark/>
          </w:tcPr>
          <w:p w14:paraId="0737CA88" w14:textId="77777777" w:rsidR="00752039" w:rsidRPr="000F6B40" w:rsidRDefault="00752039" w:rsidP="00AA5CB0">
            <w:pPr>
              <w:rPr>
                <w:b/>
                <w:bCs/>
                <w:sz w:val="18"/>
                <w:szCs w:val="18"/>
              </w:rPr>
            </w:pPr>
            <w:r w:rsidRPr="000F6B40">
              <w:rPr>
                <w:b/>
                <w:bCs/>
                <w:sz w:val="18"/>
                <w:szCs w:val="18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026189EB" w14:textId="77777777" w:rsidR="00752039" w:rsidRPr="000F6B40" w:rsidRDefault="00752039" w:rsidP="00AA5CB0">
            <w:pPr>
              <w:rPr>
                <w:b/>
                <w:bCs/>
                <w:sz w:val="18"/>
                <w:szCs w:val="18"/>
              </w:rPr>
            </w:pPr>
            <w:r w:rsidRPr="000F6B40">
              <w:rPr>
                <w:b/>
                <w:bCs/>
                <w:sz w:val="18"/>
                <w:szCs w:val="18"/>
              </w:rPr>
              <w:t>Feature category</w:t>
            </w:r>
          </w:p>
        </w:tc>
        <w:tc>
          <w:tcPr>
            <w:tcW w:w="0" w:type="auto"/>
            <w:vAlign w:val="center"/>
            <w:hideMark/>
          </w:tcPr>
          <w:p w14:paraId="72F4ACEC" w14:textId="77777777" w:rsidR="00752039" w:rsidRPr="000F6B40" w:rsidRDefault="00752039" w:rsidP="00AA5CB0">
            <w:pPr>
              <w:rPr>
                <w:b/>
                <w:bCs/>
                <w:sz w:val="18"/>
                <w:szCs w:val="18"/>
              </w:rPr>
            </w:pPr>
            <w:r w:rsidRPr="000F6B40">
              <w:rPr>
                <w:b/>
                <w:bCs/>
                <w:sz w:val="18"/>
                <w:szCs w:val="18"/>
              </w:rPr>
              <w:t>Permutation importance</w:t>
            </w:r>
          </w:p>
        </w:tc>
        <w:tc>
          <w:tcPr>
            <w:tcW w:w="0" w:type="auto"/>
            <w:vAlign w:val="center"/>
            <w:hideMark/>
          </w:tcPr>
          <w:p w14:paraId="2F9ACE8D" w14:textId="77777777" w:rsidR="00752039" w:rsidRPr="000F6B40" w:rsidRDefault="00752039" w:rsidP="00AA5CB0">
            <w:pPr>
              <w:rPr>
                <w:b/>
                <w:bCs/>
                <w:sz w:val="18"/>
                <w:szCs w:val="18"/>
              </w:rPr>
            </w:pPr>
            <w:r w:rsidRPr="000F6B40">
              <w:rPr>
                <w:b/>
                <w:bCs/>
                <w:sz w:val="18"/>
                <w:szCs w:val="18"/>
              </w:rPr>
              <w:t>Native importance</w:t>
            </w:r>
          </w:p>
        </w:tc>
        <w:tc>
          <w:tcPr>
            <w:tcW w:w="0" w:type="auto"/>
            <w:vAlign w:val="center"/>
            <w:hideMark/>
          </w:tcPr>
          <w:p w14:paraId="60F2C885" w14:textId="77777777" w:rsidR="00752039" w:rsidRPr="000F6B40" w:rsidRDefault="00752039" w:rsidP="00AA5CB0">
            <w:pPr>
              <w:rPr>
                <w:b/>
                <w:bCs/>
                <w:sz w:val="18"/>
                <w:szCs w:val="18"/>
              </w:rPr>
            </w:pPr>
            <w:r w:rsidRPr="000F6B40">
              <w:rPr>
                <w:b/>
                <w:bCs/>
                <w:sz w:val="18"/>
                <w:szCs w:val="18"/>
              </w:rPr>
              <w:t>Stability</w:t>
            </w:r>
          </w:p>
        </w:tc>
        <w:tc>
          <w:tcPr>
            <w:tcW w:w="0" w:type="auto"/>
            <w:vAlign w:val="center"/>
            <w:hideMark/>
          </w:tcPr>
          <w:p w14:paraId="5D03733A" w14:textId="77777777" w:rsidR="00752039" w:rsidRPr="000F6B40" w:rsidRDefault="00752039" w:rsidP="00AA5CB0">
            <w:pPr>
              <w:rPr>
                <w:b/>
                <w:bCs/>
                <w:sz w:val="18"/>
                <w:szCs w:val="18"/>
              </w:rPr>
            </w:pPr>
            <w:r w:rsidRPr="000F6B40">
              <w:rPr>
                <w:b/>
                <w:bCs/>
                <w:sz w:val="18"/>
                <w:szCs w:val="18"/>
              </w:rPr>
              <w:t>Biological interpretation</w:t>
            </w:r>
          </w:p>
        </w:tc>
      </w:tr>
      <w:tr w:rsidR="00752039" w:rsidRPr="000F6B40" w14:paraId="441424E6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419C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MEM 0.031 </w:t>
            </w:r>
            <w:proofErr w:type="spellStart"/>
            <w:r w:rsidRPr="000F6B40">
              <w:rPr>
                <w:sz w:val="18"/>
                <w:szCs w:val="18"/>
              </w:rPr>
              <w:t>μg</w:t>
            </w:r>
            <w:proofErr w:type="spellEnd"/>
            <w:r w:rsidRPr="000F6B40">
              <w:rPr>
                <w:sz w:val="18"/>
                <w:szCs w:val="18"/>
              </w:rPr>
              <w:t>/mL, 37°C</w:t>
            </w:r>
          </w:p>
        </w:tc>
        <w:tc>
          <w:tcPr>
            <w:tcW w:w="0" w:type="auto"/>
            <w:vAlign w:val="center"/>
            <w:hideMark/>
          </w:tcPr>
          <w:p w14:paraId="2F0E84B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B05757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SASA</w:t>
            </w:r>
          </w:p>
        </w:tc>
        <w:tc>
          <w:tcPr>
            <w:tcW w:w="0" w:type="auto"/>
            <w:vAlign w:val="center"/>
            <w:hideMark/>
          </w:tcPr>
          <w:p w14:paraId="7B78E13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 exposure</w:t>
            </w:r>
          </w:p>
        </w:tc>
        <w:tc>
          <w:tcPr>
            <w:tcW w:w="0" w:type="auto"/>
            <w:vAlign w:val="center"/>
            <w:hideMark/>
          </w:tcPr>
          <w:p w14:paraId="6764427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0.269</w:t>
            </w:r>
          </w:p>
        </w:tc>
        <w:tc>
          <w:tcPr>
            <w:tcW w:w="0" w:type="auto"/>
            <w:vAlign w:val="center"/>
            <w:hideMark/>
          </w:tcPr>
          <w:p w14:paraId="0C576AB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0.247</w:t>
            </w:r>
          </w:p>
        </w:tc>
        <w:tc>
          <w:tcPr>
            <w:tcW w:w="0" w:type="auto"/>
            <w:vAlign w:val="center"/>
            <w:hideMark/>
          </w:tcPr>
          <w:p w14:paraId="10A49B09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15DC6B7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Solvent-accessible surface area describing the local structural exposure of the mutated residue.</w:t>
            </w:r>
          </w:p>
        </w:tc>
      </w:tr>
      <w:tr w:rsidR="00752039" w:rsidRPr="000F6B40" w14:paraId="29A23C78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875E1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22F08E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75BA1F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BLOSUM62</w:t>
            </w:r>
          </w:p>
        </w:tc>
        <w:tc>
          <w:tcPr>
            <w:tcW w:w="0" w:type="auto"/>
            <w:vAlign w:val="center"/>
            <w:hideMark/>
          </w:tcPr>
          <w:p w14:paraId="2C720B2F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Evolutionary constraint</w:t>
            </w:r>
          </w:p>
        </w:tc>
        <w:tc>
          <w:tcPr>
            <w:tcW w:w="0" w:type="auto"/>
            <w:vAlign w:val="center"/>
            <w:hideMark/>
          </w:tcPr>
          <w:p w14:paraId="2E23CE5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0.066</w:t>
            </w:r>
          </w:p>
        </w:tc>
        <w:tc>
          <w:tcPr>
            <w:tcW w:w="0" w:type="auto"/>
            <w:vAlign w:val="center"/>
            <w:hideMark/>
          </w:tcPr>
          <w:p w14:paraId="2EAF7EE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  <w:hideMark/>
          </w:tcPr>
          <w:p w14:paraId="1DA52118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62F344C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Evolutionary substitution </w:t>
            </w:r>
            <w:proofErr w:type="gramStart"/>
            <w:r w:rsidRPr="000F6B40">
              <w:rPr>
                <w:sz w:val="18"/>
                <w:szCs w:val="18"/>
              </w:rPr>
              <w:t>score</w:t>
            </w:r>
            <w:proofErr w:type="gramEnd"/>
            <w:r w:rsidRPr="000F6B40">
              <w:rPr>
                <w:sz w:val="18"/>
                <w:szCs w:val="18"/>
              </w:rPr>
              <w:t xml:space="preserve"> capturing the plausibility of the specific amino-acid replacement.</w:t>
            </w:r>
          </w:p>
        </w:tc>
      </w:tr>
      <w:tr w:rsidR="00752039" w:rsidRPr="000F6B40" w14:paraId="0F33BB48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68795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FBC3D9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3948BC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Distance to metal site</w:t>
            </w:r>
          </w:p>
        </w:tc>
        <w:tc>
          <w:tcPr>
            <w:tcW w:w="0" w:type="auto"/>
            <w:vAlign w:val="center"/>
            <w:hideMark/>
          </w:tcPr>
          <w:p w14:paraId="64C204D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Catalytic structural context</w:t>
            </w:r>
          </w:p>
        </w:tc>
        <w:tc>
          <w:tcPr>
            <w:tcW w:w="0" w:type="auto"/>
            <w:vAlign w:val="center"/>
            <w:hideMark/>
          </w:tcPr>
          <w:p w14:paraId="023F850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  <w:hideMark/>
          </w:tcPr>
          <w:p w14:paraId="59DEC20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0.083</w:t>
            </w:r>
          </w:p>
        </w:tc>
        <w:tc>
          <w:tcPr>
            <w:tcW w:w="0" w:type="auto"/>
            <w:vAlign w:val="center"/>
            <w:hideMark/>
          </w:tcPr>
          <w:p w14:paraId="51C706C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5B5CB90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Spatial proximity of the mutation to the metalloenzyme metal center.</w:t>
            </w:r>
          </w:p>
        </w:tc>
      </w:tr>
      <w:tr w:rsidR="00752039" w:rsidRPr="000F6B40" w14:paraId="538EABE4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47C4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CTX 0.5 </w:t>
            </w:r>
            <w:proofErr w:type="spellStart"/>
            <w:r w:rsidRPr="000F6B40">
              <w:rPr>
                <w:sz w:val="18"/>
                <w:szCs w:val="18"/>
              </w:rPr>
              <w:t>μg</w:t>
            </w:r>
            <w:proofErr w:type="spellEnd"/>
            <w:r w:rsidRPr="000F6B40">
              <w:rPr>
                <w:sz w:val="18"/>
                <w:szCs w:val="18"/>
              </w:rPr>
              <w:t>/mL, 37°C</w:t>
            </w:r>
          </w:p>
        </w:tc>
        <w:tc>
          <w:tcPr>
            <w:tcW w:w="0" w:type="auto"/>
            <w:vAlign w:val="center"/>
            <w:hideMark/>
          </w:tcPr>
          <w:p w14:paraId="1741197F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7BE538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SASA</w:t>
            </w:r>
          </w:p>
        </w:tc>
        <w:tc>
          <w:tcPr>
            <w:tcW w:w="0" w:type="auto"/>
            <w:vAlign w:val="center"/>
            <w:hideMark/>
          </w:tcPr>
          <w:p w14:paraId="2715652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 exposure</w:t>
            </w:r>
          </w:p>
        </w:tc>
        <w:tc>
          <w:tcPr>
            <w:tcW w:w="0" w:type="auto"/>
            <w:vAlign w:val="center"/>
            <w:hideMark/>
          </w:tcPr>
          <w:p w14:paraId="7AD6011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0.221</w:t>
            </w:r>
          </w:p>
        </w:tc>
        <w:tc>
          <w:tcPr>
            <w:tcW w:w="0" w:type="auto"/>
            <w:vAlign w:val="center"/>
            <w:hideMark/>
          </w:tcPr>
          <w:p w14:paraId="7EF41E6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0.196</w:t>
            </w:r>
          </w:p>
        </w:tc>
        <w:tc>
          <w:tcPr>
            <w:tcW w:w="0" w:type="auto"/>
            <w:vAlign w:val="center"/>
            <w:hideMark/>
          </w:tcPr>
          <w:p w14:paraId="7640246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15C2219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Solvent-accessible surface area describing the local structural exposure of the mutated residue.</w:t>
            </w:r>
          </w:p>
        </w:tc>
      </w:tr>
      <w:tr w:rsidR="00752039" w:rsidRPr="000F6B40" w14:paraId="2B8B17B9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5191B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880DB0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25F7A8E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BLOSUM62</w:t>
            </w:r>
          </w:p>
        </w:tc>
        <w:tc>
          <w:tcPr>
            <w:tcW w:w="0" w:type="auto"/>
            <w:vAlign w:val="center"/>
            <w:hideMark/>
          </w:tcPr>
          <w:p w14:paraId="23ED595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Evolutionary constraint</w:t>
            </w:r>
          </w:p>
        </w:tc>
        <w:tc>
          <w:tcPr>
            <w:tcW w:w="0" w:type="auto"/>
            <w:vAlign w:val="center"/>
            <w:hideMark/>
          </w:tcPr>
          <w:p w14:paraId="63899B4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0.070</w:t>
            </w:r>
          </w:p>
        </w:tc>
        <w:tc>
          <w:tcPr>
            <w:tcW w:w="0" w:type="auto"/>
            <w:vAlign w:val="center"/>
            <w:hideMark/>
          </w:tcPr>
          <w:p w14:paraId="3116CB8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  <w:hideMark/>
          </w:tcPr>
          <w:p w14:paraId="528A167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168C9DB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Evolutionary substitution </w:t>
            </w:r>
            <w:proofErr w:type="gramStart"/>
            <w:r w:rsidRPr="000F6B40">
              <w:rPr>
                <w:sz w:val="18"/>
                <w:szCs w:val="18"/>
              </w:rPr>
              <w:t>score</w:t>
            </w:r>
            <w:proofErr w:type="gramEnd"/>
            <w:r w:rsidRPr="000F6B40">
              <w:rPr>
                <w:sz w:val="18"/>
                <w:szCs w:val="18"/>
              </w:rPr>
              <w:t xml:space="preserve"> capturing the plausibility of the specific amino-acid replacement.</w:t>
            </w:r>
          </w:p>
        </w:tc>
      </w:tr>
      <w:tr w:rsidR="00752039" w:rsidRPr="000F6B40" w14:paraId="6135D6B3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9EE6C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07DC736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F4361C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Distance to metal site</w:t>
            </w:r>
          </w:p>
        </w:tc>
        <w:tc>
          <w:tcPr>
            <w:tcW w:w="0" w:type="auto"/>
            <w:vAlign w:val="center"/>
            <w:hideMark/>
          </w:tcPr>
          <w:p w14:paraId="4709D2D9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Catalytic structural context</w:t>
            </w:r>
          </w:p>
        </w:tc>
        <w:tc>
          <w:tcPr>
            <w:tcW w:w="0" w:type="auto"/>
            <w:vAlign w:val="center"/>
            <w:hideMark/>
          </w:tcPr>
          <w:p w14:paraId="5EEAAF5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0.053</w:t>
            </w:r>
          </w:p>
        </w:tc>
        <w:tc>
          <w:tcPr>
            <w:tcW w:w="0" w:type="auto"/>
            <w:vAlign w:val="center"/>
            <w:hideMark/>
          </w:tcPr>
          <w:p w14:paraId="6C5574A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0.097</w:t>
            </w:r>
          </w:p>
        </w:tc>
        <w:tc>
          <w:tcPr>
            <w:tcW w:w="0" w:type="auto"/>
            <w:vAlign w:val="center"/>
            <w:hideMark/>
          </w:tcPr>
          <w:p w14:paraId="2568C831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Consistent support</w:t>
            </w:r>
          </w:p>
        </w:tc>
        <w:tc>
          <w:tcPr>
            <w:tcW w:w="0" w:type="auto"/>
            <w:vAlign w:val="center"/>
            <w:hideMark/>
          </w:tcPr>
          <w:p w14:paraId="3FD4C928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Spatial proximity of the mutation to the metalloenzyme metal center.</w:t>
            </w:r>
          </w:p>
        </w:tc>
      </w:tr>
      <w:tr w:rsidR="00752039" w:rsidRPr="000F6B40" w14:paraId="5AC6BDC0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A82B1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AMP 128 </w:t>
            </w:r>
            <w:proofErr w:type="spellStart"/>
            <w:r w:rsidRPr="000F6B40">
              <w:rPr>
                <w:sz w:val="18"/>
                <w:szCs w:val="18"/>
              </w:rPr>
              <w:t>μg</w:t>
            </w:r>
            <w:proofErr w:type="spellEnd"/>
            <w:r w:rsidRPr="000F6B40">
              <w:rPr>
                <w:sz w:val="18"/>
                <w:szCs w:val="18"/>
              </w:rPr>
              <w:t>/mL, 25°C</w:t>
            </w:r>
          </w:p>
        </w:tc>
        <w:tc>
          <w:tcPr>
            <w:tcW w:w="0" w:type="auto"/>
            <w:vAlign w:val="center"/>
            <w:hideMark/>
          </w:tcPr>
          <w:p w14:paraId="1BF4AF3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F1E46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SASA</w:t>
            </w:r>
          </w:p>
        </w:tc>
        <w:tc>
          <w:tcPr>
            <w:tcW w:w="0" w:type="auto"/>
            <w:vAlign w:val="center"/>
            <w:hideMark/>
          </w:tcPr>
          <w:p w14:paraId="1ED4626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 exposure</w:t>
            </w:r>
          </w:p>
        </w:tc>
        <w:tc>
          <w:tcPr>
            <w:tcW w:w="0" w:type="auto"/>
            <w:vAlign w:val="center"/>
            <w:hideMark/>
          </w:tcPr>
          <w:p w14:paraId="54D06748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0.235</w:t>
            </w:r>
          </w:p>
        </w:tc>
        <w:tc>
          <w:tcPr>
            <w:tcW w:w="0" w:type="auto"/>
            <w:vAlign w:val="center"/>
            <w:hideMark/>
          </w:tcPr>
          <w:p w14:paraId="5A1708C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0.218</w:t>
            </w:r>
          </w:p>
        </w:tc>
        <w:tc>
          <w:tcPr>
            <w:tcW w:w="0" w:type="auto"/>
            <w:vAlign w:val="center"/>
            <w:hideMark/>
          </w:tcPr>
          <w:p w14:paraId="40B8890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026E412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Solvent-accessible surface area </w:t>
            </w:r>
            <w:r w:rsidRPr="000F6B40">
              <w:rPr>
                <w:sz w:val="18"/>
                <w:szCs w:val="18"/>
              </w:rPr>
              <w:lastRenderedPageBreak/>
              <w:t>describing the local structural exposure of the mutated residue.</w:t>
            </w:r>
          </w:p>
        </w:tc>
      </w:tr>
      <w:tr w:rsidR="00752039" w:rsidRPr="000F6B40" w14:paraId="633CFEB3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6A5243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AE280D9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75DAA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BLOSUM62</w:t>
            </w:r>
          </w:p>
        </w:tc>
        <w:tc>
          <w:tcPr>
            <w:tcW w:w="0" w:type="auto"/>
            <w:vAlign w:val="center"/>
            <w:hideMark/>
          </w:tcPr>
          <w:p w14:paraId="1A51052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Evolutionary constraint</w:t>
            </w:r>
          </w:p>
        </w:tc>
        <w:tc>
          <w:tcPr>
            <w:tcW w:w="0" w:type="auto"/>
            <w:vAlign w:val="center"/>
            <w:hideMark/>
          </w:tcPr>
          <w:p w14:paraId="313F07D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0.055</w:t>
            </w:r>
          </w:p>
        </w:tc>
        <w:tc>
          <w:tcPr>
            <w:tcW w:w="0" w:type="auto"/>
            <w:vAlign w:val="center"/>
            <w:hideMark/>
          </w:tcPr>
          <w:p w14:paraId="5A1C0A0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0.048</w:t>
            </w:r>
          </w:p>
        </w:tc>
        <w:tc>
          <w:tcPr>
            <w:tcW w:w="0" w:type="auto"/>
            <w:vAlign w:val="center"/>
            <w:hideMark/>
          </w:tcPr>
          <w:p w14:paraId="00B8DF3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4F574D4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Evolutionary substitution </w:t>
            </w:r>
            <w:proofErr w:type="gramStart"/>
            <w:r w:rsidRPr="000F6B40">
              <w:rPr>
                <w:sz w:val="18"/>
                <w:szCs w:val="18"/>
              </w:rPr>
              <w:t>score</w:t>
            </w:r>
            <w:proofErr w:type="gramEnd"/>
            <w:r w:rsidRPr="000F6B40">
              <w:rPr>
                <w:sz w:val="18"/>
                <w:szCs w:val="18"/>
              </w:rPr>
              <w:t xml:space="preserve"> capturing the plausibility of the specific amino-acid replacement.</w:t>
            </w:r>
          </w:p>
        </w:tc>
      </w:tr>
      <w:tr w:rsidR="00752039" w:rsidRPr="000F6B40" w14:paraId="78CF1C1E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41722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5F841B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FFE564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Distance to metal site</w:t>
            </w:r>
          </w:p>
        </w:tc>
        <w:tc>
          <w:tcPr>
            <w:tcW w:w="0" w:type="auto"/>
            <w:vAlign w:val="center"/>
            <w:hideMark/>
          </w:tcPr>
          <w:p w14:paraId="4B400C1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Catalytic structural context</w:t>
            </w:r>
          </w:p>
        </w:tc>
        <w:tc>
          <w:tcPr>
            <w:tcW w:w="0" w:type="auto"/>
            <w:vAlign w:val="center"/>
            <w:hideMark/>
          </w:tcPr>
          <w:p w14:paraId="731C1688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  <w:hideMark/>
          </w:tcPr>
          <w:p w14:paraId="1799534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0.087</w:t>
            </w:r>
          </w:p>
        </w:tc>
        <w:tc>
          <w:tcPr>
            <w:tcW w:w="0" w:type="auto"/>
            <w:vAlign w:val="center"/>
            <w:hideMark/>
          </w:tcPr>
          <w:p w14:paraId="701B6AD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66DE4A2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Spatial proximity of the mutation to the metalloenzyme metal center.</w:t>
            </w:r>
          </w:p>
        </w:tc>
      </w:tr>
      <w:tr w:rsidR="00752039" w:rsidRPr="000F6B40" w14:paraId="33522AD8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6B15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AMP 128 </w:t>
            </w:r>
            <w:proofErr w:type="spellStart"/>
            <w:r w:rsidRPr="000F6B40">
              <w:rPr>
                <w:sz w:val="18"/>
                <w:szCs w:val="18"/>
              </w:rPr>
              <w:t>μg</w:t>
            </w:r>
            <w:proofErr w:type="spellEnd"/>
            <w:r w:rsidRPr="000F6B40">
              <w:rPr>
                <w:sz w:val="18"/>
                <w:szCs w:val="18"/>
              </w:rPr>
              <w:t>/mL, 37°C</w:t>
            </w:r>
          </w:p>
        </w:tc>
        <w:tc>
          <w:tcPr>
            <w:tcW w:w="0" w:type="auto"/>
            <w:vAlign w:val="center"/>
            <w:hideMark/>
          </w:tcPr>
          <w:p w14:paraId="307D6B89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932AF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SASA</w:t>
            </w:r>
          </w:p>
        </w:tc>
        <w:tc>
          <w:tcPr>
            <w:tcW w:w="0" w:type="auto"/>
            <w:vAlign w:val="center"/>
            <w:hideMark/>
          </w:tcPr>
          <w:p w14:paraId="66E3B7B8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 exposure</w:t>
            </w:r>
          </w:p>
        </w:tc>
        <w:tc>
          <w:tcPr>
            <w:tcW w:w="0" w:type="auto"/>
            <w:vAlign w:val="center"/>
            <w:hideMark/>
          </w:tcPr>
          <w:p w14:paraId="490BE8F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0.280</w:t>
            </w:r>
          </w:p>
        </w:tc>
        <w:tc>
          <w:tcPr>
            <w:tcW w:w="0" w:type="auto"/>
            <w:vAlign w:val="center"/>
            <w:hideMark/>
          </w:tcPr>
          <w:p w14:paraId="68F4D40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0.247</w:t>
            </w:r>
          </w:p>
        </w:tc>
        <w:tc>
          <w:tcPr>
            <w:tcW w:w="0" w:type="auto"/>
            <w:vAlign w:val="center"/>
            <w:hideMark/>
          </w:tcPr>
          <w:p w14:paraId="1377B06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71B7CD7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Solvent-accessible surface area describing the local structural exposure of the mutated residue.</w:t>
            </w:r>
          </w:p>
        </w:tc>
      </w:tr>
      <w:tr w:rsidR="00752039" w:rsidRPr="000F6B40" w14:paraId="3AA0E645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2676C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8869AF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F3AB9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BLOSUM62</w:t>
            </w:r>
          </w:p>
        </w:tc>
        <w:tc>
          <w:tcPr>
            <w:tcW w:w="0" w:type="auto"/>
            <w:vAlign w:val="center"/>
            <w:hideMark/>
          </w:tcPr>
          <w:p w14:paraId="450B23D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Evolutionary constraint</w:t>
            </w:r>
          </w:p>
        </w:tc>
        <w:tc>
          <w:tcPr>
            <w:tcW w:w="0" w:type="auto"/>
            <w:vAlign w:val="center"/>
            <w:hideMark/>
          </w:tcPr>
          <w:p w14:paraId="576BA4D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0.078</w:t>
            </w:r>
          </w:p>
        </w:tc>
        <w:tc>
          <w:tcPr>
            <w:tcW w:w="0" w:type="auto"/>
            <w:vAlign w:val="center"/>
            <w:hideMark/>
          </w:tcPr>
          <w:p w14:paraId="57A0620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0.060</w:t>
            </w:r>
          </w:p>
        </w:tc>
        <w:tc>
          <w:tcPr>
            <w:tcW w:w="0" w:type="auto"/>
            <w:vAlign w:val="center"/>
            <w:hideMark/>
          </w:tcPr>
          <w:p w14:paraId="3EDD01F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3FA1BB7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Evolutionary substitution </w:t>
            </w:r>
            <w:proofErr w:type="gramStart"/>
            <w:r w:rsidRPr="000F6B40">
              <w:rPr>
                <w:sz w:val="18"/>
                <w:szCs w:val="18"/>
              </w:rPr>
              <w:t>score</w:t>
            </w:r>
            <w:proofErr w:type="gramEnd"/>
            <w:r w:rsidRPr="000F6B40">
              <w:rPr>
                <w:sz w:val="18"/>
                <w:szCs w:val="18"/>
              </w:rPr>
              <w:t xml:space="preserve"> capturing the plausibility of the specific amino-acid replacement.</w:t>
            </w:r>
          </w:p>
        </w:tc>
      </w:tr>
      <w:tr w:rsidR="00752039" w:rsidRPr="000F6B40" w14:paraId="0957397D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AEC772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1264D3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6CE091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Distance to metal site</w:t>
            </w:r>
          </w:p>
        </w:tc>
        <w:tc>
          <w:tcPr>
            <w:tcW w:w="0" w:type="auto"/>
            <w:vAlign w:val="center"/>
            <w:hideMark/>
          </w:tcPr>
          <w:p w14:paraId="7CEFED3E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Catalytic structural context</w:t>
            </w:r>
          </w:p>
        </w:tc>
        <w:tc>
          <w:tcPr>
            <w:tcW w:w="0" w:type="auto"/>
            <w:vAlign w:val="center"/>
            <w:hideMark/>
          </w:tcPr>
          <w:p w14:paraId="1B6D6A2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0.048</w:t>
            </w:r>
          </w:p>
        </w:tc>
        <w:tc>
          <w:tcPr>
            <w:tcW w:w="0" w:type="auto"/>
            <w:vAlign w:val="center"/>
            <w:hideMark/>
          </w:tcPr>
          <w:p w14:paraId="4F8EDD3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0.087</w:t>
            </w:r>
          </w:p>
        </w:tc>
        <w:tc>
          <w:tcPr>
            <w:tcW w:w="0" w:type="auto"/>
            <w:vAlign w:val="center"/>
            <w:hideMark/>
          </w:tcPr>
          <w:p w14:paraId="36C89E6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4970D99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Spatial proximity of the mutation to the metalloenzyme metal center.</w:t>
            </w:r>
          </w:p>
        </w:tc>
      </w:tr>
      <w:tr w:rsidR="00752039" w:rsidRPr="000F6B40" w14:paraId="6AC71D42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5318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AMP 16 </w:t>
            </w:r>
            <w:proofErr w:type="spellStart"/>
            <w:r w:rsidRPr="000F6B40">
              <w:rPr>
                <w:sz w:val="18"/>
                <w:szCs w:val="18"/>
              </w:rPr>
              <w:t>μg</w:t>
            </w:r>
            <w:proofErr w:type="spellEnd"/>
            <w:r w:rsidRPr="000F6B40">
              <w:rPr>
                <w:sz w:val="18"/>
                <w:szCs w:val="18"/>
              </w:rPr>
              <w:t>/mL, 25°C</w:t>
            </w:r>
          </w:p>
        </w:tc>
        <w:tc>
          <w:tcPr>
            <w:tcW w:w="0" w:type="auto"/>
            <w:vAlign w:val="center"/>
            <w:hideMark/>
          </w:tcPr>
          <w:p w14:paraId="6389B599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08993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SASA</w:t>
            </w:r>
          </w:p>
        </w:tc>
        <w:tc>
          <w:tcPr>
            <w:tcW w:w="0" w:type="auto"/>
            <w:vAlign w:val="center"/>
            <w:hideMark/>
          </w:tcPr>
          <w:p w14:paraId="25EA4BF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 exposure</w:t>
            </w:r>
          </w:p>
        </w:tc>
        <w:tc>
          <w:tcPr>
            <w:tcW w:w="0" w:type="auto"/>
            <w:vAlign w:val="center"/>
            <w:hideMark/>
          </w:tcPr>
          <w:p w14:paraId="28700D2E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0.189</w:t>
            </w:r>
          </w:p>
        </w:tc>
        <w:tc>
          <w:tcPr>
            <w:tcW w:w="0" w:type="auto"/>
            <w:vAlign w:val="center"/>
            <w:hideMark/>
          </w:tcPr>
          <w:p w14:paraId="6DB6732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0.168</w:t>
            </w:r>
          </w:p>
        </w:tc>
        <w:tc>
          <w:tcPr>
            <w:tcW w:w="0" w:type="auto"/>
            <w:vAlign w:val="center"/>
            <w:hideMark/>
          </w:tcPr>
          <w:p w14:paraId="0B6B958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39541C1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Solvent-accessible surface area describing the local structural exposure of the mutated residue.</w:t>
            </w:r>
          </w:p>
        </w:tc>
      </w:tr>
      <w:tr w:rsidR="00752039" w:rsidRPr="000F6B40" w14:paraId="77F40DB2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A6AEE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1A5135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4E3B33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Distance to metal site</w:t>
            </w:r>
          </w:p>
        </w:tc>
        <w:tc>
          <w:tcPr>
            <w:tcW w:w="0" w:type="auto"/>
            <w:vAlign w:val="center"/>
            <w:hideMark/>
          </w:tcPr>
          <w:p w14:paraId="6E5F312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Catalytic structural context</w:t>
            </w:r>
          </w:p>
        </w:tc>
        <w:tc>
          <w:tcPr>
            <w:tcW w:w="0" w:type="auto"/>
            <w:vAlign w:val="center"/>
            <w:hideMark/>
          </w:tcPr>
          <w:p w14:paraId="54EE704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0.068</w:t>
            </w:r>
          </w:p>
        </w:tc>
        <w:tc>
          <w:tcPr>
            <w:tcW w:w="0" w:type="auto"/>
            <w:vAlign w:val="center"/>
            <w:hideMark/>
          </w:tcPr>
          <w:p w14:paraId="5A56210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0.116</w:t>
            </w:r>
          </w:p>
        </w:tc>
        <w:tc>
          <w:tcPr>
            <w:tcW w:w="0" w:type="auto"/>
            <w:vAlign w:val="center"/>
            <w:hideMark/>
          </w:tcPr>
          <w:p w14:paraId="353E874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Consistent support</w:t>
            </w:r>
          </w:p>
        </w:tc>
        <w:tc>
          <w:tcPr>
            <w:tcW w:w="0" w:type="auto"/>
            <w:vAlign w:val="center"/>
            <w:hideMark/>
          </w:tcPr>
          <w:p w14:paraId="3AD77D7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Spatial proximity of the mutation to the metalloenzyme metal center.</w:t>
            </w:r>
          </w:p>
        </w:tc>
      </w:tr>
      <w:tr w:rsidR="00752039" w:rsidRPr="000F6B40" w14:paraId="3435E402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E67F6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BA743C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DFE2FE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BLOSUM62</w:t>
            </w:r>
          </w:p>
        </w:tc>
        <w:tc>
          <w:tcPr>
            <w:tcW w:w="0" w:type="auto"/>
            <w:vAlign w:val="center"/>
            <w:hideMark/>
          </w:tcPr>
          <w:p w14:paraId="4A13D8A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Evolutionary constraint</w:t>
            </w:r>
          </w:p>
        </w:tc>
        <w:tc>
          <w:tcPr>
            <w:tcW w:w="0" w:type="auto"/>
            <w:vAlign w:val="center"/>
            <w:hideMark/>
          </w:tcPr>
          <w:p w14:paraId="766B693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0.050</w:t>
            </w:r>
          </w:p>
        </w:tc>
        <w:tc>
          <w:tcPr>
            <w:tcW w:w="0" w:type="auto"/>
            <w:vAlign w:val="center"/>
            <w:hideMark/>
          </w:tcPr>
          <w:p w14:paraId="11B0481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  <w:hideMark/>
          </w:tcPr>
          <w:p w14:paraId="32C942A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6E0E4339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Evolutionary substitution </w:t>
            </w:r>
            <w:proofErr w:type="gramStart"/>
            <w:r w:rsidRPr="000F6B40">
              <w:rPr>
                <w:sz w:val="18"/>
                <w:szCs w:val="18"/>
              </w:rPr>
              <w:t>score</w:t>
            </w:r>
            <w:proofErr w:type="gramEnd"/>
            <w:r w:rsidRPr="000F6B40">
              <w:rPr>
                <w:sz w:val="18"/>
                <w:szCs w:val="18"/>
              </w:rPr>
              <w:t xml:space="preserve"> capturing the </w:t>
            </w:r>
            <w:r w:rsidRPr="000F6B40">
              <w:rPr>
                <w:sz w:val="18"/>
                <w:szCs w:val="18"/>
              </w:rPr>
              <w:lastRenderedPageBreak/>
              <w:t>plausibility of the specific amino-acid replacement.</w:t>
            </w:r>
          </w:p>
        </w:tc>
      </w:tr>
      <w:tr w:rsidR="00752039" w:rsidRPr="000F6B40" w14:paraId="10471257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8F5C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lastRenderedPageBreak/>
              <w:t xml:space="preserve">AMP 16 </w:t>
            </w:r>
            <w:proofErr w:type="spellStart"/>
            <w:r w:rsidRPr="000F6B40">
              <w:rPr>
                <w:sz w:val="18"/>
                <w:szCs w:val="18"/>
              </w:rPr>
              <w:t>μg</w:t>
            </w:r>
            <w:proofErr w:type="spellEnd"/>
            <w:r w:rsidRPr="000F6B40">
              <w:rPr>
                <w:sz w:val="18"/>
                <w:szCs w:val="18"/>
              </w:rPr>
              <w:t>/mL, 37°C</w:t>
            </w:r>
          </w:p>
        </w:tc>
        <w:tc>
          <w:tcPr>
            <w:tcW w:w="0" w:type="auto"/>
            <w:vAlign w:val="center"/>
            <w:hideMark/>
          </w:tcPr>
          <w:p w14:paraId="457966A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62DCB8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SASA</w:t>
            </w:r>
          </w:p>
        </w:tc>
        <w:tc>
          <w:tcPr>
            <w:tcW w:w="0" w:type="auto"/>
            <w:vAlign w:val="center"/>
            <w:hideMark/>
          </w:tcPr>
          <w:p w14:paraId="34BA5B7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 exposure</w:t>
            </w:r>
          </w:p>
        </w:tc>
        <w:tc>
          <w:tcPr>
            <w:tcW w:w="0" w:type="auto"/>
            <w:vAlign w:val="center"/>
            <w:hideMark/>
          </w:tcPr>
          <w:p w14:paraId="6C535E7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0.231</w:t>
            </w:r>
          </w:p>
        </w:tc>
        <w:tc>
          <w:tcPr>
            <w:tcW w:w="0" w:type="auto"/>
            <w:vAlign w:val="center"/>
            <w:hideMark/>
          </w:tcPr>
          <w:p w14:paraId="555BAF3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0.198</w:t>
            </w:r>
          </w:p>
        </w:tc>
        <w:tc>
          <w:tcPr>
            <w:tcW w:w="0" w:type="auto"/>
            <w:vAlign w:val="center"/>
            <w:hideMark/>
          </w:tcPr>
          <w:p w14:paraId="395E46A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70C9FEF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Solvent-accessible surface area describing the local structural exposure of the mutated residue.</w:t>
            </w:r>
          </w:p>
        </w:tc>
      </w:tr>
      <w:tr w:rsidR="00752039" w:rsidRPr="000F6B40" w14:paraId="3E08D653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74789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3A0018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C6758B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BLOSUM62</w:t>
            </w:r>
          </w:p>
        </w:tc>
        <w:tc>
          <w:tcPr>
            <w:tcW w:w="0" w:type="auto"/>
            <w:vAlign w:val="center"/>
            <w:hideMark/>
          </w:tcPr>
          <w:p w14:paraId="03C2E84E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Evolutionary constraint</w:t>
            </w:r>
          </w:p>
        </w:tc>
        <w:tc>
          <w:tcPr>
            <w:tcW w:w="0" w:type="auto"/>
            <w:vAlign w:val="center"/>
            <w:hideMark/>
          </w:tcPr>
          <w:p w14:paraId="6756B5E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0.064</w:t>
            </w:r>
          </w:p>
        </w:tc>
        <w:tc>
          <w:tcPr>
            <w:tcW w:w="0" w:type="auto"/>
            <w:vAlign w:val="center"/>
            <w:hideMark/>
          </w:tcPr>
          <w:p w14:paraId="048E2AC8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0.056</w:t>
            </w:r>
          </w:p>
        </w:tc>
        <w:tc>
          <w:tcPr>
            <w:tcW w:w="0" w:type="auto"/>
            <w:vAlign w:val="center"/>
            <w:hideMark/>
          </w:tcPr>
          <w:p w14:paraId="5D0BDA6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2AC7620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Evolutionary substitution </w:t>
            </w:r>
            <w:proofErr w:type="gramStart"/>
            <w:r w:rsidRPr="000F6B40">
              <w:rPr>
                <w:sz w:val="18"/>
                <w:szCs w:val="18"/>
              </w:rPr>
              <w:t>score</w:t>
            </w:r>
            <w:proofErr w:type="gramEnd"/>
            <w:r w:rsidRPr="000F6B40">
              <w:rPr>
                <w:sz w:val="18"/>
                <w:szCs w:val="18"/>
              </w:rPr>
              <w:t xml:space="preserve"> capturing the plausibility of the specific amino-acid replacement.</w:t>
            </w:r>
          </w:p>
        </w:tc>
      </w:tr>
      <w:tr w:rsidR="00752039" w:rsidRPr="000F6B40" w14:paraId="4E0259D3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30CEF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9E4246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055A61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Distance to metal site</w:t>
            </w:r>
          </w:p>
        </w:tc>
        <w:tc>
          <w:tcPr>
            <w:tcW w:w="0" w:type="auto"/>
            <w:vAlign w:val="center"/>
            <w:hideMark/>
          </w:tcPr>
          <w:p w14:paraId="50D180F1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Catalytic structural context</w:t>
            </w:r>
          </w:p>
        </w:tc>
        <w:tc>
          <w:tcPr>
            <w:tcW w:w="0" w:type="auto"/>
            <w:vAlign w:val="center"/>
            <w:hideMark/>
          </w:tcPr>
          <w:p w14:paraId="104C8D6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0.048</w:t>
            </w:r>
          </w:p>
        </w:tc>
        <w:tc>
          <w:tcPr>
            <w:tcW w:w="0" w:type="auto"/>
            <w:vAlign w:val="center"/>
            <w:hideMark/>
          </w:tcPr>
          <w:p w14:paraId="63DA22F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0.095</w:t>
            </w:r>
          </w:p>
        </w:tc>
        <w:tc>
          <w:tcPr>
            <w:tcW w:w="0" w:type="auto"/>
            <w:vAlign w:val="center"/>
            <w:hideMark/>
          </w:tcPr>
          <w:p w14:paraId="427CBA3F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4601CC2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Spatial proximity of the mutation to the metalloenzyme metal center.</w:t>
            </w:r>
          </w:p>
        </w:tc>
      </w:tr>
      <w:tr w:rsidR="00752039" w:rsidRPr="000F6B40" w14:paraId="15D41096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CC31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AMP 2 </w:t>
            </w:r>
            <w:proofErr w:type="spellStart"/>
            <w:r w:rsidRPr="000F6B40">
              <w:rPr>
                <w:sz w:val="18"/>
                <w:szCs w:val="18"/>
              </w:rPr>
              <w:t>μg</w:t>
            </w:r>
            <w:proofErr w:type="spellEnd"/>
            <w:r w:rsidRPr="000F6B40">
              <w:rPr>
                <w:sz w:val="18"/>
                <w:szCs w:val="18"/>
              </w:rPr>
              <w:t>/mL, 25°C</w:t>
            </w:r>
          </w:p>
        </w:tc>
        <w:tc>
          <w:tcPr>
            <w:tcW w:w="0" w:type="auto"/>
            <w:vAlign w:val="center"/>
            <w:hideMark/>
          </w:tcPr>
          <w:p w14:paraId="75149E6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0E6C01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Distance to metal site</w:t>
            </w:r>
          </w:p>
        </w:tc>
        <w:tc>
          <w:tcPr>
            <w:tcW w:w="0" w:type="auto"/>
            <w:vAlign w:val="center"/>
            <w:hideMark/>
          </w:tcPr>
          <w:p w14:paraId="4B52230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Catalytic structural context</w:t>
            </w:r>
          </w:p>
        </w:tc>
        <w:tc>
          <w:tcPr>
            <w:tcW w:w="0" w:type="auto"/>
            <w:vAlign w:val="center"/>
            <w:hideMark/>
          </w:tcPr>
          <w:p w14:paraId="2916940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  <w:hideMark/>
          </w:tcPr>
          <w:p w14:paraId="62393A7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0.096</w:t>
            </w:r>
          </w:p>
        </w:tc>
        <w:tc>
          <w:tcPr>
            <w:tcW w:w="0" w:type="auto"/>
            <w:vAlign w:val="center"/>
            <w:hideMark/>
          </w:tcPr>
          <w:p w14:paraId="4883C47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Consistent support</w:t>
            </w:r>
          </w:p>
        </w:tc>
        <w:tc>
          <w:tcPr>
            <w:tcW w:w="0" w:type="auto"/>
            <w:vAlign w:val="center"/>
            <w:hideMark/>
          </w:tcPr>
          <w:p w14:paraId="0215B52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Spatial proximity of the mutation to the metalloenzyme metal center.</w:t>
            </w:r>
          </w:p>
        </w:tc>
      </w:tr>
      <w:tr w:rsidR="00752039" w:rsidRPr="000F6B40" w14:paraId="24497F13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8CF56F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1B04A8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3275D5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WT_AA_H</w:t>
            </w:r>
          </w:p>
        </w:tc>
        <w:tc>
          <w:tcPr>
            <w:tcW w:w="0" w:type="auto"/>
            <w:vAlign w:val="center"/>
            <w:hideMark/>
          </w:tcPr>
          <w:p w14:paraId="483536C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Wild-type amino-acid identity</w:t>
            </w:r>
          </w:p>
        </w:tc>
        <w:tc>
          <w:tcPr>
            <w:tcW w:w="0" w:type="auto"/>
            <w:vAlign w:val="center"/>
            <w:hideMark/>
          </w:tcPr>
          <w:p w14:paraId="3C82B46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0.024</w:t>
            </w:r>
          </w:p>
        </w:tc>
        <w:tc>
          <w:tcPr>
            <w:tcW w:w="0" w:type="auto"/>
            <w:vAlign w:val="center"/>
            <w:hideMark/>
          </w:tcPr>
          <w:p w14:paraId="7D508E6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16746A0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Consistent support</w:t>
            </w:r>
          </w:p>
        </w:tc>
        <w:tc>
          <w:tcPr>
            <w:tcW w:w="0" w:type="auto"/>
            <w:vAlign w:val="center"/>
            <w:hideMark/>
          </w:tcPr>
          <w:p w14:paraId="0B14493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Encodes the identity of the wild-type histidine residue and captures sequence-level residue context.</w:t>
            </w:r>
          </w:p>
        </w:tc>
      </w:tr>
      <w:tr w:rsidR="00752039" w:rsidRPr="000F6B40" w14:paraId="1BD95E5A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CC94E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3E3812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9DEFB3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Sequence position</w:t>
            </w:r>
          </w:p>
        </w:tc>
        <w:tc>
          <w:tcPr>
            <w:tcW w:w="0" w:type="auto"/>
            <w:vAlign w:val="center"/>
            <w:hideMark/>
          </w:tcPr>
          <w:p w14:paraId="4A57D6A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Positional context</w:t>
            </w:r>
          </w:p>
        </w:tc>
        <w:tc>
          <w:tcPr>
            <w:tcW w:w="0" w:type="auto"/>
            <w:vAlign w:val="center"/>
            <w:hideMark/>
          </w:tcPr>
          <w:p w14:paraId="26D2999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0.019</w:t>
            </w:r>
          </w:p>
        </w:tc>
        <w:tc>
          <w:tcPr>
            <w:tcW w:w="0" w:type="auto"/>
            <w:vAlign w:val="center"/>
            <w:hideMark/>
          </w:tcPr>
          <w:p w14:paraId="7859FB6E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  <w:hideMark/>
          </w:tcPr>
          <w:p w14:paraId="2F0FAE29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079936D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Captures position-specific patterns associated with regional sequence or structural context.</w:t>
            </w:r>
          </w:p>
        </w:tc>
      </w:tr>
      <w:tr w:rsidR="00752039" w:rsidRPr="000F6B40" w14:paraId="64C8FBFD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5556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AMP 2 </w:t>
            </w:r>
            <w:proofErr w:type="spellStart"/>
            <w:r w:rsidRPr="000F6B40">
              <w:rPr>
                <w:sz w:val="18"/>
                <w:szCs w:val="18"/>
              </w:rPr>
              <w:t>μg</w:t>
            </w:r>
            <w:proofErr w:type="spellEnd"/>
            <w:r w:rsidRPr="000F6B40">
              <w:rPr>
                <w:sz w:val="18"/>
                <w:szCs w:val="18"/>
              </w:rPr>
              <w:t>/mL, 37°C</w:t>
            </w:r>
          </w:p>
        </w:tc>
        <w:tc>
          <w:tcPr>
            <w:tcW w:w="0" w:type="auto"/>
            <w:vAlign w:val="center"/>
            <w:hideMark/>
          </w:tcPr>
          <w:p w14:paraId="50AAE8F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B78E8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SASA</w:t>
            </w:r>
          </w:p>
        </w:tc>
        <w:tc>
          <w:tcPr>
            <w:tcW w:w="0" w:type="auto"/>
            <w:vAlign w:val="center"/>
            <w:hideMark/>
          </w:tcPr>
          <w:p w14:paraId="67E3286E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 exposure</w:t>
            </w:r>
          </w:p>
        </w:tc>
        <w:tc>
          <w:tcPr>
            <w:tcW w:w="0" w:type="auto"/>
            <w:vAlign w:val="center"/>
            <w:hideMark/>
          </w:tcPr>
          <w:p w14:paraId="1092F2EF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0.113</w:t>
            </w:r>
          </w:p>
        </w:tc>
        <w:tc>
          <w:tcPr>
            <w:tcW w:w="0" w:type="auto"/>
            <w:vAlign w:val="center"/>
            <w:hideMark/>
          </w:tcPr>
          <w:p w14:paraId="707E6EA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0.136</w:t>
            </w:r>
          </w:p>
        </w:tc>
        <w:tc>
          <w:tcPr>
            <w:tcW w:w="0" w:type="auto"/>
            <w:vAlign w:val="center"/>
            <w:hideMark/>
          </w:tcPr>
          <w:p w14:paraId="3D68B10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745B11D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Solvent-accessible surface area describing the local structural exposure of the mutated residue.</w:t>
            </w:r>
          </w:p>
        </w:tc>
      </w:tr>
      <w:tr w:rsidR="00752039" w:rsidRPr="000F6B40" w14:paraId="2D1CBFE6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7F573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E0FFCC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60C9B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Distance to metal site</w:t>
            </w:r>
          </w:p>
        </w:tc>
        <w:tc>
          <w:tcPr>
            <w:tcW w:w="0" w:type="auto"/>
            <w:vAlign w:val="center"/>
            <w:hideMark/>
          </w:tcPr>
          <w:p w14:paraId="5A2640A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Catalytic structural context</w:t>
            </w:r>
          </w:p>
        </w:tc>
        <w:tc>
          <w:tcPr>
            <w:tcW w:w="0" w:type="auto"/>
            <w:vAlign w:val="center"/>
            <w:hideMark/>
          </w:tcPr>
          <w:p w14:paraId="088B06B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  <w:hideMark/>
          </w:tcPr>
          <w:p w14:paraId="588E196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0.155</w:t>
            </w:r>
          </w:p>
        </w:tc>
        <w:tc>
          <w:tcPr>
            <w:tcW w:w="0" w:type="auto"/>
            <w:vAlign w:val="center"/>
            <w:hideMark/>
          </w:tcPr>
          <w:p w14:paraId="5E70C28E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26E4A86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Spatial proximity of the mutation to the </w:t>
            </w:r>
            <w:r w:rsidRPr="000F6B40">
              <w:rPr>
                <w:sz w:val="18"/>
                <w:szCs w:val="18"/>
              </w:rPr>
              <w:lastRenderedPageBreak/>
              <w:t>metalloenzyme metal center.</w:t>
            </w:r>
          </w:p>
        </w:tc>
      </w:tr>
      <w:tr w:rsidR="00752039" w:rsidRPr="000F6B40" w14:paraId="763C91D8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A9D8A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37A9FCF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251988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Hydrophobicity change</w:t>
            </w:r>
          </w:p>
        </w:tc>
        <w:tc>
          <w:tcPr>
            <w:tcW w:w="0" w:type="auto"/>
            <w:vAlign w:val="center"/>
            <w:hideMark/>
          </w:tcPr>
          <w:p w14:paraId="7F551BB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Physicochemical substitution</w:t>
            </w:r>
          </w:p>
        </w:tc>
        <w:tc>
          <w:tcPr>
            <w:tcW w:w="0" w:type="auto"/>
            <w:vAlign w:val="center"/>
            <w:hideMark/>
          </w:tcPr>
          <w:p w14:paraId="7F15A09C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  <w:hideMark/>
          </w:tcPr>
          <w:p w14:paraId="7BBF6C31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0.067</w:t>
            </w:r>
          </w:p>
        </w:tc>
        <w:tc>
          <w:tcPr>
            <w:tcW w:w="0" w:type="auto"/>
            <w:vAlign w:val="center"/>
            <w:hideMark/>
          </w:tcPr>
          <w:p w14:paraId="79A686D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Consistent support</w:t>
            </w:r>
          </w:p>
        </w:tc>
        <w:tc>
          <w:tcPr>
            <w:tcW w:w="0" w:type="auto"/>
            <w:vAlign w:val="center"/>
            <w:hideMark/>
          </w:tcPr>
          <w:p w14:paraId="048ED2E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Change in local hydrophobic character associated with the amino-acid substitution.</w:t>
            </w:r>
          </w:p>
        </w:tc>
      </w:tr>
      <w:tr w:rsidR="00752039" w:rsidRPr="000F6B40" w14:paraId="77443D8C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40DB3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CTX 4 </w:t>
            </w:r>
            <w:proofErr w:type="spellStart"/>
            <w:r w:rsidRPr="000F6B40">
              <w:rPr>
                <w:sz w:val="18"/>
                <w:szCs w:val="18"/>
              </w:rPr>
              <w:t>μg</w:t>
            </w:r>
            <w:proofErr w:type="spellEnd"/>
            <w:r w:rsidRPr="000F6B40">
              <w:rPr>
                <w:sz w:val="18"/>
                <w:szCs w:val="18"/>
              </w:rPr>
              <w:t>/mL, 37°C</w:t>
            </w:r>
          </w:p>
        </w:tc>
        <w:tc>
          <w:tcPr>
            <w:tcW w:w="0" w:type="auto"/>
            <w:vAlign w:val="center"/>
            <w:hideMark/>
          </w:tcPr>
          <w:p w14:paraId="727E33D0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969DB5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SASA</w:t>
            </w:r>
          </w:p>
        </w:tc>
        <w:tc>
          <w:tcPr>
            <w:tcW w:w="0" w:type="auto"/>
            <w:vAlign w:val="center"/>
            <w:hideMark/>
          </w:tcPr>
          <w:p w14:paraId="232D1F5E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 exposure</w:t>
            </w:r>
          </w:p>
        </w:tc>
        <w:tc>
          <w:tcPr>
            <w:tcW w:w="0" w:type="auto"/>
            <w:vAlign w:val="center"/>
            <w:hideMark/>
          </w:tcPr>
          <w:p w14:paraId="1519214F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0.252</w:t>
            </w:r>
          </w:p>
        </w:tc>
        <w:tc>
          <w:tcPr>
            <w:tcW w:w="0" w:type="auto"/>
            <w:vAlign w:val="center"/>
            <w:hideMark/>
          </w:tcPr>
          <w:p w14:paraId="001F841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0.232</w:t>
            </w:r>
          </w:p>
        </w:tc>
        <w:tc>
          <w:tcPr>
            <w:tcW w:w="0" w:type="auto"/>
            <w:vAlign w:val="center"/>
            <w:hideMark/>
          </w:tcPr>
          <w:p w14:paraId="541BC05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47ADF2B1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Solvent-accessible surface area describing the local structural exposure of the mutated residue.</w:t>
            </w:r>
          </w:p>
        </w:tc>
      </w:tr>
      <w:tr w:rsidR="00752039" w:rsidRPr="000F6B40" w14:paraId="412F7C1F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A2E7B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0BD5D9A9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60BEBFB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BLOSUM62</w:t>
            </w:r>
          </w:p>
        </w:tc>
        <w:tc>
          <w:tcPr>
            <w:tcW w:w="0" w:type="auto"/>
            <w:vAlign w:val="center"/>
            <w:hideMark/>
          </w:tcPr>
          <w:p w14:paraId="3268CFE1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Evolutionary constraint</w:t>
            </w:r>
          </w:p>
        </w:tc>
        <w:tc>
          <w:tcPr>
            <w:tcW w:w="0" w:type="auto"/>
            <w:vAlign w:val="center"/>
            <w:hideMark/>
          </w:tcPr>
          <w:p w14:paraId="79FBC07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  <w:hideMark/>
          </w:tcPr>
          <w:p w14:paraId="4A131A8D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0.053</w:t>
            </w:r>
          </w:p>
        </w:tc>
        <w:tc>
          <w:tcPr>
            <w:tcW w:w="0" w:type="auto"/>
            <w:vAlign w:val="center"/>
            <w:hideMark/>
          </w:tcPr>
          <w:p w14:paraId="59EE692A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2A455736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 xml:space="preserve">Evolutionary substitution </w:t>
            </w:r>
            <w:proofErr w:type="gramStart"/>
            <w:r w:rsidRPr="000F6B40">
              <w:rPr>
                <w:sz w:val="18"/>
                <w:szCs w:val="18"/>
              </w:rPr>
              <w:t>score</w:t>
            </w:r>
            <w:proofErr w:type="gramEnd"/>
            <w:r w:rsidRPr="000F6B40">
              <w:rPr>
                <w:sz w:val="18"/>
                <w:szCs w:val="18"/>
              </w:rPr>
              <w:t xml:space="preserve"> capturing the plausibility of the specific amino-acid replacement.</w:t>
            </w:r>
          </w:p>
        </w:tc>
      </w:tr>
      <w:tr w:rsidR="00752039" w:rsidRPr="000F6B40" w14:paraId="2256423E" w14:textId="77777777" w:rsidTr="00AA5C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9925E" w14:textId="77777777" w:rsidR="00752039" w:rsidRPr="000F6B40" w:rsidRDefault="00752039" w:rsidP="00AA5CB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B310992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34915AF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Distance to active-site pocket</w:t>
            </w:r>
          </w:p>
        </w:tc>
        <w:tc>
          <w:tcPr>
            <w:tcW w:w="0" w:type="auto"/>
            <w:vAlign w:val="center"/>
            <w:hideMark/>
          </w:tcPr>
          <w:p w14:paraId="15D1A6C7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Active-site structural context</w:t>
            </w:r>
          </w:p>
        </w:tc>
        <w:tc>
          <w:tcPr>
            <w:tcW w:w="0" w:type="auto"/>
            <w:vAlign w:val="center"/>
            <w:hideMark/>
          </w:tcPr>
          <w:p w14:paraId="26F7EFB8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  <w:hideMark/>
          </w:tcPr>
          <w:p w14:paraId="10B42E01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0.078</w:t>
            </w:r>
          </w:p>
        </w:tc>
        <w:tc>
          <w:tcPr>
            <w:tcW w:w="0" w:type="auto"/>
            <w:vAlign w:val="center"/>
            <w:hideMark/>
          </w:tcPr>
          <w:p w14:paraId="6B558CC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Strong and stable</w:t>
            </w:r>
          </w:p>
        </w:tc>
        <w:tc>
          <w:tcPr>
            <w:tcW w:w="0" w:type="auto"/>
            <w:vAlign w:val="center"/>
            <w:hideMark/>
          </w:tcPr>
          <w:p w14:paraId="4C062214" w14:textId="77777777" w:rsidR="00752039" w:rsidRPr="000F6B40" w:rsidRDefault="00752039" w:rsidP="00AA5CB0">
            <w:pPr>
              <w:rPr>
                <w:sz w:val="18"/>
                <w:szCs w:val="18"/>
              </w:rPr>
            </w:pPr>
            <w:r w:rsidRPr="000F6B40">
              <w:rPr>
                <w:sz w:val="18"/>
                <w:szCs w:val="18"/>
              </w:rPr>
              <w:t>Spatial proximity of the mutation to the functionally relevant active-site pocket.</w:t>
            </w:r>
          </w:p>
        </w:tc>
      </w:tr>
    </w:tbl>
    <w:p w14:paraId="62380A5B" w14:textId="77777777" w:rsidR="00752039" w:rsidRDefault="00752039" w:rsidP="00752039">
      <w:pPr>
        <w:rPr>
          <w:b/>
          <w:bCs/>
        </w:rPr>
      </w:pPr>
    </w:p>
    <w:p w14:paraId="1AF229FD" w14:textId="77777777" w:rsidR="00752039" w:rsidRPr="000F6B40" w:rsidRDefault="00752039" w:rsidP="00752039">
      <w:pPr>
        <w:jc w:val="both"/>
        <w:rPr>
          <w:sz w:val="20"/>
          <w:szCs w:val="20"/>
        </w:rPr>
      </w:pPr>
      <w:r w:rsidRPr="000F6B40">
        <w:rPr>
          <w:b/>
          <w:bCs/>
          <w:sz w:val="20"/>
          <w:szCs w:val="20"/>
        </w:rPr>
        <w:t>Note:</w:t>
      </w:r>
      <w:r w:rsidRPr="000F6B40">
        <w:rPr>
          <w:sz w:val="20"/>
          <w:szCs w:val="20"/>
        </w:rPr>
        <w:t xml:space="preserve"> Feature importance values are derived from the frozen Step 7 analysis using the final selected architecture for each phenotype. Permutation importance represents the mean reduction in predictive performance associated with permutation of the feature, whereas native importance represents the model-derived importance measure. Stability categories follow the Step 7 evidence grading. Biological interpretations are descriptive and should not be interpreted as evidence of causality.</w:t>
      </w:r>
    </w:p>
    <w:p w14:paraId="57419C16" w14:textId="77777777" w:rsidR="00752039" w:rsidRDefault="00752039" w:rsidP="00752039"/>
    <w:p w14:paraId="0B0DD548" w14:textId="77777777" w:rsidR="00752039" w:rsidRDefault="00752039" w:rsidP="00752039"/>
    <w:p w14:paraId="736B0E25" w14:textId="77777777" w:rsidR="00181334" w:rsidRDefault="00181334"/>
    <w:sectPr w:rsidR="00181334" w:rsidSect="00752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96"/>
    <w:rsid w:val="00094B96"/>
    <w:rsid w:val="00181334"/>
    <w:rsid w:val="00395270"/>
    <w:rsid w:val="00752039"/>
    <w:rsid w:val="0097776C"/>
    <w:rsid w:val="00B52917"/>
    <w:rsid w:val="00FE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4104D2-441A-491F-9909-CF8E16E8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039"/>
  </w:style>
  <w:style w:type="paragraph" w:styleId="Heading1">
    <w:name w:val="heading 1"/>
    <w:basedOn w:val="Normal"/>
    <w:next w:val="Normal"/>
    <w:link w:val="Heading1Char"/>
    <w:uiPriority w:val="9"/>
    <w:qFormat/>
    <w:rsid w:val="0097776C"/>
    <w:pPr>
      <w:keepNext/>
      <w:keepLines/>
      <w:spacing w:before="360" w:after="80" w:line="36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76C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776C"/>
    <w:pPr>
      <w:keepNext/>
      <w:keepLines/>
      <w:spacing w:before="160" w:after="80" w:line="360" w:lineRule="auto"/>
      <w:jc w:val="both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76C"/>
    <w:pPr>
      <w:keepNext/>
      <w:keepLines/>
      <w:spacing w:before="80" w:after="40" w:line="360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furesTables">
    <w:name w:val="Fifures &amp; Tables"/>
    <w:basedOn w:val="Normal"/>
    <w:link w:val="FifuresTablesChar"/>
    <w:qFormat/>
    <w:rsid w:val="0097776C"/>
    <w:pPr>
      <w:spacing w:line="240" w:lineRule="auto"/>
      <w:jc w:val="both"/>
    </w:pPr>
    <w:rPr>
      <w:sz w:val="22"/>
      <w:szCs w:val="22"/>
    </w:rPr>
  </w:style>
  <w:style w:type="character" w:customStyle="1" w:styleId="FifuresTablesChar">
    <w:name w:val="Fifures &amp; Tables Char"/>
    <w:basedOn w:val="DefaultParagraphFont"/>
    <w:link w:val="FifuresTables"/>
    <w:rsid w:val="0097776C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7776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776C"/>
    <w:rPr>
      <w:rFonts w:asciiTheme="majorHAnsi" w:eastAsiaTheme="majorEastAsia" w:hAnsiTheme="majorHAnsi" w:cstheme="majorBidi"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77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76C"/>
    <w:rPr>
      <w:rFonts w:eastAsiaTheme="majorEastAsia" w:cstheme="majorBidi"/>
      <w:i/>
      <w:iCs/>
      <w:color w:val="0F4761" w:themeColor="accent1" w:themeShade="BF"/>
    </w:rPr>
  </w:style>
  <w:style w:type="paragraph" w:customStyle="1" w:styleId="References">
    <w:name w:val="References"/>
    <w:basedOn w:val="Normal"/>
    <w:link w:val="ReferencesChar"/>
    <w:qFormat/>
    <w:rsid w:val="0097776C"/>
    <w:pPr>
      <w:autoSpaceDE w:val="0"/>
      <w:autoSpaceDN w:val="0"/>
      <w:spacing w:line="240" w:lineRule="auto"/>
      <w:ind w:hanging="475"/>
      <w:jc w:val="both"/>
    </w:pPr>
    <w:rPr>
      <w:rFonts w:cs="Calibri"/>
      <w:color w:val="000000"/>
      <w:sz w:val="22"/>
    </w:rPr>
  </w:style>
  <w:style w:type="character" w:customStyle="1" w:styleId="ReferencesChar">
    <w:name w:val="References Char"/>
    <w:basedOn w:val="DefaultParagraphFont"/>
    <w:link w:val="References"/>
    <w:rsid w:val="0097776C"/>
    <w:rPr>
      <w:rFonts w:cs="Calibri"/>
      <w:color w:val="000000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B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2026-09-18T06:24:00Z</dcterms:created>
  <dcterms:modified xsi:type="dcterms:W3CDTF">2026-09-18T06:25:00Z</dcterms:modified>
</cp:coreProperties>
</file>