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29EAB" w14:textId="77777777" w:rsidR="00DD188B" w:rsidRPr="007D30EE" w:rsidRDefault="00DD188B" w:rsidP="00DD188B">
      <w:pPr>
        <w:keepNext/>
        <w:keepLines/>
        <w:jc w:val="center"/>
        <w:rPr>
          <w:rFonts w:asciiTheme="majorBidi" w:eastAsia="Times New Roman" w:hAnsiTheme="majorBidi" w:cstheme="majorBidi"/>
        </w:rPr>
      </w:pPr>
      <w:r w:rsidRPr="007D30EE">
        <w:rPr>
          <w:rFonts w:asciiTheme="majorBidi" w:eastAsia="Times New Roman" w:hAnsiTheme="majorBidi" w:cstheme="majorBidi"/>
          <w:noProof/>
        </w:rPr>
        <w:drawing>
          <wp:inline distT="0" distB="0" distL="0" distR="0" wp14:anchorId="4B5B88FC" wp14:editId="11A30996">
            <wp:extent cx="5943600" cy="6277610"/>
            <wp:effectExtent l="0" t="0" r="0" b="8890"/>
            <wp:docPr id="5457698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69878" name="Picture 545769878"/>
                    <pic:cNvPicPr/>
                  </pic:nvPicPr>
                  <pic:blipFill>
                    <a:blip r:embed="rId4">
                      <a:extLst>
                        <a:ext uri="{28A0092B-C50C-407E-A947-70E740481C1C}">
                          <a14:useLocalDpi xmlns:a14="http://schemas.microsoft.com/office/drawing/2010/main" val="0"/>
                        </a:ext>
                      </a:extLst>
                    </a:blip>
                    <a:stretch>
                      <a:fillRect/>
                    </a:stretch>
                  </pic:blipFill>
                  <pic:spPr>
                    <a:xfrm>
                      <a:off x="0" y="0"/>
                      <a:ext cx="5943600" cy="6277610"/>
                    </a:xfrm>
                    <a:prstGeom prst="rect">
                      <a:avLst/>
                    </a:prstGeom>
                  </pic:spPr>
                </pic:pic>
              </a:graphicData>
            </a:graphic>
          </wp:inline>
        </w:drawing>
      </w:r>
    </w:p>
    <w:p w14:paraId="7BEDE6C6" w14:textId="77777777" w:rsidR="00DD188B" w:rsidRPr="007D30EE" w:rsidRDefault="00DD188B" w:rsidP="00DD188B">
      <w:pPr>
        <w:keepLines/>
        <w:jc w:val="both"/>
        <w:rPr>
          <w:rFonts w:asciiTheme="majorBidi" w:eastAsia="Times New Roman" w:hAnsiTheme="majorBidi" w:cstheme="majorBidi"/>
          <w:sz w:val="20"/>
          <w:szCs w:val="20"/>
        </w:rPr>
      </w:pPr>
      <w:r w:rsidRPr="007D30EE">
        <w:rPr>
          <w:rFonts w:asciiTheme="majorBidi" w:eastAsia="Times New Roman" w:hAnsiTheme="majorBidi" w:cstheme="majorBidi"/>
          <w:b/>
          <w:bCs/>
          <w:sz w:val="20"/>
          <w:szCs w:val="20"/>
        </w:rPr>
        <w:t>Extended Data Fig. 1 | Analytical workflow for reconstructing hazard-specific flood loss, insurance coverage and burden channels.</w:t>
      </w:r>
      <w:r w:rsidRPr="007D30EE">
        <w:rPr>
          <w:rFonts w:asciiTheme="majorBidi" w:eastAsia="Times New Roman" w:hAnsiTheme="majorBidi" w:cstheme="majorBidi"/>
          <w:sz w:val="20"/>
          <w:szCs w:val="20"/>
        </w:rPr>
        <w:t xml:space="preserve"> The workflow proceeds from hazard, building, census, flood-zone and NFIP policy inputs through building-scale depth extraction, occupancy and valuation, policy allocation, loss estimation and annualization. Expected annual loss is divided into public shortfall and expected covered payout; covered payout is divided into premium-funded payout and NFIP shortfall. Building-level quantities are aggregated to census tracts for the burden-regime analysis.</w:t>
      </w:r>
    </w:p>
    <w:p w14:paraId="70BB4645" w14:textId="77777777" w:rsidR="00DD188B" w:rsidRPr="007D30EE" w:rsidRDefault="00DD188B" w:rsidP="00DD188B">
      <w:pPr>
        <w:rPr>
          <w:rFonts w:asciiTheme="majorBidi" w:eastAsia="Times New Roman" w:hAnsiTheme="majorBidi" w:cstheme="majorBidi"/>
          <w:b/>
          <w:bCs/>
          <w:sz w:val="28"/>
          <w:szCs w:val="28"/>
        </w:rPr>
      </w:pPr>
    </w:p>
    <w:p w14:paraId="5B83A725" w14:textId="77777777" w:rsidR="00DD188B" w:rsidRPr="007D30EE" w:rsidRDefault="00DD188B" w:rsidP="00DD188B">
      <w:pPr>
        <w:keepNext/>
        <w:keepLines/>
        <w:jc w:val="center"/>
        <w:rPr>
          <w:rFonts w:asciiTheme="majorBidi" w:eastAsia="Times New Roman" w:hAnsiTheme="majorBidi" w:cstheme="majorBidi"/>
        </w:rPr>
      </w:pPr>
      <w:r w:rsidRPr="007D30EE">
        <w:rPr>
          <w:rFonts w:asciiTheme="majorBidi" w:eastAsia="Times New Roman" w:hAnsiTheme="majorBidi" w:cstheme="majorBidi"/>
          <w:noProof/>
        </w:rPr>
        <w:lastRenderedPageBreak/>
        <w:drawing>
          <wp:inline distT="0" distB="0" distL="0" distR="0" wp14:anchorId="36B37165" wp14:editId="1D12087C">
            <wp:extent cx="5943600" cy="2432685"/>
            <wp:effectExtent l="0" t="0" r="0" b="0"/>
            <wp:docPr id="206843669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5943600" cy="2432685"/>
                    </a:xfrm>
                    <a:prstGeom prst="rect">
                      <a:avLst/>
                    </a:prstGeom>
                    <a:ln/>
                  </pic:spPr>
                </pic:pic>
              </a:graphicData>
            </a:graphic>
          </wp:inline>
        </w:drawing>
      </w:r>
    </w:p>
    <w:p w14:paraId="64B02DCD" w14:textId="77777777" w:rsidR="00DD188B" w:rsidRPr="007D30EE" w:rsidRDefault="00DD188B" w:rsidP="00DD188B">
      <w:pPr>
        <w:keepLines/>
        <w:jc w:val="both"/>
        <w:rPr>
          <w:rFonts w:asciiTheme="majorBidi" w:eastAsia="Times New Roman" w:hAnsiTheme="majorBidi" w:cstheme="majorBidi"/>
          <w:sz w:val="20"/>
          <w:szCs w:val="20"/>
        </w:rPr>
      </w:pPr>
      <w:r w:rsidRPr="007D30EE">
        <w:rPr>
          <w:rFonts w:asciiTheme="majorBidi" w:eastAsia="Times New Roman" w:hAnsiTheme="majorBidi" w:cstheme="majorBidi"/>
          <w:b/>
          <w:bCs/>
          <w:sz w:val="20"/>
          <w:szCs w:val="20"/>
        </w:rPr>
        <w:t>Extended Data Fig. 2 | State-level concentration and hazard composition of expected annual loss.</w:t>
      </w:r>
      <w:r w:rsidRPr="007D30EE">
        <w:rPr>
          <w:rFonts w:asciiTheme="majorBidi" w:eastAsia="Times New Roman" w:hAnsiTheme="majorBidi" w:cstheme="majorBidi"/>
          <w:sz w:val="20"/>
          <w:szCs w:val="20"/>
        </w:rPr>
        <w:t xml:space="preserve"> Panel (a) maps combined-hazard EAL by state, in billion USD yr⁻¹, with the ten highest-loss states labelled. Panel (b) shows hazard-specific composition for the fifteen highest-loss states. Similar combined totals can arise from different hazard structures: Florida is coastal-dominant, Washington and Oregon are fluvial-dominant, and California and Texas have large pluvial components.</w:t>
      </w:r>
    </w:p>
    <w:p w14:paraId="55D9F8DF" w14:textId="77777777" w:rsidR="00DD188B" w:rsidRPr="007D30EE" w:rsidRDefault="00DD188B" w:rsidP="00DD188B">
      <w:pPr>
        <w:jc w:val="both"/>
        <w:rPr>
          <w:rFonts w:asciiTheme="majorBidi" w:eastAsia="Times New Roman" w:hAnsiTheme="majorBidi" w:cstheme="majorBidi"/>
          <w:sz w:val="20"/>
          <w:szCs w:val="20"/>
        </w:rPr>
      </w:pPr>
    </w:p>
    <w:p w14:paraId="262D7654" w14:textId="77777777" w:rsidR="00DD188B" w:rsidRPr="007D30EE" w:rsidRDefault="00DD188B" w:rsidP="00DD188B">
      <w:pPr>
        <w:keepNext/>
        <w:keepLines/>
        <w:pageBreakBefore/>
        <w:spacing w:before="240" w:after="80"/>
        <w:jc w:val="both"/>
        <w:rPr>
          <w:rFonts w:asciiTheme="majorBidi" w:eastAsia="Times New Roman" w:hAnsiTheme="majorBidi" w:cstheme="majorBidi"/>
        </w:rPr>
      </w:pPr>
      <w:r w:rsidRPr="007D30EE">
        <w:rPr>
          <w:rFonts w:asciiTheme="majorBidi" w:eastAsia="Times New Roman" w:hAnsiTheme="majorBidi" w:cstheme="majorBidi"/>
          <w:b/>
          <w:bCs/>
          <w:sz w:val="20"/>
          <w:szCs w:val="20"/>
        </w:rPr>
        <w:lastRenderedPageBreak/>
        <w:t>Extended Data Table 1 | Flood burden, exposure and insurance by hazard.</w:t>
      </w:r>
      <w:r w:rsidRPr="007D30EE">
        <w:rPr>
          <w:rFonts w:asciiTheme="majorBidi" w:eastAsia="Times New Roman" w:hAnsiTheme="majorBidi" w:cstheme="majorBidi"/>
          <w:sz w:val="20"/>
          <w:szCs w:val="20"/>
        </w:rPr>
        <w:t xml:space="preserve"> The table reports exposed and insured buildings, expected annual loss, expected covered payout, public shortfall, NFIP shortfall and the location of public shortfall relative to FEMA Special Flood Hazard Area (SFHA) zones. Combined values use the maximum hazard-specific depth at each return period and are not the sum of the hazard rows. Channel percentages are shares of hazard-specific EAL; NFIP shortfall is the sum of positive building-level gaps between expected covered payout and the allocated building-coverage risk premium.</w:t>
      </w:r>
    </w:p>
    <w:tbl>
      <w:tblPr>
        <w:tblStyle w:val="TableGrid"/>
        <w:tblW w:w="9360" w:type="dxa"/>
        <w:tblBorders>
          <w:left w:val="none" w:sz="0" w:space="0" w:color="auto"/>
          <w:right w:val="none" w:sz="0" w:space="0" w:color="auto"/>
          <w:insideH w:val="none" w:sz="0" w:space="0" w:color="auto"/>
          <w:insideV w:val="none" w:sz="0" w:space="0" w:color="auto"/>
        </w:tblBorders>
        <w:tblLayout w:type="fixed"/>
        <w:tblLook w:val="0400" w:firstRow="0" w:lastRow="0" w:firstColumn="0" w:lastColumn="0" w:noHBand="0" w:noVBand="1"/>
      </w:tblPr>
      <w:tblGrid>
        <w:gridCol w:w="3420"/>
        <w:gridCol w:w="1080"/>
        <w:gridCol w:w="1620"/>
        <w:gridCol w:w="1620"/>
        <w:gridCol w:w="1620"/>
      </w:tblGrid>
      <w:tr w:rsidR="00DD188B" w:rsidRPr="007D30EE" w14:paraId="2E836E0D" w14:textId="77777777" w:rsidTr="002C5CE3">
        <w:tc>
          <w:tcPr>
            <w:tcW w:w="3420" w:type="dxa"/>
            <w:tcBorders>
              <w:top w:val="single" w:sz="4" w:space="0" w:color="auto"/>
              <w:bottom w:val="single" w:sz="4" w:space="0" w:color="auto"/>
            </w:tcBorders>
          </w:tcPr>
          <w:p w14:paraId="39213CE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Metric</w:t>
            </w:r>
          </w:p>
        </w:tc>
        <w:tc>
          <w:tcPr>
            <w:tcW w:w="1080" w:type="dxa"/>
            <w:tcBorders>
              <w:top w:val="single" w:sz="4" w:space="0" w:color="auto"/>
              <w:bottom w:val="single" w:sz="4" w:space="0" w:color="auto"/>
            </w:tcBorders>
          </w:tcPr>
          <w:p w14:paraId="4B2A08DD"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Pluvial</w:t>
            </w:r>
          </w:p>
        </w:tc>
        <w:tc>
          <w:tcPr>
            <w:tcW w:w="1620" w:type="dxa"/>
            <w:tcBorders>
              <w:top w:val="single" w:sz="4" w:space="0" w:color="auto"/>
              <w:bottom w:val="single" w:sz="4" w:space="0" w:color="auto"/>
            </w:tcBorders>
          </w:tcPr>
          <w:p w14:paraId="26A2E0CD"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Fluvial</w:t>
            </w:r>
          </w:p>
        </w:tc>
        <w:tc>
          <w:tcPr>
            <w:tcW w:w="1620" w:type="dxa"/>
            <w:tcBorders>
              <w:top w:val="single" w:sz="4" w:space="0" w:color="auto"/>
              <w:bottom w:val="single" w:sz="4" w:space="0" w:color="auto"/>
            </w:tcBorders>
          </w:tcPr>
          <w:p w14:paraId="5196DC22"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Coastal</w:t>
            </w:r>
          </w:p>
        </w:tc>
        <w:tc>
          <w:tcPr>
            <w:tcW w:w="1620" w:type="dxa"/>
            <w:tcBorders>
              <w:top w:val="single" w:sz="4" w:space="0" w:color="auto"/>
              <w:bottom w:val="single" w:sz="4" w:space="0" w:color="auto"/>
            </w:tcBorders>
          </w:tcPr>
          <w:p w14:paraId="2387DF04"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Combined</w:t>
            </w:r>
          </w:p>
        </w:tc>
      </w:tr>
      <w:tr w:rsidR="00DD188B" w:rsidRPr="007D30EE" w14:paraId="1B43F104" w14:textId="77777777" w:rsidTr="002C5CE3">
        <w:tc>
          <w:tcPr>
            <w:tcW w:w="3420" w:type="dxa"/>
            <w:tcBorders>
              <w:top w:val="single" w:sz="4" w:space="0" w:color="auto"/>
              <w:bottom w:val="single" w:sz="4" w:space="0" w:color="auto"/>
            </w:tcBorders>
          </w:tcPr>
          <w:p w14:paraId="0321BB2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Exposed buildings (positive EAL)</w:t>
            </w:r>
          </w:p>
        </w:tc>
        <w:tc>
          <w:tcPr>
            <w:tcW w:w="1080" w:type="dxa"/>
            <w:tcBorders>
              <w:top w:val="single" w:sz="4" w:space="0" w:color="auto"/>
              <w:bottom w:val="single" w:sz="4" w:space="0" w:color="auto"/>
            </w:tcBorders>
          </w:tcPr>
          <w:p w14:paraId="40154CCA"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4,890,253</w:t>
            </w:r>
          </w:p>
        </w:tc>
        <w:tc>
          <w:tcPr>
            <w:tcW w:w="1620" w:type="dxa"/>
            <w:tcBorders>
              <w:top w:val="single" w:sz="4" w:space="0" w:color="auto"/>
              <w:bottom w:val="single" w:sz="4" w:space="0" w:color="auto"/>
            </w:tcBorders>
          </w:tcPr>
          <w:p w14:paraId="0C2FACC4"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1,472,944</w:t>
            </w:r>
          </w:p>
        </w:tc>
        <w:tc>
          <w:tcPr>
            <w:tcW w:w="1620" w:type="dxa"/>
            <w:tcBorders>
              <w:top w:val="single" w:sz="4" w:space="0" w:color="auto"/>
              <w:bottom w:val="single" w:sz="4" w:space="0" w:color="auto"/>
            </w:tcBorders>
          </w:tcPr>
          <w:p w14:paraId="1C039B58"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1,624,810</w:t>
            </w:r>
          </w:p>
        </w:tc>
        <w:tc>
          <w:tcPr>
            <w:tcW w:w="1620" w:type="dxa"/>
            <w:tcBorders>
              <w:top w:val="single" w:sz="4" w:space="0" w:color="auto"/>
              <w:bottom w:val="single" w:sz="4" w:space="0" w:color="auto"/>
            </w:tcBorders>
          </w:tcPr>
          <w:p w14:paraId="516B450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7,506,151</w:t>
            </w:r>
          </w:p>
        </w:tc>
      </w:tr>
      <w:tr w:rsidR="00DD188B" w:rsidRPr="007D30EE" w14:paraId="4E7C03B0" w14:textId="77777777" w:rsidTr="002C5CE3">
        <w:tc>
          <w:tcPr>
            <w:tcW w:w="3420" w:type="dxa"/>
            <w:tcBorders>
              <w:top w:val="single" w:sz="4" w:space="0" w:color="auto"/>
              <w:bottom w:val="single" w:sz="4" w:space="0" w:color="auto"/>
            </w:tcBorders>
          </w:tcPr>
          <w:p w14:paraId="1881E745"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Insured exposed buildings</w:t>
            </w:r>
          </w:p>
        </w:tc>
        <w:tc>
          <w:tcPr>
            <w:tcW w:w="1080" w:type="dxa"/>
            <w:tcBorders>
              <w:top w:val="single" w:sz="4" w:space="0" w:color="auto"/>
              <w:bottom w:val="single" w:sz="4" w:space="0" w:color="auto"/>
            </w:tcBorders>
          </w:tcPr>
          <w:p w14:paraId="4A91FA1D"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767,661</w:t>
            </w:r>
          </w:p>
        </w:tc>
        <w:tc>
          <w:tcPr>
            <w:tcW w:w="1620" w:type="dxa"/>
            <w:tcBorders>
              <w:top w:val="single" w:sz="4" w:space="0" w:color="auto"/>
              <w:bottom w:val="single" w:sz="4" w:space="0" w:color="auto"/>
            </w:tcBorders>
          </w:tcPr>
          <w:p w14:paraId="5D34FF4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294,086</w:t>
            </w:r>
          </w:p>
        </w:tc>
        <w:tc>
          <w:tcPr>
            <w:tcW w:w="1620" w:type="dxa"/>
            <w:tcBorders>
              <w:top w:val="single" w:sz="4" w:space="0" w:color="auto"/>
              <w:bottom w:val="single" w:sz="4" w:space="0" w:color="auto"/>
            </w:tcBorders>
          </w:tcPr>
          <w:p w14:paraId="5532315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958,021</w:t>
            </w:r>
          </w:p>
        </w:tc>
        <w:tc>
          <w:tcPr>
            <w:tcW w:w="1620" w:type="dxa"/>
            <w:tcBorders>
              <w:top w:val="single" w:sz="4" w:space="0" w:color="auto"/>
              <w:bottom w:val="single" w:sz="4" w:space="0" w:color="auto"/>
            </w:tcBorders>
          </w:tcPr>
          <w:p w14:paraId="019BBBB0"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1,866,757</w:t>
            </w:r>
          </w:p>
        </w:tc>
      </w:tr>
      <w:tr w:rsidR="00DD188B" w:rsidRPr="007D30EE" w14:paraId="737BBE8C" w14:textId="77777777" w:rsidTr="002C5CE3">
        <w:tc>
          <w:tcPr>
            <w:tcW w:w="3420" w:type="dxa"/>
            <w:tcBorders>
              <w:top w:val="single" w:sz="4" w:space="0" w:color="auto"/>
              <w:bottom w:val="single" w:sz="4" w:space="0" w:color="auto"/>
            </w:tcBorders>
          </w:tcPr>
          <w:p w14:paraId="06A64BF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Insured share of exposed buildings</w:t>
            </w:r>
          </w:p>
        </w:tc>
        <w:tc>
          <w:tcPr>
            <w:tcW w:w="1080" w:type="dxa"/>
            <w:tcBorders>
              <w:top w:val="single" w:sz="4" w:space="0" w:color="auto"/>
              <w:bottom w:val="single" w:sz="4" w:space="0" w:color="auto"/>
            </w:tcBorders>
          </w:tcPr>
          <w:p w14:paraId="34BDC7B5"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15.7%</w:t>
            </w:r>
          </w:p>
        </w:tc>
        <w:tc>
          <w:tcPr>
            <w:tcW w:w="1620" w:type="dxa"/>
            <w:tcBorders>
              <w:top w:val="single" w:sz="4" w:space="0" w:color="auto"/>
              <w:bottom w:val="single" w:sz="4" w:space="0" w:color="auto"/>
            </w:tcBorders>
          </w:tcPr>
          <w:p w14:paraId="6FA33754"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20.0%</w:t>
            </w:r>
          </w:p>
        </w:tc>
        <w:tc>
          <w:tcPr>
            <w:tcW w:w="1620" w:type="dxa"/>
            <w:tcBorders>
              <w:top w:val="single" w:sz="4" w:space="0" w:color="auto"/>
              <w:bottom w:val="single" w:sz="4" w:space="0" w:color="auto"/>
            </w:tcBorders>
          </w:tcPr>
          <w:p w14:paraId="638E83C8"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59.0%</w:t>
            </w:r>
          </w:p>
        </w:tc>
        <w:tc>
          <w:tcPr>
            <w:tcW w:w="1620" w:type="dxa"/>
            <w:tcBorders>
              <w:top w:val="single" w:sz="4" w:space="0" w:color="auto"/>
              <w:bottom w:val="single" w:sz="4" w:space="0" w:color="auto"/>
            </w:tcBorders>
          </w:tcPr>
          <w:p w14:paraId="6D6269A5"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24.9%</w:t>
            </w:r>
          </w:p>
        </w:tc>
      </w:tr>
      <w:tr w:rsidR="00DD188B" w:rsidRPr="007D30EE" w14:paraId="681D873D" w14:textId="77777777" w:rsidTr="002C5CE3">
        <w:tc>
          <w:tcPr>
            <w:tcW w:w="3420" w:type="dxa"/>
            <w:tcBorders>
              <w:top w:val="single" w:sz="4" w:space="0" w:color="auto"/>
              <w:bottom w:val="single" w:sz="4" w:space="0" w:color="auto"/>
            </w:tcBorders>
          </w:tcPr>
          <w:p w14:paraId="6D49F85E"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Expected annual loss ($B yr-1)</w:t>
            </w:r>
          </w:p>
        </w:tc>
        <w:tc>
          <w:tcPr>
            <w:tcW w:w="1080" w:type="dxa"/>
            <w:tcBorders>
              <w:top w:val="single" w:sz="4" w:space="0" w:color="auto"/>
              <w:bottom w:val="single" w:sz="4" w:space="0" w:color="auto"/>
            </w:tcBorders>
          </w:tcPr>
          <w:p w14:paraId="49CA2390"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17.11</w:t>
            </w:r>
          </w:p>
        </w:tc>
        <w:tc>
          <w:tcPr>
            <w:tcW w:w="1620" w:type="dxa"/>
            <w:tcBorders>
              <w:top w:val="single" w:sz="4" w:space="0" w:color="auto"/>
              <w:bottom w:val="single" w:sz="4" w:space="0" w:color="auto"/>
            </w:tcBorders>
          </w:tcPr>
          <w:p w14:paraId="6AC31710"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5.32</w:t>
            </w:r>
          </w:p>
        </w:tc>
        <w:tc>
          <w:tcPr>
            <w:tcW w:w="1620" w:type="dxa"/>
            <w:tcBorders>
              <w:top w:val="single" w:sz="4" w:space="0" w:color="auto"/>
              <w:bottom w:val="single" w:sz="4" w:space="0" w:color="auto"/>
            </w:tcBorders>
          </w:tcPr>
          <w:p w14:paraId="5958B32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3.88</w:t>
            </w:r>
          </w:p>
        </w:tc>
        <w:tc>
          <w:tcPr>
            <w:tcW w:w="1620" w:type="dxa"/>
            <w:tcBorders>
              <w:top w:val="single" w:sz="4" w:space="0" w:color="auto"/>
              <w:bottom w:val="single" w:sz="4" w:space="0" w:color="auto"/>
            </w:tcBorders>
          </w:tcPr>
          <w:p w14:paraId="3ADDC00D"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25.67</w:t>
            </w:r>
          </w:p>
        </w:tc>
      </w:tr>
      <w:tr w:rsidR="00DD188B" w:rsidRPr="007D30EE" w14:paraId="6B3FE13B" w14:textId="77777777" w:rsidTr="002C5CE3">
        <w:tc>
          <w:tcPr>
            <w:tcW w:w="3420" w:type="dxa"/>
            <w:tcBorders>
              <w:top w:val="single" w:sz="4" w:space="0" w:color="auto"/>
              <w:bottom w:val="single" w:sz="4" w:space="0" w:color="auto"/>
            </w:tcBorders>
          </w:tcPr>
          <w:p w14:paraId="4FDA2B2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Expected covered payout ($B yr⁻¹)</w:t>
            </w:r>
          </w:p>
        </w:tc>
        <w:tc>
          <w:tcPr>
            <w:tcW w:w="1080" w:type="dxa"/>
            <w:tcBorders>
              <w:top w:val="single" w:sz="4" w:space="0" w:color="auto"/>
              <w:bottom w:val="single" w:sz="4" w:space="0" w:color="auto"/>
            </w:tcBorders>
          </w:tcPr>
          <w:p w14:paraId="7FB6DBB2"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2.26</w:t>
            </w:r>
          </w:p>
        </w:tc>
        <w:tc>
          <w:tcPr>
            <w:tcW w:w="1620" w:type="dxa"/>
            <w:tcBorders>
              <w:top w:val="single" w:sz="4" w:space="0" w:color="auto"/>
              <w:bottom w:val="single" w:sz="4" w:space="0" w:color="auto"/>
            </w:tcBorders>
          </w:tcPr>
          <w:p w14:paraId="25173C05"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0.78</w:t>
            </w:r>
          </w:p>
        </w:tc>
        <w:tc>
          <w:tcPr>
            <w:tcW w:w="1620" w:type="dxa"/>
            <w:tcBorders>
              <w:top w:val="single" w:sz="4" w:space="0" w:color="auto"/>
              <w:bottom w:val="single" w:sz="4" w:space="0" w:color="auto"/>
            </w:tcBorders>
          </w:tcPr>
          <w:p w14:paraId="07664524"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1.94</w:t>
            </w:r>
          </w:p>
        </w:tc>
        <w:tc>
          <w:tcPr>
            <w:tcW w:w="1620" w:type="dxa"/>
            <w:tcBorders>
              <w:top w:val="single" w:sz="4" w:space="0" w:color="auto"/>
              <w:bottom w:val="single" w:sz="4" w:space="0" w:color="auto"/>
            </w:tcBorders>
          </w:tcPr>
          <w:p w14:paraId="797727D4"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4.8</w:t>
            </w:r>
          </w:p>
        </w:tc>
      </w:tr>
      <w:tr w:rsidR="00DD188B" w:rsidRPr="007D30EE" w14:paraId="2C27F91A" w14:textId="77777777" w:rsidTr="002C5CE3">
        <w:tc>
          <w:tcPr>
            <w:tcW w:w="3420" w:type="dxa"/>
            <w:tcBorders>
              <w:top w:val="single" w:sz="4" w:space="0" w:color="auto"/>
              <w:bottom w:val="single" w:sz="4" w:space="0" w:color="auto"/>
            </w:tcBorders>
          </w:tcPr>
          <w:p w14:paraId="0CB07FF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Public shortfall ($B yr-1)</w:t>
            </w:r>
          </w:p>
        </w:tc>
        <w:tc>
          <w:tcPr>
            <w:tcW w:w="1080" w:type="dxa"/>
            <w:tcBorders>
              <w:top w:val="single" w:sz="4" w:space="0" w:color="auto"/>
              <w:bottom w:val="single" w:sz="4" w:space="0" w:color="auto"/>
            </w:tcBorders>
          </w:tcPr>
          <w:p w14:paraId="6A29A6A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14.84</w:t>
            </w:r>
          </w:p>
        </w:tc>
        <w:tc>
          <w:tcPr>
            <w:tcW w:w="1620" w:type="dxa"/>
            <w:tcBorders>
              <w:top w:val="single" w:sz="4" w:space="0" w:color="auto"/>
              <w:bottom w:val="single" w:sz="4" w:space="0" w:color="auto"/>
            </w:tcBorders>
          </w:tcPr>
          <w:p w14:paraId="5AEB4DE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4.53</w:t>
            </w:r>
          </w:p>
        </w:tc>
        <w:tc>
          <w:tcPr>
            <w:tcW w:w="1620" w:type="dxa"/>
            <w:tcBorders>
              <w:top w:val="single" w:sz="4" w:space="0" w:color="auto"/>
              <w:bottom w:val="single" w:sz="4" w:space="0" w:color="auto"/>
            </w:tcBorders>
          </w:tcPr>
          <w:p w14:paraId="10186CB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1.94</w:t>
            </w:r>
          </w:p>
        </w:tc>
        <w:tc>
          <w:tcPr>
            <w:tcW w:w="1620" w:type="dxa"/>
            <w:tcBorders>
              <w:top w:val="single" w:sz="4" w:space="0" w:color="auto"/>
              <w:bottom w:val="single" w:sz="4" w:space="0" w:color="auto"/>
            </w:tcBorders>
          </w:tcPr>
          <w:p w14:paraId="140F5B23"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20.87</w:t>
            </w:r>
          </w:p>
        </w:tc>
      </w:tr>
      <w:tr w:rsidR="00DD188B" w:rsidRPr="007D30EE" w14:paraId="3A66E55A" w14:textId="77777777" w:rsidTr="002C5CE3">
        <w:tc>
          <w:tcPr>
            <w:tcW w:w="3420" w:type="dxa"/>
            <w:tcBorders>
              <w:top w:val="single" w:sz="4" w:space="0" w:color="auto"/>
              <w:bottom w:val="single" w:sz="4" w:space="0" w:color="auto"/>
            </w:tcBorders>
          </w:tcPr>
          <w:p w14:paraId="148C1471"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NFIP shortfall ($B yr-1)</w:t>
            </w:r>
          </w:p>
        </w:tc>
        <w:tc>
          <w:tcPr>
            <w:tcW w:w="1080" w:type="dxa"/>
            <w:tcBorders>
              <w:top w:val="single" w:sz="4" w:space="0" w:color="auto"/>
              <w:bottom w:val="single" w:sz="4" w:space="0" w:color="auto"/>
            </w:tcBorders>
          </w:tcPr>
          <w:p w14:paraId="5CF8FD2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1.87</w:t>
            </w:r>
          </w:p>
        </w:tc>
        <w:tc>
          <w:tcPr>
            <w:tcW w:w="1620" w:type="dxa"/>
            <w:tcBorders>
              <w:top w:val="single" w:sz="4" w:space="0" w:color="auto"/>
              <w:bottom w:val="single" w:sz="4" w:space="0" w:color="auto"/>
            </w:tcBorders>
          </w:tcPr>
          <w:p w14:paraId="5714B3A8"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0.60</w:t>
            </w:r>
          </w:p>
        </w:tc>
        <w:tc>
          <w:tcPr>
            <w:tcW w:w="1620" w:type="dxa"/>
            <w:tcBorders>
              <w:top w:val="single" w:sz="4" w:space="0" w:color="auto"/>
              <w:bottom w:val="single" w:sz="4" w:space="0" w:color="auto"/>
            </w:tcBorders>
          </w:tcPr>
          <w:p w14:paraId="503D22D9"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1.24</w:t>
            </w:r>
          </w:p>
        </w:tc>
        <w:tc>
          <w:tcPr>
            <w:tcW w:w="1620" w:type="dxa"/>
            <w:tcBorders>
              <w:top w:val="single" w:sz="4" w:space="0" w:color="auto"/>
              <w:bottom w:val="single" w:sz="4" w:space="0" w:color="auto"/>
            </w:tcBorders>
          </w:tcPr>
          <w:p w14:paraId="546ED179"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3.59</w:t>
            </w:r>
          </w:p>
        </w:tc>
      </w:tr>
      <w:tr w:rsidR="00DD188B" w:rsidRPr="007D30EE" w14:paraId="6146FD10" w14:textId="77777777" w:rsidTr="002C5CE3">
        <w:tc>
          <w:tcPr>
            <w:tcW w:w="3420" w:type="dxa"/>
            <w:tcBorders>
              <w:top w:val="single" w:sz="4" w:space="0" w:color="auto"/>
              <w:bottom w:val="single" w:sz="4" w:space="0" w:color="auto"/>
            </w:tcBorders>
          </w:tcPr>
          <w:p w14:paraId="187971B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Public shortfall (% of EAL)</w:t>
            </w:r>
          </w:p>
        </w:tc>
        <w:tc>
          <w:tcPr>
            <w:tcW w:w="1080" w:type="dxa"/>
            <w:tcBorders>
              <w:top w:val="single" w:sz="4" w:space="0" w:color="auto"/>
              <w:bottom w:val="single" w:sz="4" w:space="0" w:color="auto"/>
            </w:tcBorders>
          </w:tcPr>
          <w:p w14:paraId="060CEA14"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86.8%</w:t>
            </w:r>
          </w:p>
        </w:tc>
        <w:tc>
          <w:tcPr>
            <w:tcW w:w="1620" w:type="dxa"/>
            <w:tcBorders>
              <w:top w:val="single" w:sz="4" w:space="0" w:color="auto"/>
              <w:bottom w:val="single" w:sz="4" w:space="0" w:color="auto"/>
            </w:tcBorders>
          </w:tcPr>
          <w:p w14:paraId="387CBE42"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85.3%</w:t>
            </w:r>
          </w:p>
        </w:tc>
        <w:tc>
          <w:tcPr>
            <w:tcW w:w="1620" w:type="dxa"/>
            <w:tcBorders>
              <w:top w:val="single" w:sz="4" w:space="0" w:color="auto"/>
              <w:bottom w:val="single" w:sz="4" w:space="0" w:color="auto"/>
            </w:tcBorders>
          </w:tcPr>
          <w:p w14:paraId="249BBE46"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50.0%</w:t>
            </w:r>
          </w:p>
        </w:tc>
        <w:tc>
          <w:tcPr>
            <w:tcW w:w="1620" w:type="dxa"/>
            <w:tcBorders>
              <w:top w:val="single" w:sz="4" w:space="0" w:color="auto"/>
              <w:bottom w:val="single" w:sz="4" w:space="0" w:color="auto"/>
            </w:tcBorders>
          </w:tcPr>
          <w:p w14:paraId="05DF442C"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81.3%</w:t>
            </w:r>
          </w:p>
        </w:tc>
      </w:tr>
      <w:tr w:rsidR="00DD188B" w:rsidRPr="007D30EE" w14:paraId="3C542608" w14:textId="77777777" w:rsidTr="002C5CE3">
        <w:tc>
          <w:tcPr>
            <w:tcW w:w="3420" w:type="dxa"/>
            <w:tcBorders>
              <w:top w:val="single" w:sz="4" w:space="0" w:color="auto"/>
              <w:bottom w:val="single" w:sz="4" w:space="0" w:color="auto"/>
            </w:tcBorders>
          </w:tcPr>
          <w:p w14:paraId="7B6727AD"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NFIP shortfall (% of EAL)</w:t>
            </w:r>
          </w:p>
        </w:tc>
        <w:tc>
          <w:tcPr>
            <w:tcW w:w="1080" w:type="dxa"/>
            <w:tcBorders>
              <w:top w:val="single" w:sz="4" w:space="0" w:color="auto"/>
              <w:bottom w:val="single" w:sz="4" w:space="0" w:color="auto"/>
            </w:tcBorders>
          </w:tcPr>
          <w:p w14:paraId="3F6A0205"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10.9%</w:t>
            </w:r>
          </w:p>
        </w:tc>
        <w:tc>
          <w:tcPr>
            <w:tcW w:w="1620" w:type="dxa"/>
            <w:tcBorders>
              <w:top w:val="single" w:sz="4" w:space="0" w:color="auto"/>
              <w:bottom w:val="single" w:sz="4" w:space="0" w:color="auto"/>
            </w:tcBorders>
          </w:tcPr>
          <w:p w14:paraId="60DC627D"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11.3%</w:t>
            </w:r>
          </w:p>
        </w:tc>
        <w:tc>
          <w:tcPr>
            <w:tcW w:w="1620" w:type="dxa"/>
            <w:tcBorders>
              <w:top w:val="single" w:sz="4" w:space="0" w:color="auto"/>
              <w:bottom w:val="single" w:sz="4" w:space="0" w:color="auto"/>
            </w:tcBorders>
          </w:tcPr>
          <w:p w14:paraId="01BB4C1A"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32.1%</w:t>
            </w:r>
          </w:p>
        </w:tc>
        <w:tc>
          <w:tcPr>
            <w:tcW w:w="1620" w:type="dxa"/>
            <w:tcBorders>
              <w:top w:val="single" w:sz="4" w:space="0" w:color="auto"/>
              <w:bottom w:val="single" w:sz="4" w:space="0" w:color="auto"/>
            </w:tcBorders>
          </w:tcPr>
          <w:p w14:paraId="09632A23"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14.0%</w:t>
            </w:r>
          </w:p>
        </w:tc>
      </w:tr>
      <w:tr w:rsidR="00DD188B" w:rsidRPr="007D30EE" w14:paraId="0B21336D" w14:textId="77777777" w:rsidTr="002C5CE3">
        <w:tc>
          <w:tcPr>
            <w:tcW w:w="3420" w:type="dxa"/>
            <w:tcBorders>
              <w:top w:val="single" w:sz="4" w:space="0" w:color="auto"/>
              <w:bottom w:val="single" w:sz="4" w:space="0" w:color="auto"/>
            </w:tcBorders>
          </w:tcPr>
          <w:p w14:paraId="0343DCE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Uncovered-loss share among insured</w:t>
            </w:r>
          </w:p>
        </w:tc>
        <w:tc>
          <w:tcPr>
            <w:tcW w:w="1080" w:type="dxa"/>
            <w:tcBorders>
              <w:top w:val="single" w:sz="4" w:space="0" w:color="auto"/>
              <w:bottom w:val="single" w:sz="4" w:space="0" w:color="auto"/>
            </w:tcBorders>
          </w:tcPr>
          <w:p w14:paraId="5D7EA34B"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17.6%</w:t>
            </w:r>
          </w:p>
        </w:tc>
        <w:tc>
          <w:tcPr>
            <w:tcW w:w="1620" w:type="dxa"/>
            <w:tcBorders>
              <w:top w:val="single" w:sz="4" w:space="0" w:color="auto"/>
              <w:bottom w:val="single" w:sz="4" w:space="0" w:color="auto"/>
            </w:tcBorders>
          </w:tcPr>
          <w:p w14:paraId="5E4B6D7B"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33.4%</w:t>
            </w:r>
          </w:p>
        </w:tc>
        <w:tc>
          <w:tcPr>
            <w:tcW w:w="1620" w:type="dxa"/>
            <w:tcBorders>
              <w:top w:val="single" w:sz="4" w:space="0" w:color="auto"/>
              <w:bottom w:val="single" w:sz="4" w:space="0" w:color="auto"/>
            </w:tcBorders>
          </w:tcPr>
          <w:p w14:paraId="0EB3F47C"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22.1%</w:t>
            </w:r>
          </w:p>
        </w:tc>
        <w:tc>
          <w:tcPr>
            <w:tcW w:w="1620" w:type="dxa"/>
            <w:tcBorders>
              <w:top w:val="single" w:sz="4" w:space="0" w:color="auto"/>
              <w:bottom w:val="single" w:sz="4" w:space="0" w:color="auto"/>
            </w:tcBorders>
          </w:tcPr>
          <w:p w14:paraId="28B6E2A2"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22.5%</w:t>
            </w:r>
          </w:p>
        </w:tc>
      </w:tr>
      <w:tr w:rsidR="00DD188B" w:rsidRPr="007D30EE" w14:paraId="28DF844B" w14:textId="77777777" w:rsidTr="002C5CE3">
        <w:tc>
          <w:tcPr>
            <w:tcW w:w="3420" w:type="dxa"/>
            <w:tcBorders>
              <w:top w:val="single" w:sz="4" w:space="0" w:color="auto"/>
              <w:bottom w:val="single" w:sz="4" w:space="0" w:color="auto"/>
            </w:tcBorders>
          </w:tcPr>
          <w:p w14:paraId="13BE9685"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Public shortfall outside SFHA zones</w:t>
            </w:r>
          </w:p>
        </w:tc>
        <w:tc>
          <w:tcPr>
            <w:tcW w:w="1080" w:type="dxa"/>
            <w:tcBorders>
              <w:top w:val="single" w:sz="4" w:space="0" w:color="auto"/>
              <w:bottom w:val="single" w:sz="4" w:space="0" w:color="auto"/>
            </w:tcBorders>
          </w:tcPr>
          <w:p w14:paraId="11A12F75"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78.4%</w:t>
            </w:r>
          </w:p>
        </w:tc>
        <w:tc>
          <w:tcPr>
            <w:tcW w:w="1620" w:type="dxa"/>
            <w:tcBorders>
              <w:top w:val="single" w:sz="4" w:space="0" w:color="auto"/>
              <w:bottom w:val="single" w:sz="4" w:space="0" w:color="auto"/>
            </w:tcBorders>
          </w:tcPr>
          <w:p w14:paraId="6FA64563"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59.0%</w:t>
            </w:r>
          </w:p>
        </w:tc>
        <w:tc>
          <w:tcPr>
            <w:tcW w:w="1620" w:type="dxa"/>
            <w:tcBorders>
              <w:top w:val="single" w:sz="4" w:space="0" w:color="auto"/>
              <w:bottom w:val="single" w:sz="4" w:space="0" w:color="auto"/>
            </w:tcBorders>
          </w:tcPr>
          <w:p w14:paraId="58C0D568"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35.8%</w:t>
            </w:r>
          </w:p>
        </w:tc>
        <w:tc>
          <w:tcPr>
            <w:tcW w:w="1620" w:type="dxa"/>
            <w:tcBorders>
              <w:top w:val="single" w:sz="4" w:space="0" w:color="auto"/>
              <w:bottom w:val="single" w:sz="4" w:space="0" w:color="auto"/>
            </w:tcBorders>
          </w:tcPr>
          <w:p w14:paraId="78C7ED17" w14:textId="77777777" w:rsidR="00DD188B" w:rsidRPr="007D30EE" w:rsidRDefault="00DD188B" w:rsidP="002C5CE3">
            <w:pPr>
              <w:jc w:val="cente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70.9%</w:t>
            </w:r>
          </w:p>
        </w:tc>
      </w:tr>
    </w:tbl>
    <w:p w14:paraId="21E2EB51" w14:textId="77777777" w:rsidR="00DD188B" w:rsidRPr="007D30EE" w:rsidRDefault="00DD188B" w:rsidP="00DD188B">
      <w:pPr>
        <w:spacing w:before="160" w:after="80"/>
        <w:rPr>
          <w:rFonts w:asciiTheme="majorBidi" w:eastAsia="Times New Roman" w:hAnsiTheme="majorBidi" w:cstheme="majorBidi"/>
        </w:rPr>
      </w:pPr>
    </w:p>
    <w:p w14:paraId="196A5380" w14:textId="77777777" w:rsidR="00DD188B" w:rsidRPr="007D30EE" w:rsidRDefault="00DD188B" w:rsidP="00DD188B">
      <w:pPr>
        <w:keepNext/>
        <w:keepLines/>
        <w:pageBreakBefore/>
        <w:pBdr>
          <w:bar w:val="single" w:sz="4" w:color="auto"/>
        </w:pBdr>
        <w:spacing w:before="240" w:after="80"/>
        <w:jc w:val="both"/>
        <w:rPr>
          <w:rFonts w:asciiTheme="majorBidi" w:eastAsia="Times New Roman" w:hAnsiTheme="majorBidi" w:cstheme="majorBidi"/>
        </w:rPr>
      </w:pPr>
      <w:r w:rsidRPr="007D30EE">
        <w:rPr>
          <w:rFonts w:asciiTheme="majorBidi" w:eastAsia="Times New Roman" w:hAnsiTheme="majorBidi" w:cstheme="majorBidi"/>
          <w:b/>
          <w:bCs/>
          <w:sz w:val="20"/>
          <w:szCs w:val="20"/>
        </w:rPr>
        <w:lastRenderedPageBreak/>
        <w:t>Extended Data Table 2 | Input data and analytical scope.</w:t>
      </w:r>
      <w:r w:rsidRPr="007D30EE">
        <w:rPr>
          <w:rFonts w:asciiTheme="majorBidi" w:eastAsia="Times New Roman" w:hAnsiTheme="majorBidi" w:cstheme="majorBidi"/>
          <w:sz w:val="20"/>
          <w:szCs w:val="20"/>
        </w:rPr>
        <w:t xml:space="preserve"> Processed inventory, spatial units, and the data sources and key parameters used in the building-to-tract reconstruction. The complete processing audit, including all thresholds and allocation rules, is reported in Supplementary Methods A1–A8 and Supplementary Table S10. Buildings with reconstructed NFIP coverage (3,300,588, or 25.5% of processed records) count every processed building carrying at least one allocated policy, including buildings whose combined-hazard expected annual loss is zero; the 1,866,757 insured exposed buildings in Extended Data Table 1 are the subset with positive combined-hazard expected annual loss.</w:t>
      </w:r>
    </w:p>
    <w:tbl>
      <w:tblPr>
        <w:tblStyle w:val="TableGrid"/>
        <w:tblW w:w="9365" w:type="dxa"/>
        <w:tblBorders>
          <w:left w:val="none" w:sz="0" w:space="0" w:color="auto"/>
          <w:right w:val="none" w:sz="0" w:space="0" w:color="auto"/>
          <w:insideV w:val="none" w:sz="0" w:space="0" w:color="auto"/>
        </w:tblBorders>
        <w:tblLayout w:type="fixed"/>
        <w:tblLook w:val="0400" w:firstRow="0" w:lastRow="0" w:firstColumn="0" w:lastColumn="0" w:noHBand="0" w:noVBand="1"/>
      </w:tblPr>
      <w:tblGrid>
        <w:gridCol w:w="3150"/>
        <w:gridCol w:w="6215"/>
      </w:tblGrid>
      <w:tr w:rsidR="00DD188B" w:rsidRPr="007D30EE" w14:paraId="27818135" w14:textId="77777777" w:rsidTr="002C5CE3">
        <w:trPr>
          <w:trHeight w:val="170"/>
        </w:trPr>
        <w:tc>
          <w:tcPr>
            <w:tcW w:w="3150" w:type="dxa"/>
          </w:tcPr>
          <w:p w14:paraId="1F121D82"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Item</w:t>
            </w:r>
          </w:p>
        </w:tc>
        <w:tc>
          <w:tcPr>
            <w:tcW w:w="6215" w:type="dxa"/>
          </w:tcPr>
          <w:p w14:paraId="1502CD0F"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Value</w:t>
            </w:r>
          </w:p>
        </w:tc>
      </w:tr>
      <w:tr w:rsidR="00DD188B" w:rsidRPr="007D30EE" w14:paraId="710578D0" w14:textId="77777777" w:rsidTr="002C5CE3">
        <w:trPr>
          <w:trHeight w:val="175"/>
        </w:trPr>
        <w:tc>
          <w:tcPr>
            <w:tcW w:w="3150" w:type="dxa"/>
          </w:tcPr>
          <w:p w14:paraId="2E46900B"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Building records processed (CONUS, modeled inundation)</w:t>
            </w:r>
          </w:p>
        </w:tc>
        <w:tc>
          <w:tcPr>
            <w:tcW w:w="6215" w:type="dxa"/>
          </w:tcPr>
          <w:p w14:paraId="6410BBE7"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12,932,146</w:t>
            </w:r>
          </w:p>
        </w:tc>
      </w:tr>
      <w:tr w:rsidR="00DD188B" w:rsidRPr="007D30EE" w14:paraId="28502E34" w14:textId="77777777" w:rsidTr="002C5CE3">
        <w:trPr>
          <w:trHeight w:val="170"/>
        </w:trPr>
        <w:tc>
          <w:tcPr>
            <w:tcW w:w="3150" w:type="dxa"/>
          </w:tcPr>
          <w:p w14:paraId="79F8B2F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Buildings with positive combined-hazard EAL</w:t>
            </w:r>
          </w:p>
        </w:tc>
        <w:tc>
          <w:tcPr>
            <w:tcW w:w="6215" w:type="dxa"/>
          </w:tcPr>
          <w:p w14:paraId="54F724EB"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7,506,151</w:t>
            </w:r>
          </w:p>
        </w:tc>
      </w:tr>
      <w:tr w:rsidR="00DD188B" w:rsidRPr="007D30EE" w14:paraId="7C17BDFC" w14:textId="77777777" w:rsidTr="002C5CE3">
        <w:trPr>
          <w:trHeight w:val="175"/>
        </w:trPr>
        <w:tc>
          <w:tcPr>
            <w:tcW w:w="3150" w:type="dxa"/>
          </w:tcPr>
          <w:p w14:paraId="27094AC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Buildings with reconstructed NFIP coverage</w:t>
            </w:r>
          </w:p>
        </w:tc>
        <w:tc>
          <w:tcPr>
            <w:tcW w:w="6215" w:type="dxa"/>
          </w:tcPr>
          <w:p w14:paraId="2A864527"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3,300,588 (25.5% of processed)</w:t>
            </w:r>
          </w:p>
        </w:tc>
      </w:tr>
      <w:tr w:rsidR="00DD188B" w:rsidRPr="007D30EE" w14:paraId="48AD7CED" w14:textId="77777777" w:rsidTr="002C5CE3">
        <w:trPr>
          <w:trHeight w:val="170"/>
        </w:trPr>
        <w:tc>
          <w:tcPr>
            <w:tcW w:w="3150" w:type="dxa"/>
          </w:tcPr>
          <w:p w14:paraId="35E05E10"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Census tracts (building-level dataset)</w:t>
            </w:r>
          </w:p>
        </w:tc>
        <w:tc>
          <w:tcPr>
            <w:tcW w:w="6215" w:type="dxa"/>
          </w:tcPr>
          <w:p w14:paraId="7B856CD7"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76,659</w:t>
            </w:r>
          </w:p>
        </w:tc>
      </w:tr>
      <w:tr w:rsidR="00DD188B" w:rsidRPr="007D30EE" w14:paraId="2D60143E" w14:textId="77777777" w:rsidTr="002C5CE3">
        <w:trPr>
          <w:trHeight w:val="175"/>
        </w:trPr>
        <w:tc>
          <w:tcPr>
            <w:tcW w:w="3150" w:type="dxa"/>
          </w:tcPr>
          <w:p w14:paraId="429E5DA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Census tracts (tract-level layer)</w:t>
            </w:r>
          </w:p>
        </w:tc>
        <w:tc>
          <w:tcPr>
            <w:tcW w:w="6215" w:type="dxa"/>
          </w:tcPr>
          <w:p w14:paraId="507B8311"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83,954</w:t>
            </w:r>
          </w:p>
        </w:tc>
      </w:tr>
      <w:tr w:rsidR="00DD188B" w:rsidRPr="007D30EE" w14:paraId="6F6D6B89" w14:textId="77777777" w:rsidTr="002C5CE3">
        <w:trPr>
          <w:trHeight w:val="170"/>
        </w:trPr>
        <w:tc>
          <w:tcPr>
            <w:tcW w:w="3150" w:type="dxa"/>
          </w:tcPr>
          <w:p w14:paraId="59F56C08"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Census tracts classified into burden regimes</w:t>
            </w:r>
          </w:p>
        </w:tc>
        <w:tc>
          <w:tcPr>
            <w:tcW w:w="6215" w:type="dxa"/>
          </w:tcPr>
          <w:p w14:paraId="373E631F"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74,240</w:t>
            </w:r>
          </w:p>
        </w:tc>
      </w:tr>
      <w:tr w:rsidR="00DD188B" w:rsidRPr="007D30EE" w14:paraId="45FD8D63" w14:textId="77777777" w:rsidTr="002C5CE3">
        <w:trPr>
          <w:trHeight w:val="175"/>
        </w:trPr>
        <w:tc>
          <w:tcPr>
            <w:tcW w:w="3150" w:type="dxa"/>
          </w:tcPr>
          <w:p w14:paraId="53C3475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Hazard model</w:t>
            </w:r>
          </w:p>
        </w:tc>
        <w:tc>
          <w:tcPr>
            <w:tcW w:w="6215" w:type="dxa"/>
          </w:tcPr>
          <w:p w14:paraId="059526C9"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Combined Fathom-type model</w:t>
            </w:r>
            <w:sdt>
              <w:sdtPr>
                <w:rPr>
                  <w:rFonts w:asciiTheme="majorBidi" w:eastAsia="Times New Roman" w:hAnsiTheme="majorBidi" w:cstheme="majorBidi"/>
                  <w:color w:val="000000"/>
                  <w:sz w:val="20"/>
                  <w:szCs w:val="20"/>
                  <w:vertAlign w:val="superscript"/>
                </w:rPr>
                <w:tag w:val="MENDELEY_CITATION_v3_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"/>
                <w:id w:val="-1784720356"/>
                <w:placeholder>
                  <w:docPart w:val="E1D42DE9605549C2A84661B6E3CCA710"/>
                </w:placeholder>
              </w:sdtPr>
              <w:sdtContent>
                <w:r w:rsidRPr="007D30EE">
                  <w:rPr>
                    <w:rFonts w:asciiTheme="majorBidi" w:eastAsia="Times New Roman" w:hAnsiTheme="majorBidi" w:cstheme="majorBidi"/>
                    <w:color w:val="000000"/>
                    <w:sz w:val="20"/>
                    <w:szCs w:val="20"/>
                    <w:vertAlign w:val="superscript"/>
                  </w:rPr>
                  <w:t>7</w:t>
                </w:r>
              </w:sdtContent>
            </w:sdt>
            <w:r w:rsidRPr="007D30EE">
              <w:rPr>
                <w:rFonts w:asciiTheme="majorBidi" w:eastAsia="Times New Roman" w:hAnsiTheme="majorBidi" w:cstheme="majorBidi"/>
                <w:sz w:val="20"/>
                <w:szCs w:val="20"/>
              </w:rPr>
              <w:t>, ~30 m</w:t>
            </w:r>
          </w:p>
        </w:tc>
      </w:tr>
      <w:tr w:rsidR="00DD188B" w:rsidRPr="007D30EE" w14:paraId="4D2DB260" w14:textId="77777777" w:rsidTr="002C5CE3">
        <w:trPr>
          <w:trHeight w:val="517"/>
        </w:trPr>
        <w:tc>
          <w:tcPr>
            <w:tcW w:w="3150" w:type="dxa"/>
          </w:tcPr>
          <w:p w14:paraId="2B25FAC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Return periods used for annualization</w:t>
            </w:r>
          </w:p>
        </w:tc>
        <w:tc>
          <w:tcPr>
            <w:tcW w:w="6215" w:type="dxa"/>
          </w:tcPr>
          <w:p w14:paraId="6B12D978"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 10, 100, and 500 yr; depths interpolated in log-return-period space on a 33-point grid spanning 5 to 500 years, with trapezoidal integration over annual exceedance probability</w:t>
            </w:r>
          </w:p>
        </w:tc>
      </w:tr>
      <w:tr w:rsidR="00DD188B" w:rsidRPr="007D30EE" w14:paraId="7E94E726" w14:textId="77777777" w:rsidTr="002C5CE3">
        <w:trPr>
          <w:trHeight w:val="522"/>
        </w:trPr>
        <w:tc>
          <w:tcPr>
            <w:tcW w:w="3150" w:type="dxa"/>
          </w:tcPr>
          <w:p w14:paraId="6D20E85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First-floor elevation model</w:t>
            </w:r>
          </w:p>
        </w:tc>
        <w:tc>
          <w:tcPr>
            <w:tcW w:w="6215" w:type="dxa"/>
          </w:tcPr>
          <w:p w14:paraId="227F094F"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Surveyed Elevation-Certificate first-floor heights; county x occupancy x zone-family stratum medians with state and national fallbacks; central scenario (stratum quartiles define the low and high scenarios)</w:t>
            </w:r>
          </w:p>
        </w:tc>
      </w:tr>
      <w:tr w:rsidR="00DD188B" w:rsidRPr="007D30EE" w14:paraId="0E71701C" w14:textId="77777777" w:rsidTr="002C5CE3">
        <w:trPr>
          <w:trHeight w:val="346"/>
        </w:trPr>
        <w:tc>
          <w:tcPr>
            <w:tcW w:w="3150" w:type="dxa"/>
          </w:tcPr>
          <w:p w14:paraId="317499A3"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Exposure and vulnerability</w:t>
            </w:r>
          </w:p>
        </w:tc>
        <w:tc>
          <w:tcPr>
            <w:tcW w:w="6215" w:type="dxa"/>
          </w:tcPr>
          <w:p w14:paraId="6136CD5E"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Building footprints and heights; Hazus occupancy prototypes and replacement values; ACS priors (Tables S2504 and B25034)</w:t>
            </w:r>
          </w:p>
        </w:tc>
      </w:tr>
      <w:tr w:rsidR="00DD188B" w:rsidRPr="007D30EE" w14:paraId="5642B3CE" w14:textId="77777777" w:rsidTr="002C5CE3">
        <w:trPr>
          <w:trHeight w:val="346"/>
        </w:trPr>
        <w:tc>
          <w:tcPr>
            <w:tcW w:w="3150" w:type="dxa"/>
          </w:tcPr>
          <w:p w14:paraId="30E6974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Insurance coverage</w:t>
            </w:r>
          </w:p>
        </w:tc>
        <w:tc>
          <w:tcPr>
            <w:tcW w:w="6215" w:type="dxa"/>
          </w:tcPr>
          <w:p w14:paraId="19471022"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OpenFEMA NFIP policy records; tiered spatial allocation; coverage cap of 1.10 times estimated replacement value</w:t>
            </w:r>
          </w:p>
        </w:tc>
      </w:tr>
      <w:tr w:rsidR="00DD188B" w:rsidRPr="007D30EE" w14:paraId="0E5827A1" w14:textId="77777777" w:rsidTr="002C5CE3">
        <w:trPr>
          <w:trHeight w:val="170"/>
        </w:trPr>
        <w:tc>
          <w:tcPr>
            <w:tcW w:w="3150" w:type="dxa"/>
          </w:tcPr>
          <w:p w14:paraId="57F8BC4D"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SFHA definition</w:t>
            </w:r>
          </w:p>
        </w:tc>
        <w:tc>
          <w:tcPr>
            <w:tcW w:w="6215" w:type="dxa"/>
          </w:tcPr>
          <w:p w14:paraId="7C5CC75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FEMA flood zones beginning with A or V</w:t>
            </w:r>
          </w:p>
        </w:tc>
      </w:tr>
      <w:tr w:rsidR="00DD188B" w:rsidRPr="007D30EE" w14:paraId="7604B15F" w14:textId="77777777" w:rsidTr="002C5CE3">
        <w:trPr>
          <w:trHeight w:val="653"/>
        </w:trPr>
        <w:tc>
          <w:tcPr>
            <w:tcW w:w="3150" w:type="dxa"/>
          </w:tcPr>
          <w:p w14:paraId="66F508D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Burden regimes</w:t>
            </w:r>
          </w:p>
        </w:tc>
        <w:tc>
          <w:tcPr>
            <w:tcW w:w="6215" w:type="dxa"/>
          </w:tcPr>
          <w:p w14:paraId="61618A54"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 xml:space="preserve">Four empirical regimes classified by burden level and insurance state (minor burden, uninsured; minor burden, some coverage; major burden, </w:t>
            </w:r>
            <w:r w:rsidRPr="007D30EE">
              <w:rPr>
                <w:rFonts w:asciiTheme="majorBidi" w:eastAsia="Times New Roman" w:hAnsiTheme="majorBidi" w:cstheme="majorBidi"/>
                <w:sz w:val="20"/>
                <w:szCs w:val="20"/>
              </w:rPr>
              <w:lastRenderedPageBreak/>
              <w:t>mostly uncovered; major burden, substantially insured); Gaussian mixture model on public loss absorption, log premium-deficit pressure, and log total burden, with composition-based label assignment</w:t>
            </w:r>
          </w:p>
        </w:tc>
      </w:tr>
      <w:tr w:rsidR="00DD188B" w:rsidRPr="007D30EE" w14:paraId="7105E352" w14:textId="77777777" w:rsidTr="002C5CE3">
        <w:trPr>
          <w:trHeight w:val="175"/>
        </w:trPr>
        <w:tc>
          <w:tcPr>
            <w:tcW w:w="3150" w:type="dxa"/>
          </w:tcPr>
          <w:p w14:paraId="2D158931"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lastRenderedPageBreak/>
              <w:t>Full processing audit</w:t>
            </w:r>
          </w:p>
        </w:tc>
        <w:tc>
          <w:tcPr>
            <w:tcW w:w="6215" w:type="dxa"/>
          </w:tcPr>
          <w:p w14:paraId="2E3CE40F"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Supplementary Methods A1–A8; Supplementary Table S10</w:t>
            </w:r>
          </w:p>
        </w:tc>
      </w:tr>
    </w:tbl>
    <w:p w14:paraId="09EEB2C2" w14:textId="77777777" w:rsidR="00DD188B" w:rsidRPr="007D30EE" w:rsidRDefault="00DD188B" w:rsidP="00DD188B">
      <w:pPr>
        <w:spacing w:before="160" w:after="80"/>
        <w:rPr>
          <w:rFonts w:asciiTheme="majorBidi" w:eastAsia="Times New Roman" w:hAnsiTheme="majorBidi" w:cstheme="majorBidi"/>
        </w:rPr>
      </w:pPr>
    </w:p>
    <w:p w14:paraId="254C7A98" w14:textId="77777777" w:rsidR="00DD188B" w:rsidRPr="007D30EE" w:rsidRDefault="00DD188B" w:rsidP="00DD188B">
      <w:pPr>
        <w:spacing w:before="160" w:after="80"/>
        <w:rPr>
          <w:rFonts w:asciiTheme="majorBidi" w:eastAsia="Times New Roman" w:hAnsiTheme="majorBidi" w:cstheme="majorBidi"/>
        </w:rPr>
      </w:pPr>
      <w:r w:rsidRPr="007D30EE">
        <w:rPr>
          <w:rFonts w:asciiTheme="majorBidi" w:hAnsiTheme="majorBidi" w:cstheme="majorBidi"/>
        </w:rPr>
        <w:br w:type="page"/>
      </w:r>
    </w:p>
    <w:p w14:paraId="0207E2F4" w14:textId="77777777" w:rsidR="00DD188B" w:rsidRPr="007D30EE" w:rsidRDefault="00DD188B" w:rsidP="00DD188B">
      <w:pPr>
        <w:keepNext/>
        <w:keepLines/>
        <w:spacing w:before="120" w:after="80"/>
        <w:rPr>
          <w:rFonts w:asciiTheme="majorBidi" w:eastAsia="Times New Roman" w:hAnsiTheme="majorBidi" w:cstheme="majorBidi"/>
        </w:rPr>
      </w:pPr>
      <w:r w:rsidRPr="007D30EE">
        <w:rPr>
          <w:rFonts w:asciiTheme="majorBidi" w:eastAsia="Times New Roman" w:hAnsiTheme="majorBidi" w:cstheme="majorBidi"/>
          <w:b/>
          <w:bCs/>
          <w:sz w:val="20"/>
          <w:szCs w:val="20"/>
        </w:rPr>
        <w:lastRenderedPageBreak/>
        <w:t>Extended Data Table 3 | Empirical burden regimes and burden concentration.</w:t>
      </w:r>
      <w:r w:rsidRPr="007D30EE">
        <w:rPr>
          <w:rFonts w:asciiTheme="majorBidi" w:eastAsia="Times New Roman" w:hAnsiTheme="majorBidi" w:cstheme="majorBidi"/>
          <w:sz w:val="20"/>
          <w:szCs w:val="20"/>
        </w:rPr>
        <w:t xml:space="preserve"> Summary of tract counts, regime-defining metrics, burden totals and concentration ratios under the combined hazard layer.</w:t>
      </w:r>
    </w:p>
    <w:tbl>
      <w:tblPr>
        <w:tblStyle w:val="TableGrid"/>
        <w:tblW w:w="9258" w:type="dxa"/>
        <w:tblBorders>
          <w:left w:val="none" w:sz="0" w:space="0" w:color="auto"/>
          <w:right w:val="none" w:sz="0" w:space="0" w:color="auto"/>
          <w:insideV w:val="none" w:sz="0" w:space="0" w:color="auto"/>
        </w:tblBorders>
        <w:tblLayout w:type="fixed"/>
        <w:tblLook w:val="0400" w:firstRow="0" w:lastRow="0" w:firstColumn="0" w:lastColumn="0" w:noHBand="0" w:noVBand="1"/>
      </w:tblPr>
      <w:tblGrid>
        <w:gridCol w:w="1584"/>
        <w:gridCol w:w="1584"/>
        <w:gridCol w:w="1382"/>
        <w:gridCol w:w="1080"/>
        <w:gridCol w:w="2260"/>
        <w:gridCol w:w="1368"/>
      </w:tblGrid>
      <w:tr w:rsidR="00DD188B" w:rsidRPr="007D30EE" w14:paraId="7DC01186" w14:textId="77777777" w:rsidTr="002C5CE3">
        <w:tc>
          <w:tcPr>
            <w:tcW w:w="1584" w:type="dxa"/>
          </w:tcPr>
          <w:p w14:paraId="039A53EE"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Regime</w:t>
            </w:r>
          </w:p>
        </w:tc>
        <w:tc>
          <w:tcPr>
            <w:tcW w:w="1584" w:type="dxa"/>
          </w:tcPr>
          <w:p w14:paraId="52928829"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Tracts (share)</w:t>
            </w:r>
          </w:p>
        </w:tc>
        <w:tc>
          <w:tcPr>
            <w:tcW w:w="1382" w:type="dxa"/>
          </w:tcPr>
          <w:p w14:paraId="5A7E6E4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Median PLA / PDP</w:t>
            </w:r>
          </w:p>
        </w:tc>
        <w:tc>
          <w:tcPr>
            <w:tcW w:w="1080" w:type="dxa"/>
          </w:tcPr>
          <w:p w14:paraId="3F5A02E5"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Median burden</w:t>
            </w:r>
          </w:p>
        </w:tc>
        <w:tc>
          <w:tcPr>
            <w:tcW w:w="2260" w:type="dxa"/>
          </w:tcPr>
          <w:p w14:paraId="7B2DE840"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Public / NFIP shortfall</w:t>
            </w:r>
          </w:p>
        </w:tc>
        <w:tc>
          <w:tcPr>
            <w:tcW w:w="1368" w:type="dxa"/>
          </w:tcPr>
          <w:p w14:paraId="2B33D005"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Conc. public / NFIP</w:t>
            </w:r>
          </w:p>
        </w:tc>
      </w:tr>
      <w:tr w:rsidR="00DD188B" w:rsidRPr="007D30EE" w14:paraId="381D58D7" w14:textId="77777777" w:rsidTr="002C5CE3">
        <w:tc>
          <w:tcPr>
            <w:tcW w:w="1584" w:type="dxa"/>
          </w:tcPr>
          <w:p w14:paraId="4C6D4D58"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Minor burden, uninsured</w:t>
            </w:r>
          </w:p>
        </w:tc>
        <w:tc>
          <w:tcPr>
            <w:tcW w:w="1584" w:type="dxa"/>
          </w:tcPr>
          <w:p w14:paraId="183D18FD"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17,882 (24.1%)</w:t>
            </w:r>
          </w:p>
        </w:tc>
        <w:tc>
          <w:tcPr>
            <w:tcW w:w="1382" w:type="dxa"/>
          </w:tcPr>
          <w:p w14:paraId="7AF46A9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1.000 / 0.000</w:t>
            </w:r>
          </w:p>
        </w:tc>
        <w:tc>
          <w:tcPr>
            <w:tcW w:w="1080" w:type="dxa"/>
          </w:tcPr>
          <w:p w14:paraId="0DAA040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$23.95K</w:t>
            </w:r>
          </w:p>
        </w:tc>
        <w:tc>
          <w:tcPr>
            <w:tcW w:w="2260" w:type="dxa"/>
          </w:tcPr>
          <w:p w14:paraId="4E69BDBD"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$1.96B / $511</w:t>
            </w:r>
          </w:p>
        </w:tc>
        <w:tc>
          <w:tcPr>
            <w:tcW w:w="1368" w:type="dxa"/>
          </w:tcPr>
          <w:p w14:paraId="49A0C7C9"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0.39 / 0.00</w:t>
            </w:r>
          </w:p>
        </w:tc>
      </w:tr>
      <w:tr w:rsidR="00DD188B" w:rsidRPr="007D30EE" w14:paraId="3F7284BD" w14:textId="77777777" w:rsidTr="002C5CE3">
        <w:tc>
          <w:tcPr>
            <w:tcW w:w="1584" w:type="dxa"/>
          </w:tcPr>
          <w:p w14:paraId="58E5FC62"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Minor burden, some coverage</w:t>
            </w:r>
          </w:p>
        </w:tc>
        <w:tc>
          <w:tcPr>
            <w:tcW w:w="1584" w:type="dxa"/>
          </w:tcPr>
          <w:p w14:paraId="0A1011FF"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5,747 (7.7%)</w:t>
            </w:r>
          </w:p>
        </w:tc>
        <w:tc>
          <w:tcPr>
            <w:tcW w:w="1382" w:type="dxa"/>
          </w:tcPr>
          <w:p w14:paraId="258F27A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0.916 / 0.000</w:t>
            </w:r>
          </w:p>
        </w:tc>
        <w:tc>
          <w:tcPr>
            <w:tcW w:w="1080" w:type="dxa"/>
          </w:tcPr>
          <w:p w14:paraId="7FF1C89F"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$5.16K</w:t>
            </w:r>
          </w:p>
        </w:tc>
        <w:tc>
          <w:tcPr>
            <w:tcW w:w="2260" w:type="dxa"/>
          </w:tcPr>
          <w:p w14:paraId="79AA857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$126.73M / $192.41K</w:t>
            </w:r>
          </w:p>
        </w:tc>
        <w:tc>
          <w:tcPr>
            <w:tcW w:w="1368" w:type="dxa"/>
          </w:tcPr>
          <w:p w14:paraId="1DCF9421"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0.08 / 0.00</w:t>
            </w:r>
          </w:p>
        </w:tc>
      </w:tr>
      <w:tr w:rsidR="00DD188B" w:rsidRPr="007D30EE" w14:paraId="61AE2CFE" w14:textId="77777777" w:rsidTr="002C5CE3">
        <w:tc>
          <w:tcPr>
            <w:tcW w:w="1584" w:type="dxa"/>
          </w:tcPr>
          <w:p w14:paraId="275B1CD4"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Major burden, mostly uncovered</w:t>
            </w:r>
          </w:p>
        </w:tc>
        <w:tc>
          <w:tcPr>
            <w:tcW w:w="1584" w:type="dxa"/>
          </w:tcPr>
          <w:p w14:paraId="6D6DC682"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21,197 (28.6%)</w:t>
            </w:r>
          </w:p>
        </w:tc>
        <w:tc>
          <w:tcPr>
            <w:tcW w:w="1382" w:type="dxa"/>
          </w:tcPr>
          <w:p w14:paraId="27654CB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0.927 / 0.926</w:t>
            </w:r>
          </w:p>
        </w:tc>
        <w:tc>
          <w:tcPr>
            <w:tcW w:w="1080" w:type="dxa"/>
          </w:tcPr>
          <w:p w14:paraId="743D8429"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$214.77K</w:t>
            </w:r>
          </w:p>
        </w:tc>
        <w:tc>
          <w:tcPr>
            <w:tcW w:w="2260" w:type="dxa"/>
          </w:tcPr>
          <w:p w14:paraId="77041E1D"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$12.89B / $684.57M</w:t>
            </w:r>
          </w:p>
        </w:tc>
        <w:tc>
          <w:tcPr>
            <w:tcW w:w="1368" w:type="dxa"/>
          </w:tcPr>
          <w:p w14:paraId="74043D3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2.16 / 0.67</w:t>
            </w:r>
          </w:p>
        </w:tc>
      </w:tr>
      <w:tr w:rsidR="00DD188B" w:rsidRPr="007D30EE" w14:paraId="187ED926" w14:textId="77777777" w:rsidTr="002C5CE3">
        <w:tc>
          <w:tcPr>
            <w:tcW w:w="1584" w:type="dxa"/>
          </w:tcPr>
          <w:p w14:paraId="7200F266"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Major burden, substantially insured</w:t>
            </w:r>
          </w:p>
        </w:tc>
        <w:tc>
          <w:tcPr>
            <w:tcW w:w="1584" w:type="dxa"/>
          </w:tcPr>
          <w:p w14:paraId="29602300"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29,414 (39.6%)</w:t>
            </w:r>
          </w:p>
        </w:tc>
        <w:tc>
          <w:tcPr>
            <w:tcW w:w="1382" w:type="dxa"/>
          </w:tcPr>
          <w:p w14:paraId="682B78D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0.457 / 1.266</w:t>
            </w:r>
          </w:p>
        </w:tc>
        <w:tc>
          <w:tcPr>
            <w:tcW w:w="1080" w:type="dxa"/>
          </w:tcPr>
          <w:p w14:paraId="66C88329"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$54.31K</w:t>
            </w:r>
          </w:p>
        </w:tc>
        <w:tc>
          <w:tcPr>
            <w:tcW w:w="2260" w:type="dxa"/>
          </w:tcPr>
          <w:p w14:paraId="355CA3AC"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$5.89B / $2.91B</w:t>
            </w:r>
          </w:p>
        </w:tc>
        <w:tc>
          <w:tcPr>
            <w:tcW w:w="1368" w:type="dxa"/>
          </w:tcPr>
          <w:p w14:paraId="3DFFC6EA" w14:textId="77777777" w:rsidR="00DD188B" w:rsidRPr="007D30EE" w:rsidRDefault="00DD188B" w:rsidP="002C5CE3">
            <w:pPr>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0.71 / 2.04</w:t>
            </w:r>
          </w:p>
        </w:tc>
      </w:tr>
    </w:tbl>
    <w:p w14:paraId="555D4DFC" w14:textId="77777777" w:rsidR="00DD188B" w:rsidRPr="007D30EE" w:rsidRDefault="00DD188B" w:rsidP="00DD188B">
      <w:pPr>
        <w:spacing w:before="120"/>
        <w:jc w:val="both"/>
        <w:rPr>
          <w:rFonts w:asciiTheme="majorBidi" w:eastAsia="Times New Roman" w:hAnsiTheme="majorBidi" w:cstheme="majorBidi"/>
          <w:sz w:val="20"/>
          <w:szCs w:val="20"/>
        </w:rPr>
      </w:pPr>
      <w:r w:rsidRPr="007D30EE">
        <w:rPr>
          <w:rFonts w:asciiTheme="majorBidi" w:eastAsia="Times New Roman" w:hAnsiTheme="majorBidi" w:cstheme="majorBidi"/>
          <w:sz w:val="20"/>
          <w:szCs w:val="20"/>
        </w:rPr>
        <w:t>Notes: Paired entries are ordered PLA / PDP, public / NFIP shortfall and public / NFIP concentration. PLA is public loss absorption; PDP is premium-deficit pressure. Higher PLA indicates that a larger share of tract-level expected annual loss remains uncovered, while higher PDP indicates greater NFIP shortfall relative to allocated written policy cost. Concentration is each regime’s share of burden among classified tracts divided by its tract share; values above one indicate disproportionate concentration. Concentration ratios do not use the national building-level totals in Extended Data Table 1.</w:t>
      </w:r>
    </w:p>
    <w:p w14:paraId="7785ABD0" w14:textId="77777777" w:rsidR="00DD188B" w:rsidRPr="007D30EE" w:rsidRDefault="00DD188B" w:rsidP="00DD188B">
      <w:pPr>
        <w:spacing w:before="160" w:after="80"/>
        <w:rPr>
          <w:rFonts w:asciiTheme="majorBidi" w:eastAsia="Times New Roman" w:hAnsiTheme="majorBidi" w:cstheme="majorBidi"/>
        </w:rPr>
      </w:pPr>
    </w:p>
    <w:p w14:paraId="5E1D40A6" w14:textId="77777777" w:rsidR="00E023F9" w:rsidRDefault="00E023F9"/>
    <w:sectPr w:rsidR="00E023F9" w:rsidSect="00DD188B">
      <w:footerReference w:type="default" r:id="rId6"/>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189606"/>
      <w:docPartObj>
        <w:docPartGallery w:val="Page Numbers (Bottom of Page)"/>
        <w:docPartUnique/>
      </w:docPartObj>
    </w:sdtPr>
    <w:sdtEndPr>
      <w:rPr>
        <w:noProof/>
      </w:rPr>
    </w:sdtEndPr>
    <w:sdtContent>
      <w:p w14:paraId="51A57059" w14:textId="77777777" w:rsidR="00DD188B" w:rsidRDefault="00DD18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D3F18E" w14:textId="77777777" w:rsidR="00DD188B" w:rsidRDefault="00DD188B">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8B"/>
    <w:rsid w:val="000C4033"/>
    <w:rsid w:val="00173ED8"/>
    <w:rsid w:val="002F50B1"/>
    <w:rsid w:val="004B42CB"/>
    <w:rsid w:val="005F2B46"/>
    <w:rsid w:val="006E1731"/>
    <w:rsid w:val="00866D74"/>
    <w:rsid w:val="00882A73"/>
    <w:rsid w:val="00906905"/>
    <w:rsid w:val="0095305D"/>
    <w:rsid w:val="00981B3F"/>
    <w:rsid w:val="00B10170"/>
    <w:rsid w:val="00B260B7"/>
    <w:rsid w:val="00B85331"/>
    <w:rsid w:val="00C94D66"/>
    <w:rsid w:val="00DD188B"/>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CAA50"/>
  <w15:chartTrackingRefBased/>
  <w15:docId w15:val="{ACAEA8ED-98FF-434C-9B7D-A937ACA4D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8B"/>
    <w:pPr>
      <w:spacing w:after="120" w:line="276" w:lineRule="auto"/>
    </w:pPr>
    <w:rPr>
      <w:rFonts w:ascii="Cambria" w:eastAsia="Cambria" w:hAnsi="Cambria" w:cs="Cambria"/>
      <w:kern w:val="0"/>
      <w:sz w:val="22"/>
      <w:szCs w:val="22"/>
      <w:lang w:val="en"/>
      <w14:ligatures w14:val="none"/>
    </w:rPr>
  </w:style>
  <w:style w:type="paragraph" w:styleId="Heading1">
    <w:name w:val="heading 1"/>
    <w:basedOn w:val="Normal"/>
    <w:next w:val="Normal"/>
    <w:link w:val="Heading1Char"/>
    <w:uiPriority w:val="9"/>
    <w:qFormat/>
    <w:rsid w:val="00DD18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DD18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DD18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DD188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DD188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DD188B"/>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DD188B"/>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DD188B"/>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DD188B"/>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8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8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8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8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8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88B"/>
    <w:rPr>
      <w:rFonts w:eastAsiaTheme="majorEastAsia" w:cstheme="majorBidi"/>
      <w:color w:val="272727" w:themeColor="text1" w:themeTint="D8"/>
    </w:rPr>
  </w:style>
  <w:style w:type="paragraph" w:styleId="Title">
    <w:name w:val="Title"/>
    <w:basedOn w:val="Normal"/>
    <w:next w:val="Normal"/>
    <w:link w:val="TitleChar"/>
    <w:uiPriority w:val="10"/>
    <w:qFormat/>
    <w:rsid w:val="00DD188B"/>
    <w:pPr>
      <w:spacing w:after="80" w:line="240" w:lineRule="auto"/>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DD1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8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DD1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88B"/>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DD188B"/>
    <w:rPr>
      <w:i/>
      <w:iCs/>
      <w:color w:val="404040" w:themeColor="text1" w:themeTint="BF"/>
    </w:rPr>
  </w:style>
  <w:style w:type="paragraph" w:styleId="ListParagraph">
    <w:name w:val="List Paragraph"/>
    <w:basedOn w:val="Normal"/>
    <w:uiPriority w:val="34"/>
    <w:qFormat/>
    <w:rsid w:val="00DD188B"/>
    <w:pPr>
      <w:spacing w:after="160" w:line="278" w:lineRule="auto"/>
      <w:ind w:left="720"/>
      <w:contextualSpacing/>
    </w:pPr>
    <w:rPr>
      <w:rFonts w:asciiTheme="minorHAnsi" w:eastAsiaTheme="minorHAnsi" w:hAnsiTheme="minorHAnsi" w:cstheme="minorBidi"/>
      <w:kern w:val="2"/>
      <w:sz w:val="24"/>
      <w:szCs w:val="24"/>
      <w:lang w:val="en-IN"/>
      <w14:ligatures w14:val="standardContextual"/>
    </w:rPr>
  </w:style>
  <w:style w:type="character" w:styleId="IntenseEmphasis">
    <w:name w:val="Intense Emphasis"/>
    <w:basedOn w:val="DefaultParagraphFont"/>
    <w:uiPriority w:val="21"/>
    <w:qFormat/>
    <w:rsid w:val="00DD188B"/>
    <w:rPr>
      <w:i/>
      <w:iCs/>
      <w:color w:val="0F4761" w:themeColor="accent1" w:themeShade="BF"/>
    </w:rPr>
  </w:style>
  <w:style w:type="paragraph" w:styleId="IntenseQuote">
    <w:name w:val="Intense Quote"/>
    <w:basedOn w:val="Normal"/>
    <w:next w:val="Normal"/>
    <w:link w:val="IntenseQuoteChar"/>
    <w:uiPriority w:val="30"/>
    <w:qFormat/>
    <w:rsid w:val="00DD18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DD188B"/>
    <w:rPr>
      <w:i/>
      <w:iCs/>
      <w:color w:val="0F4761" w:themeColor="accent1" w:themeShade="BF"/>
    </w:rPr>
  </w:style>
  <w:style w:type="character" w:styleId="IntenseReference">
    <w:name w:val="Intense Reference"/>
    <w:basedOn w:val="DefaultParagraphFont"/>
    <w:uiPriority w:val="32"/>
    <w:qFormat/>
    <w:rsid w:val="00DD188B"/>
    <w:rPr>
      <w:b/>
      <w:bCs/>
      <w:smallCaps/>
      <w:color w:val="0F4761" w:themeColor="accent1" w:themeShade="BF"/>
      <w:spacing w:val="5"/>
    </w:rPr>
  </w:style>
  <w:style w:type="table" w:styleId="TableGrid">
    <w:name w:val="Table Grid"/>
    <w:basedOn w:val="TableNormal"/>
    <w:uiPriority w:val="39"/>
    <w:rsid w:val="00DD188B"/>
    <w:pPr>
      <w:spacing w:after="0" w:line="240" w:lineRule="auto"/>
    </w:pPr>
    <w:rPr>
      <w:rFonts w:ascii="Cambria" w:eastAsia="Cambria" w:hAnsi="Cambria" w:cs="Cambria"/>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D1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88B"/>
    <w:rPr>
      <w:rFonts w:ascii="Cambria" w:eastAsia="Cambria" w:hAnsi="Cambria" w:cs="Cambria"/>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D42DE9605549C2A84661B6E3CCA710"/>
        <w:category>
          <w:name w:val="General"/>
          <w:gallery w:val="placeholder"/>
        </w:category>
        <w:types>
          <w:type w:val="bbPlcHdr"/>
        </w:types>
        <w:behaviors>
          <w:behavior w:val="content"/>
        </w:behaviors>
        <w:guid w:val="{4BD5A0EF-535E-44F0-9555-AE4AFDC569D6}"/>
      </w:docPartPr>
      <w:docPartBody>
        <w:p w:rsidR="00000000" w:rsidRDefault="00917892" w:rsidP="00917892">
          <w:pPr>
            <w:pStyle w:val="E1D42DE9605549C2A84661B6E3CCA710"/>
          </w:pPr>
          <w:r w:rsidRPr="00C50C0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892"/>
    <w:rsid w:val="00307F92"/>
    <w:rsid w:val="00917892"/>
    <w:rsid w:val="00981B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7892"/>
    <w:rPr>
      <w:color w:val="808080"/>
    </w:rPr>
  </w:style>
  <w:style w:type="paragraph" w:customStyle="1" w:styleId="E1D42DE9605549C2A84661B6E3CCA710">
    <w:name w:val="E1D42DE9605549C2A84661B6E3CCA710"/>
    <w:rsid w:val="009178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2026-11-04T07:58:00Z</dcterms:created>
  <dcterms:modified xsi:type="dcterms:W3CDTF">2026-11-04T07:58:00Z</dcterms:modified>
</cp:coreProperties>
</file>