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394CD" w14:textId="77777777" w:rsidR="00B57608" w:rsidRPr="00961F99" w:rsidRDefault="003B27C7" w:rsidP="00757EC6">
      <w:pPr>
        <w:jc w:val="center"/>
        <w:rPr>
          <w:rFonts w:asciiTheme="majorBidi" w:hAnsiTheme="majorBidi" w:cstheme="majorBidi"/>
        </w:rPr>
      </w:pPr>
      <w:r w:rsidRPr="00961F99">
        <w:rPr>
          <w:rFonts w:asciiTheme="majorBidi" w:hAnsiTheme="majorBidi" w:cstheme="majorBidi"/>
          <w:b/>
          <w:bCs/>
          <w:sz w:val="32"/>
          <w:szCs w:val="32"/>
        </w:rPr>
        <w:t>Supplementary Information</w:t>
      </w:r>
    </w:p>
    <w:p w14:paraId="393035A5" w14:textId="77777777" w:rsidR="00B57608" w:rsidRPr="00961F99" w:rsidRDefault="003B27C7" w:rsidP="00757EC6">
      <w:pPr>
        <w:jc w:val="center"/>
        <w:rPr>
          <w:rFonts w:asciiTheme="majorBidi" w:hAnsiTheme="majorBidi" w:cstheme="majorBidi"/>
          <w:b/>
          <w:bCs/>
          <w:color w:val="000000"/>
          <w:sz w:val="32"/>
          <w:szCs w:val="32"/>
        </w:rPr>
      </w:pPr>
      <w:r w:rsidRPr="00961F99">
        <w:rPr>
          <w:rFonts w:asciiTheme="majorBidi" w:hAnsiTheme="majorBidi" w:cstheme="majorBidi"/>
          <w:b/>
          <w:bCs/>
          <w:sz w:val="32"/>
          <w:szCs w:val="32"/>
        </w:rPr>
        <w:t>Hazard-specific pathways shape the flood protection gap in the USA</w:t>
      </w:r>
    </w:p>
    <w:p w14:paraId="0986C520" w14:textId="77777777" w:rsidR="00B57608" w:rsidRPr="00961F99" w:rsidRDefault="00B57608" w:rsidP="00757EC6">
      <w:pPr>
        <w:jc w:val="both"/>
        <w:rPr>
          <w:rFonts w:asciiTheme="majorBidi" w:hAnsiTheme="majorBidi" w:cstheme="majorBidi"/>
        </w:rPr>
      </w:pPr>
    </w:p>
    <w:p w14:paraId="1245095C" w14:textId="77777777" w:rsidR="00B57608" w:rsidRPr="00961F99" w:rsidRDefault="003B27C7" w:rsidP="00757EC6">
      <w:pPr>
        <w:pStyle w:val="Heading1"/>
        <w:spacing w:before="280" w:after="80"/>
        <w:jc w:val="both"/>
        <w:rPr>
          <w:rFonts w:asciiTheme="majorBidi" w:eastAsia="Times New Roman" w:hAnsiTheme="majorBidi" w:cstheme="majorBidi"/>
        </w:rPr>
      </w:pPr>
      <w:r w:rsidRPr="00961F99">
        <w:rPr>
          <w:rFonts w:asciiTheme="majorBidi" w:eastAsia="Times New Roman" w:hAnsiTheme="majorBidi" w:cstheme="majorBidi"/>
        </w:rPr>
        <w:t>Part A. Supplementary Methods: building-scale reconstruction of flood burden and tract-level burden regimes</w:t>
      </w:r>
    </w:p>
    <w:p w14:paraId="7D84D2C1"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A1. Analytical overview</w:t>
      </w:r>
    </w:p>
    <w:p w14:paraId="6B962920"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The analysis reconstructs hazard-specific flood loss, observed National Flood Insurance Program (NFIP) coverage, and the resulting burden channels for individual buildings across the contiguous United States, and then aggregates the building-level quantities to census tracts. The workflow proceeds in seven stages: assembly of building-scale hazard depths from a multi-hazard flood model; assignment of occupancy prototypes and replacement values from building geometry, </w:t>
      </w:r>
      <w:proofErr w:type="spellStart"/>
      <w:r w:rsidRPr="00961F99">
        <w:rPr>
          <w:rFonts w:asciiTheme="majorBidi" w:hAnsiTheme="majorBidi" w:cstheme="majorBidi"/>
        </w:rPr>
        <w:t>Hazus</w:t>
      </w:r>
      <w:proofErr w:type="spellEnd"/>
      <w:r w:rsidRPr="00961F99">
        <w:rPr>
          <w:rFonts w:asciiTheme="majorBidi" w:hAnsiTheme="majorBidi" w:cstheme="majorBidi"/>
        </w:rPr>
        <w:t xml:space="preserve"> inventory data and American Community Survey priors; reconstruction of building-level NFIP coverage and written policy cost through a tiered spatial allocator applied to observed policy records; assignment of first-floor heights from surveyed Elevation Certificate records; estimation of hazard-specific event losses on a structure replacement-cost basis, including explicit below-grade and elevated-enclosure pathways; annualization of event losses by integration of the exceedance-loss curve; and aggregation to census tracts followed by an empirical burden-regime classification.</w:t>
      </w:r>
    </w:p>
    <w:p w14:paraId="7AB4A9EE" w14:textId="512F6ADD" w:rsidR="00B57608" w:rsidRPr="00961F99" w:rsidRDefault="003B27C7" w:rsidP="00757EC6">
      <w:pPr>
        <w:jc w:val="both"/>
        <w:rPr>
          <w:rFonts w:asciiTheme="majorBidi" w:hAnsiTheme="majorBidi" w:cstheme="majorBidi"/>
        </w:rPr>
      </w:pPr>
      <w:r w:rsidRPr="00961F99">
        <w:rPr>
          <w:rFonts w:asciiTheme="majorBidi" w:hAnsiTheme="majorBidi" w:cstheme="majorBidi"/>
        </w:rPr>
        <w:t>The processed building-level dataset contains 12,932,146 records within the modeled hazard domain. Exposed buildings are the subset with positive expected annual loss for the hazard layer under analysis, 7,506,151 under the combined layer. Buildings that lie within the modeled hazard domain but return zero expected loss once first-floor heights are applied remain in the dataset and can carry allocated policies, but they do not enter exposure-based shares. This distinction accounts for the difference between the 3,300,588 buildings holding reconstructed coverage and the 1,866,757 insured exposed buildings reported in the main text, and it is quantified in Section D</w:t>
      </w:r>
      <w:r w:rsidR="00C30397" w:rsidRPr="00961F99">
        <w:rPr>
          <w:rFonts w:asciiTheme="majorBidi" w:hAnsiTheme="majorBidi" w:cstheme="majorBidi"/>
        </w:rPr>
        <w:t>5</w:t>
      </w:r>
      <w:r w:rsidRPr="00961F99">
        <w:rPr>
          <w:rFonts w:asciiTheme="majorBidi" w:hAnsiTheme="majorBidi" w:cstheme="majorBidi"/>
        </w:rPr>
        <w:t>.</w:t>
      </w:r>
    </w:p>
    <w:p w14:paraId="7FE812A8"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Buildings in Alabama, Connecticut and North Dakota were not carried through the upstream building-to-tract assignment and are absent from the processed inventory: across the 740 processed hazard tiles, three buildings are attributed to Alabama and none to Connecticut or North Dakota. National totals therefore exclude these three states and are conservative to that extent. The omission is noted wherever state-level results are reported, and the affected states appear as no-data areas in the national maps.</w:t>
      </w:r>
    </w:p>
    <w:p w14:paraId="0520B956"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A2. Data foundations</w:t>
      </w:r>
    </w:p>
    <w:p w14:paraId="5372C6EC" w14:textId="77777777" w:rsidR="00B57608" w:rsidRPr="00961F99" w:rsidRDefault="003B27C7" w:rsidP="00757EC6">
      <w:pPr>
        <w:pStyle w:val="Heading3"/>
        <w:spacing w:after="80"/>
        <w:jc w:val="both"/>
        <w:rPr>
          <w:rFonts w:asciiTheme="majorBidi" w:eastAsia="Times New Roman" w:hAnsiTheme="majorBidi" w:cstheme="majorBidi"/>
        </w:rPr>
      </w:pPr>
      <w:r w:rsidRPr="00961F99">
        <w:rPr>
          <w:rFonts w:asciiTheme="majorBidi" w:eastAsia="Times New Roman" w:hAnsiTheme="majorBidi" w:cstheme="majorBidi"/>
        </w:rPr>
        <w:t>A2.1. Flood-hazard fields</w:t>
      </w:r>
    </w:p>
    <w:p w14:paraId="75462BCA"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Hazard depths were taken from the Fathom United States flood model, which produces high-resolution pluvial, fluvial and coastal inundation layers at 30 m grid resolution and has been described and evaluated in prior peer-reviewed United States applications. The defended layers were used throughout, so the depth fields incorporate the model's representation of known flood </w:t>
      </w:r>
      <w:proofErr w:type="spellStart"/>
      <w:r w:rsidRPr="00961F99">
        <w:rPr>
          <w:rFonts w:asciiTheme="majorBidi" w:hAnsiTheme="majorBidi" w:cstheme="majorBidi"/>
        </w:rPr>
        <w:t>defences</w:t>
      </w:r>
      <w:proofErr w:type="spellEnd"/>
      <w:r w:rsidRPr="00961F99">
        <w:rPr>
          <w:rFonts w:asciiTheme="majorBidi" w:hAnsiTheme="majorBidi" w:cstheme="majorBidi"/>
        </w:rPr>
        <w:t xml:space="preserve">. Depths are provided at the 5-, 10-, 100- and 500-year return periods, </w:t>
      </w:r>
      <w:proofErr w:type="gramStart"/>
      <w:r w:rsidRPr="00961F99">
        <w:rPr>
          <w:rFonts w:asciiTheme="majorBidi" w:hAnsiTheme="majorBidi" w:cstheme="majorBidi"/>
        </w:rPr>
        <w:t>in</w:t>
      </w:r>
      <w:proofErr w:type="gramEnd"/>
      <w:r w:rsidRPr="00961F99">
        <w:rPr>
          <w:rFonts w:asciiTheme="majorBidi" w:hAnsiTheme="majorBidi" w:cstheme="majorBidi"/>
        </w:rPr>
        <w:t xml:space="preserve"> </w:t>
      </w:r>
      <w:proofErr w:type="gramStart"/>
      <w:r w:rsidRPr="00961F99">
        <w:rPr>
          <w:rFonts w:asciiTheme="majorBidi" w:hAnsiTheme="majorBidi" w:cstheme="majorBidi"/>
        </w:rPr>
        <w:t>feet</w:t>
      </w:r>
      <w:proofErr w:type="gramEnd"/>
      <w:r w:rsidRPr="00961F99">
        <w:rPr>
          <w:rFonts w:asciiTheme="majorBidi" w:hAnsiTheme="majorBidi" w:cstheme="majorBidi"/>
        </w:rPr>
        <w:t>, and all four layers enter the loss integration.</w:t>
      </w:r>
    </w:p>
    <w:p w14:paraId="200ADF58"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lastRenderedPageBreak/>
        <w:t>Building-scale flood depth is the maximum modeled depth within each building footprint rather than a centroid or footprint-average value, which preserves localized high-depth cells that averaging would remove. For integrated multi-hazard loss estimation, a combined depth is defined at each return period as the maximum across the three hazard-specific depths. The combined layer is a non-additive measure of integrated exposure that counts each building once where the pluvial, fluvial and coastal layers overlap; it is not a compound-event simulation.</w:t>
      </w:r>
    </w:p>
    <w:p w14:paraId="5C26E94A"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Two properties of the hazard input bear directly on how the results should be read. The pluvial layers embed design-standard drainage assumptions through an effective-rainfall formulation, so urban drainage is represented implicitly rather than omitted; Section D7 reports a bound in which the first 0.2 m of pluvial depth is removed to represent localized departures from those assumptions. Separately, rainfall-driven flooding in small headwater channels is carried partly within the pluvial layer, because separating surface-water from fluvial inundation in headwater valley bottoms is not well posed at this resolution. The pluvial–fluvial division reported here is therefore model-defined: the pluvial total includes some small-channel fluvial loss, and the fluvial total is correspondingly a lower bound on riverine processes. Comparisons of the hazard-specific totals with estimates produced under other national models should be made with this convention in mind, because vendors differ in where they place that boundary.</w:t>
      </w:r>
    </w:p>
    <w:p w14:paraId="5BD0B02C" w14:textId="77777777" w:rsidR="00B57608" w:rsidRPr="00961F99" w:rsidRDefault="003B27C7" w:rsidP="00757EC6">
      <w:pPr>
        <w:pStyle w:val="Heading3"/>
        <w:spacing w:after="80"/>
        <w:jc w:val="both"/>
        <w:rPr>
          <w:rFonts w:asciiTheme="majorBidi" w:eastAsia="Times New Roman" w:hAnsiTheme="majorBidi" w:cstheme="majorBidi"/>
        </w:rPr>
      </w:pPr>
      <w:r w:rsidRPr="00961F99">
        <w:rPr>
          <w:rFonts w:asciiTheme="majorBidi" w:eastAsia="Times New Roman" w:hAnsiTheme="majorBidi" w:cstheme="majorBidi"/>
        </w:rPr>
        <w:t>A2.2. Building footprints, heights and census geography</w:t>
      </w:r>
    </w:p>
    <w:p w14:paraId="70035E39" w14:textId="7C417DDC"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Building exposure was represented using footprint polygons with associated maximum building heights from a national building-footprint and height dataset. Each building was assigned a planimetric footprint area from its polygon geometry and </w:t>
      </w:r>
      <w:proofErr w:type="gramStart"/>
      <w:r w:rsidRPr="00961F99">
        <w:rPr>
          <w:rFonts w:asciiTheme="majorBidi" w:hAnsiTheme="majorBidi" w:cstheme="majorBidi"/>
        </w:rPr>
        <w:t>a maximum</w:t>
      </w:r>
      <w:proofErr w:type="gramEnd"/>
      <w:r w:rsidRPr="00961F99">
        <w:rPr>
          <w:rFonts w:asciiTheme="majorBidi" w:hAnsiTheme="majorBidi" w:cstheme="majorBidi"/>
        </w:rPr>
        <w:t xml:space="preserve"> height, from which a story count and gross floor area were inferred. This geometry supports occupancy-prototype assignment, provides the floor-area basis for replacement-value estimation and for the policy-count constraint in the allocator, and supplies the ceiling used to cap above-floor inundation depth. Buildings were assigned to census tracts by spatial location, and tracts are used throughout as the standardized aggregation unit. The National Structure Inventory and related United States Army Corps of Engineers documentation were used as national inventory support for structure classification and harmonization.</w:t>
      </w:r>
    </w:p>
    <w:p w14:paraId="4C42B388" w14:textId="75B3E38D"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Aggregation to census tracts is an analytical choice with a specific statistical purpose. High-resolution flood models carry appreciable local </w:t>
      </w:r>
      <w:proofErr w:type="gramStart"/>
      <w:r w:rsidRPr="00961F99">
        <w:rPr>
          <w:rFonts w:asciiTheme="majorBidi" w:hAnsiTheme="majorBidi" w:cstheme="majorBidi"/>
        </w:rPr>
        <w:t>error</w:t>
      </w:r>
      <w:proofErr w:type="gramEnd"/>
      <w:r w:rsidRPr="00961F99">
        <w:rPr>
          <w:rFonts w:asciiTheme="majorBidi" w:hAnsiTheme="majorBidi" w:cstheme="majorBidi"/>
        </w:rPr>
        <w:t xml:space="preserve"> at the scale of an individual 30 m cell, but local over- and under-prediction are largely uncorrelated at short range and therefore cancel substantially when summed over an area. Published evaluations of models in this family report mean absolute errors in flooded fraction falling to the order of a few per cent once predictions are aggregated to cells of about one square </w:t>
      </w:r>
      <w:r w:rsidR="00673BD8" w:rsidRPr="00961F99">
        <w:rPr>
          <w:rFonts w:asciiTheme="majorBidi" w:hAnsiTheme="majorBidi" w:cstheme="majorBidi"/>
        </w:rPr>
        <w:t>kilometer</w:t>
      </w:r>
      <w:r w:rsidRPr="00961F99">
        <w:rPr>
          <w:rFonts w:asciiTheme="majorBidi" w:hAnsiTheme="majorBidi" w:cstheme="majorBidi"/>
        </w:rPr>
        <w:t xml:space="preserve">. Census tracts are considerably larger than this across almost </w:t>
      </w:r>
      <w:proofErr w:type="gramStart"/>
      <w:r w:rsidRPr="00961F99">
        <w:rPr>
          <w:rFonts w:asciiTheme="majorBidi" w:hAnsiTheme="majorBidi" w:cstheme="majorBidi"/>
        </w:rPr>
        <w:t>all of</w:t>
      </w:r>
      <w:proofErr w:type="gramEnd"/>
      <w:r w:rsidRPr="00961F99">
        <w:rPr>
          <w:rFonts w:asciiTheme="majorBidi" w:hAnsiTheme="majorBidi" w:cstheme="majorBidi"/>
        </w:rPr>
        <w:t xml:space="preserve"> the country; their area distribution is reported in Table S13. The tract-level quantities that carry the analysis are therefore expected to be substantially more reliable than any individual building-scale prediction, and the comparisons drawn in the main text are between tracts rather than between buildings.</w:t>
      </w:r>
    </w:p>
    <w:p w14:paraId="35EE47F1" w14:textId="77777777" w:rsidR="00B57608" w:rsidRPr="00961F99" w:rsidRDefault="003B27C7" w:rsidP="00757EC6">
      <w:pPr>
        <w:pStyle w:val="Heading3"/>
        <w:spacing w:after="80"/>
        <w:jc w:val="both"/>
        <w:rPr>
          <w:rFonts w:asciiTheme="majorBidi" w:eastAsia="Times New Roman" w:hAnsiTheme="majorBidi" w:cstheme="majorBidi"/>
        </w:rPr>
      </w:pPr>
      <w:r w:rsidRPr="00961F99">
        <w:rPr>
          <w:rFonts w:asciiTheme="majorBidi" w:eastAsia="Times New Roman" w:hAnsiTheme="majorBidi" w:cstheme="majorBidi"/>
        </w:rPr>
        <w:t xml:space="preserve">A2.3. </w:t>
      </w:r>
      <w:proofErr w:type="spellStart"/>
      <w:r w:rsidRPr="00961F99">
        <w:rPr>
          <w:rFonts w:asciiTheme="majorBidi" w:eastAsia="Times New Roman" w:hAnsiTheme="majorBidi" w:cstheme="majorBidi"/>
        </w:rPr>
        <w:t>Hazus</w:t>
      </w:r>
      <w:proofErr w:type="spellEnd"/>
      <w:r w:rsidRPr="00961F99">
        <w:rPr>
          <w:rFonts w:asciiTheme="majorBidi" w:eastAsia="Times New Roman" w:hAnsiTheme="majorBidi" w:cstheme="majorBidi"/>
        </w:rPr>
        <w:t xml:space="preserve"> inventory and depth-damage relationships</w:t>
      </w:r>
    </w:p>
    <w:p w14:paraId="114AB2BC"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Prototype-specific unit replacement costs were taken from the </w:t>
      </w:r>
      <w:proofErr w:type="spellStart"/>
      <w:r w:rsidRPr="00961F99">
        <w:rPr>
          <w:rFonts w:asciiTheme="majorBidi" w:hAnsiTheme="majorBidi" w:cstheme="majorBidi"/>
        </w:rPr>
        <w:t>Hazus</w:t>
      </w:r>
      <w:proofErr w:type="spellEnd"/>
      <w:r w:rsidRPr="00961F99">
        <w:rPr>
          <w:rFonts w:asciiTheme="majorBidi" w:hAnsiTheme="majorBidi" w:cstheme="majorBidi"/>
        </w:rPr>
        <w:t xml:space="preserve"> inventory, using the structure value that excludes contents, with missing tract-prototype values imputed from state-level medians for the same prototype. Above-floor depth-damage relationships are </w:t>
      </w:r>
      <w:proofErr w:type="spellStart"/>
      <w:r w:rsidRPr="00961F99">
        <w:rPr>
          <w:rFonts w:asciiTheme="majorBidi" w:hAnsiTheme="majorBidi" w:cstheme="majorBidi"/>
        </w:rPr>
        <w:t>Hazus</w:t>
      </w:r>
      <w:proofErr w:type="spellEnd"/>
      <w:r w:rsidRPr="00961F99">
        <w:rPr>
          <w:rFonts w:asciiTheme="majorBidi" w:hAnsiTheme="majorBidi" w:cstheme="majorBidi"/>
        </w:rPr>
        <w:t xml:space="preserve">-family piecewise-linear functions by occupancy prototype. Below-grade relationships are the United States Army Corps of Engineers generic structure functions published in Economic Guidance Memorandum 04-01, estimated from post-flood </w:t>
      </w:r>
      <w:r w:rsidRPr="00961F99">
        <w:rPr>
          <w:rFonts w:asciiTheme="majorBidi" w:hAnsiTheme="majorBidi" w:cstheme="majorBidi"/>
        </w:rPr>
        <w:lastRenderedPageBreak/>
        <w:t>damage records. The complete above-floor and below-grade curve tables as implemented are reproduced in Tables S27 and S28, and the prototype mapping and multipliers in Table S29, so that the damage model can be reproduced exactly.</w:t>
      </w:r>
    </w:p>
    <w:p w14:paraId="79B78307" w14:textId="77777777" w:rsidR="00B57608" w:rsidRPr="00961F99" w:rsidRDefault="003B27C7" w:rsidP="00757EC6">
      <w:pPr>
        <w:pStyle w:val="Heading3"/>
        <w:spacing w:after="80"/>
        <w:jc w:val="both"/>
        <w:rPr>
          <w:rFonts w:asciiTheme="majorBidi" w:eastAsia="Times New Roman" w:hAnsiTheme="majorBidi" w:cstheme="majorBidi"/>
        </w:rPr>
      </w:pPr>
      <w:r w:rsidRPr="00961F99">
        <w:rPr>
          <w:rFonts w:asciiTheme="majorBidi" w:eastAsia="Times New Roman" w:hAnsiTheme="majorBidi" w:cstheme="majorBidi"/>
        </w:rPr>
        <w:t>A2.4. American Community Survey priors</w:t>
      </w:r>
    </w:p>
    <w:p w14:paraId="102A8E3E"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Tract-level occupancy priors and housing-age information were taken from the American Community Survey, specifically Tables S2504 and B25034. The occupancy prior regularizes the geometry-based prototype assignment, and the age cohort informs the housing-value and depreciation adjustments applied to unit replacement cost.</w:t>
      </w:r>
    </w:p>
    <w:p w14:paraId="4B9FAD2D" w14:textId="77777777" w:rsidR="00B57608" w:rsidRPr="00961F99" w:rsidRDefault="003B27C7" w:rsidP="00757EC6">
      <w:pPr>
        <w:pStyle w:val="Heading3"/>
        <w:spacing w:after="80"/>
        <w:jc w:val="both"/>
        <w:rPr>
          <w:rFonts w:asciiTheme="majorBidi" w:eastAsia="Times New Roman" w:hAnsiTheme="majorBidi" w:cstheme="majorBidi"/>
        </w:rPr>
      </w:pPr>
      <w:r w:rsidRPr="00961F99">
        <w:rPr>
          <w:rFonts w:asciiTheme="majorBidi" w:eastAsia="Times New Roman" w:hAnsiTheme="majorBidi" w:cstheme="majorBidi"/>
        </w:rPr>
        <w:t>A2.5. Flood-zone information and the treatment of unmapped areas</w:t>
      </w:r>
    </w:p>
    <w:p w14:paraId="47C36A38"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Flood-zone status was taken from FEMA's National Flood Hazard Layer. Designations beginning with V define the V family and designations beginning with A define the A family; together these constitute the Special Flood Hazard Area (SFHA)-like zones used throughout. All other designations, including mapped X zones, Zone D, and records with missing or absent designations in areas without digitized coverage, are grouped with the X family and treated as outside the mapped SFHA.</w:t>
      </w:r>
    </w:p>
    <w:p w14:paraId="2ECEBC23"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This convention has a consequence that must be stated plainly, because it bears on the outside-SFHA shares reported in the main text. The National Flood Hazard Layer is assembled from community-level studies and is not </w:t>
      </w:r>
      <w:proofErr w:type="gramStart"/>
      <w:r w:rsidRPr="00961F99">
        <w:rPr>
          <w:rFonts w:asciiTheme="majorBidi" w:hAnsiTheme="majorBidi" w:cstheme="majorBidi"/>
        </w:rPr>
        <w:t>a seamless</w:t>
      </w:r>
      <w:proofErr w:type="gramEnd"/>
      <w:r w:rsidRPr="00961F99">
        <w:rPr>
          <w:rFonts w:asciiTheme="majorBidi" w:hAnsiTheme="majorBidi" w:cstheme="majorBidi"/>
        </w:rPr>
        <w:t xml:space="preserve"> national coverage: it contains gaps, overlapping panels and areas that have never been digitized, and obtaining and cleaning it requires substantial manual effort. Its topology was not manually corrected here, and buildings in areas without digitized coverage are counted as outside the SFHA by construction rather than by evidence. Table S22 therefore decomposes outside-SFHA public shortfall into the portion falling in mapped non-SFHA zones and the portion falling in areas with missing or absent designations, so that readers can judge how much of the result rests on mapped evidence. All SFHA-related quantities in this study inherit the coverage limitations of the underlying layer.</w:t>
      </w:r>
    </w:p>
    <w:p w14:paraId="4C1463BB"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A3. Occupancy prototype assignment</w:t>
      </w:r>
    </w:p>
    <w:p w14:paraId="4542CEAE" w14:textId="11FCBA92"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Each building was assigned to a </w:t>
      </w:r>
      <w:proofErr w:type="spellStart"/>
      <w:r w:rsidRPr="00961F99">
        <w:rPr>
          <w:rFonts w:asciiTheme="majorBidi" w:hAnsiTheme="majorBidi" w:cstheme="majorBidi"/>
        </w:rPr>
        <w:t>Hazus</w:t>
      </w:r>
      <w:proofErr w:type="spellEnd"/>
      <w:r w:rsidRPr="00961F99">
        <w:rPr>
          <w:rFonts w:asciiTheme="majorBidi" w:hAnsiTheme="majorBidi" w:cstheme="majorBidi"/>
        </w:rPr>
        <w:t xml:space="preserve"> occupancy prototype through a Bayesian fusion of geometry-based likelihoods and tract-level prior information. For each candidate prototype, a geometry likelihood was computed from reference intervals for footprint area, </w:t>
      </w:r>
      <w:r w:rsidR="00673BD8" w:rsidRPr="00961F99">
        <w:rPr>
          <w:rFonts w:asciiTheme="majorBidi" w:hAnsiTheme="majorBidi" w:cstheme="majorBidi"/>
        </w:rPr>
        <w:t>story</w:t>
      </w:r>
      <w:r w:rsidRPr="00961F99">
        <w:rPr>
          <w:rFonts w:asciiTheme="majorBidi" w:hAnsiTheme="majorBidi" w:cstheme="majorBidi"/>
        </w:rPr>
        <w:t xml:space="preserve"> count and gross floor area, and combined with the tract-level occupancy prior derived from American Community Survey Table S2504. Each building was assigned the maximum a posteriori prototype, so that local tract context regularizes the assignment while building-scale geometric evidence is preserved. The procedure follows established machine-learning approaches to estimating building occupancy from open-source data. Prototype assignment is an inference rather than an observation, and misassignment propagates into replacement value, into the depth-damage family applied and into the policy-count constraint. It is carried as a limitation in Part </w:t>
      </w:r>
      <w:r w:rsidR="00C30397" w:rsidRPr="00961F99">
        <w:rPr>
          <w:rFonts w:asciiTheme="majorBidi" w:hAnsiTheme="majorBidi" w:cstheme="majorBidi"/>
        </w:rPr>
        <w:t>F</w:t>
      </w:r>
      <w:r w:rsidRPr="00961F99">
        <w:rPr>
          <w:rFonts w:asciiTheme="majorBidi" w:hAnsiTheme="majorBidi" w:cstheme="majorBidi"/>
        </w:rPr>
        <w:t xml:space="preserve"> rather than as a quantified uncertainty, because no national ground-truth occupancy dataset exists against which it could be scored.</w:t>
      </w:r>
    </w:p>
    <w:p w14:paraId="2EFFC992"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A4. Replacement value estimation</w:t>
      </w:r>
    </w:p>
    <w:p w14:paraId="25E4B025"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The </w:t>
      </w:r>
      <w:proofErr w:type="spellStart"/>
      <w:r w:rsidRPr="00961F99">
        <w:rPr>
          <w:rFonts w:asciiTheme="majorBidi" w:hAnsiTheme="majorBidi" w:cstheme="majorBidi"/>
        </w:rPr>
        <w:t>Hazus</w:t>
      </w:r>
      <w:proofErr w:type="spellEnd"/>
      <w:r w:rsidRPr="00961F99">
        <w:rPr>
          <w:rFonts w:asciiTheme="majorBidi" w:hAnsiTheme="majorBidi" w:cstheme="majorBidi"/>
        </w:rPr>
        <w:t xml:space="preserve"> unit replacement cost for each building's tract and prototype was adjusted in four bounded steps. A local housing-value correction scaled the unit cost by the ratio of tract- to state-level median values for the building's age cohort. A vertical adjustment was applied for buildings taller than the canonical </w:t>
      </w:r>
      <w:proofErr w:type="spellStart"/>
      <w:r w:rsidRPr="00961F99">
        <w:rPr>
          <w:rFonts w:asciiTheme="majorBidi" w:hAnsiTheme="majorBidi" w:cstheme="majorBidi"/>
        </w:rPr>
        <w:t>storey</w:t>
      </w:r>
      <w:proofErr w:type="spellEnd"/>
      <w:r w:rsidRPr="00961F99">
        <w:rPr>
          <w:rFonts w:asciiTheme="majorBidi" w:hAnsiTheme="majorBidi" w:cstheme="majorBidi"/>
        </w:rPr>
        <w:t xml:space="preserve"> count of their prototype. An age factor, bounded between 0.05 and 1, approximated depreciated structural </w:t>
      </w:r>
      <w:r w:rsidRPr="00961F99">
        <w:rPr>
          <w:rFonts w:asciiTheme="majorBidi" w:hAnsiTheme="majorBidi" w:cstheme="majorBidi"/>
        </w:rPr>
        <w:lastRenderedPageBreak/>
        <w:t xml:space="preserve">value. Tile-level </w:t>
      </w:r>
      <w:proofErr w:type="spellStart"/>
      <w:r w:rsidRPr="00961F99">
        <w:rPr>
          <w:rFonts w:asciiTheme="majorBidi" w:hAnsiTheme="majorBidi" w:cstheme="majorBidi"/>
        </w:rPr>
        <w:t>winsorization</w:t>
      </w:r>
      <w:proofErr w:type="spellEnd"/>
      <w:r w:rsidRPr="00961F99">
        <w:rPr>
          <w:rFonts w:asciiTheme="majorBidi" w:hAnsiTheme="majorBidi" w:cstheme="majorBidi"/>
        </w:rPr>
        <w:t xml:space="preserve"> of the resulting value basis limited the influence of sparse prototype assignments and extreme geometry, following standard robust-estimation practice.</w:t>
      </w:r>
    </w:p>
    <w:p w14:paraId="51464791" w14:textId="18F9107E"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Because the loss model is applied to full, undepreciated structure replacement cost — consistent with </w:t>
      </w:r>
      <w:proofErr w:type="spellStart"/>
      <w:r w:rsidRPr="00961F99">
        <w:rPr>
          <w:rFonts w:asciiTheme="majorBidi" w:hAnsiTheme="majorBidi" w:cstheme="majorBidi"/>
        </w:rPr>
        <w:t>Hazus</w:t>
      </w:r>
      <w:proofErr w:type="spellEnd"/>
      <w:r w:rsidRPr="00961F99">
        <w:rPr>
          <w:rFonts w:asciiTheme="majorBidi" w:hAnsiTheme="majorBidi" w:cstheme="majorBidi"/>
        </w:rPr>
        <w:t xml:space="preserve"> practice and with NFIP replacement-cost settlement for primary residences — the depreciation applied upstream is reversed before loss estimation by dividing the adjusted value by the bounded age factor. The resulting value excludes land, which is not insurable, and excludes contents throughout. The national structure replacement-value basis is $6.14 trillion, against which the central combined-hazard expected annual loss corresponds to an annual damage rate of 0.418% of structure value. As an external plausibility check, relative spatial patterns in selected Austin, Texas tracts were compared with the publicly available Zillow Home Value Index; the comparison was used only to assess whether the reconstructed value surface reproduces sensible relative patterns across </w:t>
      </w:r>
      <w:r w:rsidR="00673BD8" w:rsidRPr="00961F99">
        <w:rPr>
          <w:rFonts w:asciiTheme="majorBidi" w:hAnsiTheme="majorBidi" w:cstheme="majorBidi"/>
        </w:rPr>
        <w:t>neighborhoods</w:t>
      </w:r>
      <w:r w:rsidRPr="00961F99">
        <w:rPr>
          <w:rFonts w:asciiTheme="majorBidi" w:hAnsiTheme="majorBidi" w:cstheme="majorBidi"/>
        </w:rPr>
        <w:t>, and was not used to calibrate, rescale or validate individual building values.</w:t>
      </w:r>
    </w:p>
    <w:p w14:paraId="1034747F"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A5. NFIP policy filtering and building-level allocation</w:t>
      </w:r>
    </w:p>
    <w:p w14:paraId="4765F86A"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The </w:t>
      </w:r>
      <w:proofErr w:type="spellStart"/>
      <w:r w:rsidRPr="00961F99">
        <w:rPr>
          <w:rFonts w:asciiTheme="majorBidi" w:hAnsiTheme="majorBidi" w:cstheme="majorBidi"/>
        </w:rPr>
        <w:t>OpenFEMA</w:t>
      </w:r>
      <w:proofErr w:type="spellEnd"/>
      <w:r w:rsidRPr="00961F99">
        <w:rPr>
          <w:rFonts w:asciiTheme="majorBidi" w:hAnsiTheme="majorBidi" w:cstheme="majorBidi"/>
        </w:rPr>
        <w:t xml:space="preserve"> NFIP redacted policy files provide policy-level coverage, written policy cost, surveyed elevation and geocoded location information, but they do not identify an insured building footprint directly. Building-level coverage and written policy cost were therefore reconstructed by assigning observed policy records to physical buildings through a tiered spatial allocator. Because the NFIP is the dominant observed public flood-insurance portfolio, these records capture the main public flood-insurance structure; privately underwritten and surplus-lines flood policies are not observed in these files and are treated as a limitation rather than as evidence of zero private coverage.</w:t>
      </w:r>
    </w:p>
    <w:p w14:paraId="2DF7D0E7" w14:textId="77777777" w:rsidR="00B57608" w:rsidRPr="00961F99" w:rsidRDefault="003B27C7" w:rsidP="00757EC6">
      <w:pPr>
        <w:pStyle w:val="Heading3"/>
        <w:spacing w:after="80"/>
        <w:jc w:val="both"/>
        <w:rPr>
          <w:rFonts w:asciiTheme="majorBidi" w:eastAsia="Times New Roman" w:hAnsiTheme="majorBidi" w:cstheme="majorBidi"/>
        </w:rPr>
      </w:pPr>
      <w:r w:rsidRPr="00961F99">
        <w:rPr>
          <w:rFonts w:asciiTheme="majorBidi" w:eastAsia="Times New Roman" w:hAnsiTheme="majorBidi" w:cstheme="majorBidi"/>
        </w:rPr>
        <w:t>A5.1. Policy filtering and capacity constraints</w:t>
      </w:r>
    </w:p>
    <w:p w14:paraId="1715F1F5"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Policy records were retained where building coverage was positive, and duplicates were removed on the policy identifier. Allocation was applied only to buildings within the processed inundation inventory. Each candidate assignment had to satisfy two capacity constraints. The first is a coverage cap set at 1.10 times the building's estimated replacement value. The second is a prototype-specific policy-count cap, computed as gross floor area divided by a prototype-specific floor area per policy and then capped at a prototype maximum: 2,200 ft² per policy and a maximum of one policy for single-family prototypes, 1,800 ft² and up to six to eight policies for multi-family prototypes, and 4,800 ft² and up to eight to twenty policies for commercial prototypes, with a global fallback of 2,000 ft² per policy and fifty policies for unmatched prototypes. An assignment was admissible only if it violated </w:t>
      </w:r>
      <w:proofErr w:type="gramStart"/>
      <w:r w:rsidRPr="00961F99">
        <w:rPr>
          <w:rFonts w:asciiTheme="majorBidi" w:hAnsiTheme="majorBidi" w:cstheme="majorBidi"/>
        </w:rPr>
        <w:t>neither</w:t>
      </w:r>
      <w:proofErr w:type="gramEnd"/>
      <w:r w:rsidRPr="00961F99">
        <w:rPr>
          <w:rFonts w:asciiTheme="majorBidi" w:hAnsiTheme="majorBidi" w:cstheme="majorBidi"/>
        </w:rPr>
        <w:t xml:space="preserve"> constraint.</w:t>
      </w:r>
    </w:p>
    <w:p w14:paraId="3FEFF4C8"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These constraints govern where an observed policy may be placed; they do not create coverage. The coverage amounts carried into the loss calculation are the observed policy values, so the statutory NFIP building-coverage limits of $250,000 for residential and $500,000 for non-residential structures are embedded in the reconstruction rather than imposed by it. Section D8 reports how strongly those statutory limits bind in the reconstructed portfolio.</w:t>
      </w:r>
    </w:p>
    <w:p w14:paraId="738E8002" w14:textId="77777777" w:rsidR="00B57608" w:rsidRPr="00961F99" w:rsidRDefault="003B27C7" w:rsidP="00757EC6">
      <w:pPr>
        <w:pStyle w:val="Heading3"/>
        <w:spacing w:after="80"/>
        <w:jc w:val="both"/>
        <w:rPr>
          <w:rFonts w:asciiTheme="majorBidi" w:eastAsia="Times New Roman" w:hAnsiTheme="majorBidi" w:cstheme="majorBidi"/>
        </w:rPr>
      </w:pPr>
      <w:r w:rsidRPr="00961F99">
        <w:rPr>
          <w:rFonts w:asciiTheme="majorBidi" w:eastAsia="Times New Roman" w:hAnsiTheme="majorBidi" w:cstheme="majorBidi"/>
        </w:rPr>
        <w:t>A5.2. Tiered allocation procedure</w:t>
      </w:r>
    </w:p>
    <w:p w14:paraId="3CD1C762"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Policies were assigned in six tiers, ordered from strongest to weakest spatial evidence, with residential-status consistency enforced where indicated and the capacity constraints enforced throughout. Tier 0 performs a buffered footprint match, joining policy points to a 10 m buffer around each footprint. Tier 1 performs strict footprint containment with residential-status consistency required. Tier 2 matches remaining </w:t>
      </w:r>
      <w:r w:rsidRPr="00961F99">
        <w:rPr>
          <w:rFonts w:asciiTheme="majorBidi" w:hAnsiTheme="majorBidi" w:cstheme="majorBidi"/>
        </w:rPr>
        <w:lastRenderedPageBreak/>
        <w:t xml:space="preserve">policies to the nearest eligible building centroid within a 200 m upper bound. Tier 3 assigns remaining policies within the same census tract and rated flood zone through three deterministic sub-passes, requiring first matching building type and </w:t>
      </w:r>
      <w:proofErr w:type="spellStart"/>
      <w:r w:rsidRPr="00961F99">
        <w:rPr>
          <w:rFonts w:asciiTheme="majorBidi" w:hAnsiTheme="majorBidi" w:cstheme="majorBidi"/>
        </w:rPr>
        <w:t>storey</w:t>
      </w:r>
      <w:proofErr w:type="spellEnd"/>
      <w:r w:rsidRPr="00961F99">
        <w:rPr>
          <w:rFonts w:asciiTheme="majorBidi" w:hAnsiTheme="majorBidi" w:cstheme="majorBidi"/>
        </w:rPr>
        <w:t xml:space="preserve"> class, then matching building type alone, and finally neither. Tier 4 assigns remaining policies by stochastic selection among open buildings, considering up to 512 nearby candidates per policy with weights proportional to the product of inverse distance and a risk term equal to one plus the building's 100-year fluvial depth normalized by the tile maximum; a first sub-pass requires the building type implied by the policy's building-description code and a second relaxes it. Tier 5 is a within-tract highest-risk fallback used after the stronger tiers are exhausted, first requiring type consistency and then relaxing it. The stochastic tiers use a fixed random seed of 42.</w:t>
      </w:r>
    </w:p>
    <w:p w14:paraId="56DAE1C7"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Tier-level assignment counts are reported in Table S11, and their distribution is itself a result worth stating. Fewer than one policy in a thousand could be matched by direct or buffered footprint containment, because coordinates in the redacted policy files are spatially generalized rather than precise. Deterministic within-tract and flood-zone passes placed 69.2% of policies, and the two stochastic tiers placed the remaining 30.7%. The reconstruction is therefore well constrained at tract scale, where each policy is placed within its observed tract and rated zone, and correspondingly weak at the scale of any individual building. This is the principal reason the main text reports tract-level geography and channel shares rather than building-level attributions, and it should be read alongside the aggregation argument in Section A2.2.</w:t>
      </w:r>
    </w:p>
    <w:p w14:paraId="26146DB4" w14:textId="77777777" w:rsidR="00B57608" w:rsidRPr="00961F99" w:rsidRDefault="003B27C7" w:rsidP="00757EC6">
      <w:pPr>
        <w:pStyle w:val="Heading3"/>
        <w:spacing w:after="80"/>
        <w:jc w:val="both"/>
        <w:rPr>
          <w:rFonts w:asciiTheme="majorBidi" w:eastAsia="Times New Roman" w:hAnsiTheme="majorBidi" w:cstheme="majorBidi"/>
        </w:rPr>
      </w:pPr>
      <w:r w:rsidRPr="00961F99">
        <w:rPr>
          <w:rFonts w:asciiTheme="majorBidi" w:eastAsia="Times New Roman" w:hAnsiTheme="majorBidi" w:cstheme="majorBidi"/>
        </w:rPr>
        <w:t>A5.3. Reconstructed coverage and written policy cost</w:t>
      </w:r>
    </w:p>
    <w:p w14:paraId="78C16722"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After allocation, each building accumulated reconstructed coverage as the sum of assigned building-coverage amounts and reconstructed written policy cost as the sum of assigned annual policy costs. Across the processed dataset, 3,300,588 buildings received reconstructed coverage, corresponding to 25.5% of processed records, holding $740.7 billion of building coverage and $4.53 billion of annual written policy cost across 3,412,456 assigned policy records. These are reconstructed building-level assignments derived from observed policy records; they are neither observed parcel-level contracts nor optimal-coverage allocations.</w:t>
      </w:r>
    </w:p>
    <w:p w14:paraId="2E9E6DE7"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A6. First-floor height from surveyed Elevation Certificates</w:t>
      </w:r>
    </w:p>
    <w:p w14:paraId="66E3E2B4" w14:textId="7F1DFDF8" w:rsidR="00B57608" w:rsidRPr="00961F99" w:rsidRDefault="003B27C7" w:rsidP="00757EC6">
      <w:pPr>
        <w:jc w:val="both"/>
        <w:rPr>
          <w:rFonts w:asciiTheme="majorBidi" w:hAnsiTheme="majorBidi" w:cstheme="majorBidi"/>
        </w:rPr>
      </w:pPr>
      <w:r w:rsidRPr="00961F99">
        <w:rPr>
          <w:rFonts w:asciiTheme="majorBidi" w:hAnsiTheme="majorBidi" w:cstheme="majorBidi"/>
        </w:rPr>
        <w:t>First-floor height determines how much floodwater reaches the occupied part of a building and is the single most consequential exposure parameter in the loss chain. It was derived from surveyed measurements rather than assumed. NFIP policy records include two Elevation Certificate quantities, the elevation of the lowest floor and the elevation of the lowest adjacent grade; their difference is the height of the reported lowest floor above local grade.</w:t>
      </w:r>
      <w:sdt>
        <w:sdtPr>
          <w:rPr>
            <w:rFonts w:asciiTheme="majorBidi" w:hAnsiTheme="majorBidi" w:cstheme="majorBidi"/>
          </w:rPr>
          <w:tag w:val="goog_rdk_0"/>
          <w:id w:val="1466852738"/>
          <w:showingPlcHdr/>
        </w:sdtPr>
        <w:sdtContent>
          <w:r w:rsidR="006A36D2" w:rsidRPr="00961F99">
            <w:rPr>
              <w:rFonts w:asciiTheme="majorBidi" w:hAnsiTheme="majorBidi" w:cstheme="majorBidi"/>
            </w:rPr>
            <w:t xml:space="preserve">     </w:t>
          </w:r>
        </w:sdtContent>
      </w:sdt>
    </w:p>
    <w:p w14:paraId="4F7D068E"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Strata were formed by county, occupancy class (residential or non-residential) and A/V/X flood-zone family. A stratum was used when it contained at least 100 measurements; </w:t>
      </w:r>
      <w:proofErr w:type="gramStart"/>
      <w:r w:rsidRPr="00961F99">
        <w:rPr>
          <w:rFonts w:asciiTheme="majorBidi" w:hAnsiTheme="majorBidi" w:cstheme="majorBidi"/>
        </w:rPr>
        <w:t>assignment</w:t>
      </w:r>
      <w:proofErr w:type="gramEnd"/>
      <w:r w:rsidRPr="00961F99">
        <w:rPr>
          <w:rFonts w:asciiTheme="majorBidi" w:hAnsiTheme="majorBidi" w:cstheme="majorBidi"/>
        </w:rPr>
        <w:t xml:space="preserve"> otherwise fell back to state by occupancy and zone family, then to state by occupancy, and finally to the national distribution. Under this hierarchy 37.1% of study buildings received a county-level estimate, 37.9% a state-by-zone-family estimate, 25.0% a state-level estimate and fewer than 0.1% a national estimate. The stratum median provides the central specification and the first and third quartiles define the low and high scenarios reported in Part D. The resulting assignment reproduces known construction patterns, with a mean first-floor height of 8.76 ft in V zones, where pile elevation above base flood elevation is required, against 2.17 ft in A zones and 1.37 ft in X zones. Representative strata are reported in Table S26.</w:t>
      </w:r>
    </w:p>
    <w:p w14:paraId="0A715666"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lastRenderedPageBreak/>
        <w:t xml:space="preserve">Elevation Certificates are held disproportionately by insured, post-FIRM properties in mapped flood zones, so the X-zone strata are thinner than the A- and V-zone strata and the surveyed population is not a random sample of the building stock. This selection is not corrected; it is declared, and its consequence is </w:t>
      </w:r>
      <w:proofErr w:type="gramStart"/>
      <w:r w:rsidRPr="00961F99">
        <w:rPr>
          <w:rFonts w:asciiTheme="majorBidi" w:hAnsiTheme="majorBidi" w:cstheme="majorBidi"/>
        </w:rPr>
        <w:t>bounded</w:t>
      </w:r>
      <w:proofErr w:type="gramEnd"/>
      <w:r w:rsidRPr="00961F99">
        <w:rPr>
          <w:rFonts w:asciiTheme="majorBidi" w:hAnsiTheme="majorBidi" w:cstheme="majorBidi"/>
        </w:rPr>
        <w:t xml:space="preserve"> by carrying the stratum quartiles through the sensitivity analysis, where they generate the widest range of any single specification choice.</w:t>
      </w:r>
    </w:p>
    <w:p w14:paraId="390C2E3E"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A7. Event-loss estimation</w:t>
      </w:r>
    </w:p>
    <w:p w14:paraId="2356DA4A"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Direct event loss was estimated separately for the pluvial, fluvial, coastal and combined hazard layers. Effective depth above the first floor is the modeled depth minus the assigned first-floor height, truncated </w:t>
      </w:r>
      <w:proofErr w:type="gramStart"/>
      <w:r w:rsidRPr="00961F99">
        <w:rPr>
          <w:rFonts w:asciiTheme="majorBidi" w:hAnsiTheme="majorBidi" w:cstheme="majorBidi"/>
        </w:rPr>
        <w:t>below at</w:t>
      </w:r>
      <w:proofErr w:type="gramEnd"/>
      <w:r w:rsidRPr="00961F99">
        <w:rPr>
          <w:rFonts w:asciiTheme="majorBidi" w:hAnsiTheme="majorBidi" w:cstheme="majorBidi"/>
        </w:rPr>
        <w:t xml:space="preserve"> zero and truncated above so that depth above the first floor does not exceed the available building height above that floor. Above-floor damage </w:t>
      </w:r>
      <w:proofErr w:type="gramStart"/>
      <w:r w:rsidRPr="00961F99">
        <w:rPr>
          <w:rFonts w:asciiTheme="majorBidi" w:hAnsiTheme="majorBidi" w:cstheme="majorBidi"/>
        </w:rPr>
        <w:t>applies</w:t>
      </w:r>
      <w:proofErr w:type="gramEnd"/>
      <w:r w:rsidRPr="00961F99">
        <w:rPr>
          <w:rFonts w:asciiTheme="majorBidi" w:hAnsiTheme="majorBidi" w:cstheme="majorBidi"/>
        </w:rPr>
        <w:t xml:space="preserve"> the </w:t>
      </w:r>
      <w:proofErr w:type="spellStart"/>
      <w:r w:rsidRPr="00961F99">
        <w:rPr>
          <w:rFonts w:asciiTheme="majorBidi" w:hAnsiTheme="majorBidi" w:cstheme="majorBidi"/>
        </w:rPr>
        <w:t>Hazus</w:t>
      </w:r>
      <w:proofErr w:type="spellEnd"/>
      <w:r w:rsidRPr="00961F99">
        <w:rPr>
          <w:rFonts w:asciiTheme="majorBidi" w:hAnsiTheme="majorBidi" w:cstheme="majorBidi"/>
        </w:rPr>
        <w:t xml:space="preserve">-family piecewise-linear curve associated with the building's prototype family, scaled by a prototype multiplier. Three curve families are used—for single-family residential, multi-family residential and commercial prototypes, with all non-residential prototypes mapped to the commercial family—and the multipliers range from 1.10 for single-family prototypes to 0.90 for industrial and warehouse prototypes. The curves are published in Table S27 and the prototype mapping and multipliers in Table S29. No global rescaling was applied to any damage </w:t>
      </w:r>
      <w:proofErr w:type="gramStart"/>
      <w:r w:rsidRPr="00961F99">
        <w:rPr>
          <w:rFonts w:asciiTheme="majorBidi" w:hAnsiTheme="majorBidi" w:cstheme="majorBidi"/>
        </w:rPr>
        <w:t>function</w:t>
      </w:r>
      <w:proofErr w:type="gramEnd"/>
      <w:r w:rsidRPr="00961F99">
        <w:rPr>
          <w:rFonts w:asciiTheme="majorBidi" w:hAnsiTheme="majorBidi" w:cstheme="majorBidi"/>
        </w:rPr>
        <w:t xml:space="preserve"> and no parameter was calibrated to reproduce an external loss total; the prototype multipliers are fixed structural constants of the damage model, not fitted quantities.</w:t>
      </w:r>
    </w:p>
    <w:p w14:paraId="56011396" w14:textId="166DA4D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Damage below the first floor is represented explicitly. The below-grade increment at a given water level is the difference between the Economic Guidance Memorandum 04-01 with-basement and without-basement structure functions evaluated at the same depth relative to the first floor, selected by </w:t>
      </w:r>
      <w:r w:rsidR="00673BD8" w:rsidRPr="00961F99">
        <w:rPr>
          <w:rFonts w:asciiTheme="majorBidi" w:hAnsiTheme="majorBidi" w:cstheme="majorBidi"/>
        </w:rPr>
        <w:t>story</w:t>
      </w:r>
      <w:r w:rsidRPr="00961F99">
        <w:rPr>
          <w:rFonts w:asciiTheme="majorBidi" w:hAnsiTheme="majorBidi" w:cstheme="majorBidi"/>
        </w:rPr>
        <w:t xml:space="preserve"> class, and is active only when the building is inundated. Because no national inventory records which individual buildings have basements, basement presence was assigned by a Bernoulli draw with a fixed seed of 12345 against a local prevalence: the observed share of basement-type foundation codes among NFIP records in the building's county-by-occupancy stratum where at least 100 records exist, falling back to the state stratum where at least 50 records exist, and then to the Census Survey of Construction basement share for the building's census division for residential buildings or a national non-residential share of 16.7%. Divisional prevalence ranges from 2% in the West </w:t>
      </w:r>
      <w:proofErr w:type="gramStart"/>
      <w:r w:rsidRPr="00961F99">
        <w:rPr>
          <w:rFonts w:asciiTheme="majorBidi" w:hAnsiTheme="majorBidi" w:cstheme="majorBidi"/>
        </w:rPr>
        <w:t>South Central</w:t>
      </w:r>
      <w:proofErr w:type="gramEnd"/>
      <w:r w:rsidRPr="00961F99">
        <w:rPr>
          <w:rFonts w:asciiTheme="majorBidi" w:hAnsiTheme="majorBidi" w:cstheme="majorBidi"/>
        </w:rPr>
        <w:t xml:space="preserve"> division to 64% in the West North Central division and is reported in Table S30. Under the central seed, 3,110,951 buildings (24.1%) carry a basement.</w:t>
      </w:r>
    </w:p>
    <w:p w14:paraId="02593F02"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Two properties of this pathway should be read together. It is quantitatively important: removing it entirely lowers combined expected annual loss from $25.67B to $15.22B, so it accounts for roughly two fifths of the national total, concentrated in the colder inland divisions where basements are prevalent and where exposed buildings are least often insured. It is also the pathway with the weakest observational support, because prevalence is inferred from the same Elevation Certificate population that is selected toward insured properties in mapped zones. Re-drawing the assignment under an alternative seed changes national expected annual loss </w:t>
      </w:r>
      <w:proofErr w:type="gramStart"/>
      <w:r w:rsidRPr="00961F99">
        <w:rPr>
          <w:rFonts w:asciiTheme="majorBidi" w:hAnsiTheme="majorBidi" w:cstheme="majorBidi"/>
        </w:rPr>
        <w:t>by</w:t>
      </w:r>
      <w:proofErr w:type="gramEnd"/>
      <w:r w:rsidRPr="00961F99">
        <w:rPr>
          <w:rFonts w:asciiTheme="majorBidi" w:hAnsiTheme="majorBidi" w:cstheme="majorBidi"/>
        </w:rPr>
        <w:t xml:space="preserve"> $0.006B and is reported in Part D for completeness, but that test bounds only the sampling variability of the draw and not the accuracy of the underlying prevalence. The exclusion row in Table S14 is the honest bound on this pathway.</w:t>
      </w:r>
    </w:p>
    <w:p w14:paraId="34D2D737"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Buildings with assigned first-floor heights of four feet or more additionally accrue damage to the enclosure, foundation and service equipment beneath the elevated floor. This component is set at one tenth of structure value and increases in proportion to the fraction of the grade-to-floor space filled by water. The total damage ratio is the sum of the above-floor, below-grade and enclosure components, bounded between zero and one, and direct event loss is that ratio multiplied by structure replacement value.</w:t>
      </w:r>
    </w:p>
    <w:p w14:paraId="17972842"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lastRenderedPageBreak/>
        <w:t>A8. Annualization, burden channels and tract-level metrics</w:t>
      </w:r>
    </w:p>
    <w:p w14:paraId="1CF03D34"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Expected annual loss was obtained by integrating the exceedance-loss curve. Because only four return periods are modeled, the depth sequence for each building and hazard was first constrained to be non-decreasing with event severity, then interpolated between the available layers in log-return-period space onto a 33-point grid spanning 5 to 500 years. Event losses were evaluated at each grid point and integrated over annual exceedance probability by the trapezoidal rule, with events rarer than the 500-year layer carried at the 500-year loss. The logarithmic transformation applies to the interpolation of depths between layers; the integration itself is trapezoidal in annual exceedance probability. Events more frequent than the 5-year layer are not represented in the hazard fields, which is conservative for regions whose losses concentrate </w:t>
      </w:r>
      <w:proofErr w:type="gramStart"/>
      <w:r w:rsidRPr="00961F99">
        <w:rPr>
          <w:rFonts w:asciiTheme="majorBidi" w:hAnsiTheme="majorBidi" w:cstheme="majorBidi"/>
        </w:rPr>
        <w:t>in</w:t>
      </w:r>
      <w:proofErr w:type="gramEnd"/>
      <w:r w:rsidRPr="00961F99">
        <w:rPr>
          <w:rFonts w:asciiTheme="majorBidi" w:hAnsiTheme="majorBidi" w:cstheme="majorBidi"/>
        </w:rPr>
        <w:t xml:space="preserve"> frequent, low-severity flooding.</w:t>
      </w:r>
    </w:p>
    <w:p w14:paraId="4768A378"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Expected covered payout applies a representative per-event deductible of $1,500 to each event loss and caps the remainder at reconstructed building coverage, annualized on the same grid and by the same rule. The deductible is a single global constant: NFIP minimum deductibles range from approximately $1,000 to $2,000 and optional deductibles reach $10,000, so the value used is at the low end of the observed range and the resulting payout estimate is correspondingly generous to the insured channel. Section D3 reports the sensitivity of every channel to this choice across the full observed range.</w:t>
      </w:r>
    </w:p>
    <w:p w14:paraId="1454198C"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Building-level public shortfall is expected annual loss minus expected covered </w:t>
      </w:r>
      <w:proofErr w:type="gramStart"/>
      <w:r w:rsidRPr="00961F99">
        <w:rPr>
          <w:rFonts w:asciiTheme="majorBidi" w:hAnsiTheme="majorBidi" w:cstheme="majorBidi"/>
        </w:rPr>
        <w:t>payout, and</w:t>
      </w:r>
      <w:proofErr w:type="gramEnd"/>
      <w:r w:rsidRPr="00961F99">
        <w:rPr>
          <w:rFonts w:asciiTheme="majorBidi" w:hAnsiTheme="majorBidi" w:cstheme="majorBidi"/>
        </w:rPr>
        <w:t xml:space="preserve"> therefore contains three distinct components: loss on buildings holding no coverage at all, the portion of an insured loss absorbed by the deductible, and the portion of an insured loss exceeding available coverage. These are separated in Section D4, which addresses coverage adequacy directly rather than through a premium comparison.</w:t>
      </w:r>
    </w:p>
    <w:p w14:paraId="7964D95C" w14:textId="36CEB980" w:rsidR="00B57608" w:rsidRPr="00961F99" w:rsidRDefault="00C30397" w:rsidP="00757EC6">
      <w:pPr>
        <w:jc w:val="both"/>
        <w:rPr>
          <w:rFonts w:asciiTheme="majorBidi" w:hAnsiTheme="majorBidi" w:cstheme="majorBidi"/>
        </w:rPr>
      </w:pPr>
      <w:r w:rsidRPr="00961F99">
        <w:rPr>
          <w:rFonts w:asciiTheme="majorBidi" w:hAnsiTheme="majorBidi" w:cstheme="majorBidi"/>
        </w:rPr>
        <w:t>The premium base was adjusted toward the building-only scope of the modeled payouts.</w:t>
      </w:r>
      <w:r w:rsidR="003B27C7" w:rsidRPr="00961F99">
        <w:rPr>
          <w:rFonts w:asciiTheme="majorBidi" w:hAnsiTheme="majorBidi" w:cstheme="majorBidi"/>
        </w:rPr>
        <w:t xml:space="preserve"> Because the modeled payouts are building-coverage payouts, while written policy cost contains components associated with both building and contents coverage as well as federal fees and surcharges, the allocated policy cost of each building was multiplied by two state-level ratios: the share of written policy cost constituting insurance premium, 0.8174 nationally, and the building share of combined building-and-contents coverage, 0.8100 nationally. Their product places the building-coverage risk-premium base at 66.2% of written policy cost, or $2.99 billion per year against $4.53 billion of allocated policy cost. State-level ratios are reported in Table S32. Two features of this construction should be stated. The building share is a coverage-weighted ratio applied to premium, which assumes that building and contents premium are proportional to their respective coverage amounts within a state; the policy files do not report the split directly. The resulting base is not a pure actuarial risk premium because expense, underwriting and increased-cost-of-compliance components cannot be separated from the available fields. To the extent that such components remain in the base, the NFIP shortfall estimated against it is conservative.</w:t>
      </w:r>
    </w:p>
    <w:p w14:paraId="2CF3A5E5"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Building-level NFIP shortfall is the positive part of expected covered payout minus this allocated risk-premium base. Because it takes only positive gaps, it does not net premium surpluses on one building against deficits on another; the corresponding net quantity, aggregate expected payout minus the aggregate risk-premium base, is reported alongside it in Part C. Expected annual loss decomposes exactly into public shortfall, NFIP shortfall and premium-funded payout, and the identity was verified numerically at building scale.</w:t>
      </w:r>
    </w:p>
    <w:p w14:paraId="1A300541"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Building-level quantities were then summed within census tracts. Tract-level public loss absorption is tract public shortfall divided by tract expected annual loss. Tract-level premium-deficit pressure is tract NFIP </w:t>
      </w:r>
      <w:r w:rsidRPr="00961F99">
        <w:rPr>
          <w:rFonts w:asciiTheme="majorBidi" w:hAnsiTheme="majorBidi" w:cstheme="majorBidi"/>
        </w:rPr>
        <w:lastRenderedPageBreak/>
        <w:t xml:space="preserve">shortfall divided by the tract's allocated written policy cost, and total shortfall burden is the sum of the two shortfall channels. The premium-deficit denominator is allocated written policy cost rather than the building-coverage risk-premium base, so the ratio expresses NFIP shortfall against the premium volume </w:t>
      </w:r>
      <w:proofErr w:type="gramStart"/>
      <w:r w:rsidRPr="00961F99">
        <w:rPr>
          <w:rFonts w:asciiTheme="majorBidi" w:hAnsiTheme="majorBidi" w:cstheme="majorBidi"/>
        </w:rPr>
        <w:t>actually collected</w:t>
      </w:r>
      <w:proofErr w:type="gramEnd"/>
      <w:r w:rsidRPr="00961F99">
        <w:rPr>
          <w:rFonts w:asciiTheme="majorBidi" w:hAnsiTheme="majorBidi" w:cstheme="majorBidi"/>
        </w:rPr>
        <w:t xml:space="preserve"> locally. It should be read as a relative indicator of pressure across tracts, not as a break-even threshold, an actuarial loss ratio or a measure of program liability, and it is not on the same basis as the building-level shortfall numerator. The denominator includes premium allocated to buildings with zero combined-hazard expected annual loss, which </w:t>
      </w:r>
      <w:proofErr w:type="gramStart"/>
      <w:r w:rsidRPr="00961F99">
        <w:rPr>
          <w:rFonts w:asciiTheme="majorBidi" w:hAnsiTheme="majorBidi" w:cstheme="majorBidi"/>
        </w:rPr>
        <w:t>remain</w:t>
      </w:r>
      <w:proofErr w:type="gramEnd"/>
      <w:r w:rsidRPr="00961F99">
        <w:rPr>
          <w:rFonts w:asciiTheme="majorBidi" w:hAnsiTheme="majorBidi" w:cstheme="majorBidi"/>
        </w:rPr>
        <w:t xml:space="preserve"> part of the local premium base even though they contribute no modeled payout.</w:t>
      </w:r>
    </w:p>
    <w:p w14:paraId="3F4657E5" w14:textId="06632ABA"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Tract-level burden regimes were identified with a four-component Gaussian mixture model on three variables: public loss absorption, the logarithm of one plus premium-deficit pressure, and the logarithm of one plus total shortfall burden. Premium-deficit pressure and total shortfall burden were capped at their 99th percentiles before transformation, and the three variables were </w:t>
      </w:r>
      <w:r w:rsidR="00673BD8" w:rsidRPr="00961F99">
        <w:rPr>
          <w:rFonts w:asciiTheme="majorBidi" w:hAnsiTheme="majorBidi" w:cstheme="majorBidi"/>
        </w:rPr>
        <w:t>centered</w:t>
      </w:r>
      <w:r w:rsidRPr="00961F99">
        <w:rPr>
          <w:rFonts w:asciiTheme="majorBidi" w:hAnsiTheme="majorBidi" w:cstheme="majorBidi"/>
        </w:rPr>
        <w:t xml:space="preserve"> on their medians and scaled by the difference between their 90th and 10th percentiles. The model used full covariance matrices, three initializations, a maximum of 150 iterations, covariance regularization of 10⁻⁶ and a random seed of </w:t>
      </w:r>
      <w:proofErr w:type="gramStart"/>
      <w:r w:rsidRPr="00961F99">
        <w:rPr>
          <w:rFonts w:asciiTheme="majorBidi" w:hAnsiTheme="majorBidi" w:cstheme="majorBidi"/>
        </w:rPr>
        <w:t>42, and</w:t>
      </w:r>
      <w:proofErr w:type="gramEnd"/>
      <w:r w:rsidRPr="00961F99">
        <w:rPr>
          <w:rFonts w:asciiTheme="majorBidi" w:hAnsiTheme="majorBidi" w:cstheme="majorBidi"/>
        </w:rPr>
        <w:t xml:space="preserve"> was fitted to a random sample of 20,000 valid tracts before predicting membership for all 74,240 classified tracts. Components were labelled from their empirical composition rather than by assumption, and neither hazard type nor geographic location entered the classification, so the hazard composition and spatial distribution of each regime are independent properties of the fitted components. Model-selection diagnostics across two to six components are reported in Table S31 and Figure S8.</w:t>
      </w:r>
    </w:p>
    <w:p w14:paraId="08A6B866"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A9. Quality control and implementation checks</w:t>
      </w:r>
    </w:p>
    <w:p w14:paraId="7EFCCA1D"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Four checks were run on every execution of the workflow. The depth-unit assertion confirms that the maximum modeled 500-year depth across the three hazard layers equals 32.808 ft, guarding against a unit substitution that would change losses by roughly an order of magnitude. The accounting-identity check confirms that expected annual loss equals expected covered payout plus public shortfall at building scale, with a maximum residual of $0.000000 per building. The aggregation check confirms that tract-level expected annual loss summed over all tracts reproduces the building-level national total to the reported precision. The allocation-capacity check confirms that no building holds coverage exceeding 1.10 times its replacement value and that no building holds more policies than its prototype-specific cap permits. The processing audit in Table S10 records the resulting counts and the column provenance used at each stage.</w:t>
      </w:r>
    </w:p>
    <w:p w14:paraId="42E2A90E" w14:textId="77777777" w:rsidR="00B57608" w:rsidRPr="00961F99" w:rsidRDefault="003B27C7" w:rsidP="00757EC6">
      <w:pPr>
        <w:pStyle w:val="Heading1"/>
        <w:spacing w:before="280" w:after="80"/>
        <w:jc w:val="both"/>
        <w:rPr>
          <w:rFonts w:asciiTheme="majorBidi" w:eastAsia="Times New Roman" w:hAnsiTheme="majorBidi" w:cstheme="majorBidi"/>
        </w:rPr>
      </w:pPr>
      <w:r w:rsidRPr="00961F99">
        <w:rPr>
          <w:rFonts w:asciiTheme="majorBidi" w:eastAsia="Times New Roman" w:hAnsiTheme="majorBidi" w:cstheme="majorBidi"/>
        </w:rPr>
        <w:t>Part B. Supplementary Results</w:t>
      </w:r>
    </w:p>
    <w:p w14:paraId="0C7C54EE"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B1. National burden accounting</w:t>
      </w:r>
    </w:p>
    <w:p w14:paraId="18D2F5F2"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Table S1 reports </w:t>
      </w:r>
      <w:proofErr w:type="gramStart"/>
      <w:r w:rsidRPr="00961F99">
        <w:rPr>
          <w:rFonts w:asciiTheme="majorBidi" w:hAnsiTheme="majorBidi" w:cstheme="majorBidi"/>
        </w:rPr>
        <w:t>the national</w:t>
      </w:r>
      <w:proofErr w:type="gramEnd"/>
      <w:r w:rsidRPr="00961F99">
        <w:rPr>
          <w:rFonts w:asciiTheme="majorBidi" w:hAnsiTheme="majorBidi" w:cstheme="majorBidi"/>
        </w:rPr>
        <w:t xml:space="preserve"> accounting by hazard layer and Table S2 the corresponding insurance-pathway metrics. The two should be read together. Pluvial flooding accounts for the largest share of national expected annual loss but the smallest share of participation, so its loss resolves overwhelmingly into public shortfall. The coastal layer inverts this: it carries the highest participation of any hazard and by far the highest ratio of NFIP shortfall to expected annual loss. Fluvial flooding sits between the </w:t>
      </w:r>
      <w:proofErr w:type="gramStart"/>
      <w:r w:rsidRPr="00961F99">
        <w:rPr>
          <w:rFonts w:asciiTheme="majorBidi" w:hAnsiTheme="majorBidi" w:cstheme="majorBidi"/>
        </w:rPr>
        <w:t>two on</w:t>
      </w:r>
      <w:proofErr w:type="gramEnd"/>
      <w:r w:rsidRPr="00961F99">
        <w:rPr>
          <w:rFonts w:asciiTheme="majorBidi" w:hAnsiTheme="majorBidi" w:cstheme="majorBidi"/>
        </w:rPr>
        <w:t xml:space="preserve"> participation but resembles pluvial flooding in its channel split.</w:t>
      </w:r>
    </w:p>
    <w:p w14:paraId="70320354" w14:textId="64E8033E"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lastRenderedPageBreak/>
        <w:t xml:space="preserve">Supplementary Table S1 | </w:t>
      </w:r>
      <w:r w:rsidRPr="00961F99">
        <w:rPr>
          <w:rFonts w:asciiTheme="majorBidi" w:hAnsiTheme="majorBidi" w:cstheme="majorBidi"/>
          <w:sz w:val="19"/>
          <w:szCs w:val="19"/>
        </w:rPr>
        <w:t>Aggregate national burden by hazard layer, in USD billions per year. Percentages in parentheses express each shortfall channel as a share of expected annual loss for the same hazard. The combined layer uses the maximum hazard-specific depth at each return period and is not the sum of the hazard-specific rows. NFIP shortfall is the sum of positive building-level gaps between expected covered payout and the allocated building-coverage risk premium and is therefore not equal to aggregate payout minus aggregate premium; the corresponding net quantity is reported in Section C</w:t>
      </w:r>
      <w:r w:rsidR="00C30397" w:rsidRPr="00961F99">
        <w:rPr>
          <w:rFonts w:asciiTheme="majorBidi" w:hAnsiTheme="majorBidi" w:cstheme="majorBidi"/>
          <w:sz w:val="19"/>
          <w:szCs w:val="19"/>
        </w:rPr>
        <w:t>2</w:t>
      </w:r>
      <w:r w:rsidRPr="00961F99">
        <w:rPr>
          <w:rFonts w:asciiTheme="majorBidi" w:hAnsiTheme="majorBidi" w:cstheme="majorBidi"/>
          <w:sz w:val="19"/>
          <w:szCs w:val="19"/>
        </w:rPr>
        <w:t>.</w:t>
      </w:r>
    </w:p>
    <w:tbl>
      <w:tblPr>
        <w:tblStyle w:val="a"/>
        <w:tblW w:w="93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5"/>
        <w:gridCol w:w="1930"/>
        <w:gridCol w:w="1930"/>
        <w:gridCol w:w="1930"/>
        <w:gridCol w:w="1930"/>
      </w:tblGrid>
      <w:tr w:rsidR="00B57608" w:rsidRPr="00961F99" w14:paraId="04DBF459" w14:textId="77777777" w:rsidTr="00376A59">
        <w:trPr>
          <w:tblHeader/>
          <w:jc w:val="center"/>
        </w:trPr>
        <w:tc>
          <w:tcPr>
            <w:tcW w:w="1665" w:type="dxa"/>
          </w:tcPr>
          <w:p w14:paraId="49B6931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Hazard</w:t>
            </w:r>
          </w:p>
        </w:tc>
        <w:tc>
          <w:tcPr>
            <w:tcW w:w="1930" w:type="dxa"/>
          </w:tcPr>
          <w:p w14:paraId="7C36CB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EAL ($B yr-1)</w:t>
            </w:r>
          </w:p>
        </w:tc>
        <w:tc>
          <w:tcPr>
            <w:tcW w:w="1930" w:type="dxa"/>
          </w:tcPr>
          <w:p w14:paraId="5D26F3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Expected insurer payout ($B yr-1)</w:t>
            </w:r>
          </w:p>
        </w:tc>
        <w:tc>
          <w:tcPr>
            <w:tcW w:w="1930" w:type="dxa"/>
          </w:tcPr>
          <w:p w14:paraId="3A4B28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Public shortfall ($B yr-1; % of EAL)</w:t>
            </w:r>
          </w:p>
        </w:tc>
        <w:tc>
          <w:tcPr>
            <w:tcW w:w="1930" w:type="dxa"/>
          </w:tcPr>
          <w:p w14:paraId="705841A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NFIP shortfall ($B yr-1; % of EAL)</w:t>
            </w:r>
          </w:p>
        </w:tc>
      </w:tr>
      <w:tr w:rsidR="00B57608" w:rsidRPr="00961F99" w14:paraId="16BAA1D2" w14:textId="77777777" w:rsidTr="00376A59">
        <w:trPr>
          <w:jc w:val="center"/>
        </w:trPr>
        <w:tc>
          <w:tcPr>
            <w:tcW w:w="1665" w:type="dxa"/>
          </w:tcPr>
          <w:p w14:paraId="0539A8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Pluvial</w:t>
            </w:r>
          </w:p>
        </w:tc>
        <w:tc>
          <w:tcPr>
            <w:tcW w:w="1930" w:type="dxa"/>
          </w:tcPr>
          <w:p w14:paraId="100FF8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17.11</w:t>
            </w:r>
          </w:p>
        </w:tc>
        <w:tc>
          <w:tcPr>
            <w:tcW w:w="1930" w:type="dxa"/>
          </w:tcPr>
          <w:p w14:paraId="4FB98A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2.26</w:t>
            </w:r>
          </w:p>
        </w:tc>
        <w:tc>
          <w:tcPr>
            <w:tcW w:w="1930" w:type="dxa"/>
          </w:tcPr>
          <w:p w14:paraId="1C07AB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14.84 (86.8%)</w:t>
            </w:r>
          </w:p>
        </w:tc>
        <w:tc>
          <w:tcPr>
            <w:tcW w:w="1930" w:type="dxa"/>
          </w:tcPr>
          <w:p w14:paraId="6D41F75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1.87 (10.9%)</w:t>
            </w:r>
          </w:p>
        </w:tc>
      </w:tr>
      <w:tr w:rsidR="00B57608" w:rsidRPr="00961F99" w14:paraId="50A8E854" w14:textId="77777777" w:rsidTr="00376A59">
        <w:trPr>
          <w:jc w:val="center"/>
        </w:trPr>
        <w:tc>
          <w:tcPr>
            <w:tcW w:w="1665" w:type="dxa"/>
          </w:tcPr>
          <w:p w14:paraId="10DEA7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Fluvial</w:t>
            </w:r>
          </w:p>
        </w:tc>
        <w:tc>
          <w:tcPr>
            <w:tcW w:w="1930" w:type="dxa"/>
          </w:tcPr>
          <w:p w14:paraId="48C3BB7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5.32</w:t>
            </w:r>
          </w:p>
        </w:tc>
        <w:tc>
          <w:tcPr>
            <w:tcW w:w="1930" w:type="dxa"/>
          </w:tcPr>
          <w:p w14:paraId="17FB7CF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0.78</w:t>
            </w:r>
          </w:p>
        </w:tc>
        <w:tc>
          <w:tcPr>
            <w:tcW w:w="1930" w:type="dxa"/>
          </w:tcPr>
          <w:p w14:paraId="25F5636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4.53 (85.3%)</w:t>
            </w:r>
          </w:p>
        </w:tc>
        <w:tc>
          <w:tcPr>
            <w:tcW w:w="1930" w:type="dxa"/>
          </w:tcPr>
          <w:p w14:paraId="51F21F5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0.60 (11.3%)</w:t>
            </w:r>
          </w:p>
        </w:tc>
      </w:tr>
      <w:tr w:rsidR="00B57608" w:rsidRPr="00961F99" w14:paraId="3A9C2956" w14:textId="77777777" w:rsidTr="00376A59">
        <w:trPr>
          <w:jc w:val="center"/>
        </w:trPr>
        <w:tc>
          <w:tcPr>
            <w:tcW w:w="1665" w:type="dxa"/>
          </w:tcPr>
          <w:p w14:paraId="7AE5C0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Coastal</w:t>
            </w:r>
          </w:p>
        </w:tc>
        <w:tc>
          <w:tcPr>
            <w:tcW w:w="1930" w:type="dxa"/>
          </w:tcPr>
          <w:p w14:paraId="5B0EFF0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3.88</w:t>
            </w:r>
          </w:p>
        </w:tc>
        <w:tc>
          <w:tcPr>
            <w:tcW w:w="1930" w:type="dxa"/>
          </w:tcPr>
          <w:p w14:paraId="695A53B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1.94</w:t>
            </w:r>
          </w:p>
        </w:tc>
        <w:tc>
          <w:tcPr>
            <w:tcW w:w="1930" w:type="dxa"/>
          </w:tcPr>
          <w:p w14:paraId="494B22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1.94 (50.0%)</w:t>
            </w:r>
          </w:p>
        </w:tc>
        <w:tc>
          <w:tcPr>
            <w:tcW w:w="1930" w:type="dxa"/>
          </w:tcPr>
          <w:p w14:paraId="62859B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1.24 (32.1%)</w:t>
            </w:r>
          </w:p>
        </w:tc>
      </w:tr>
      <w:tr w:rsidR="00B57608" w:rsidRPr="00961F99" w14:paraId="58DBB522" w14:textId="77777777" w:rsidTr="00376A59">
        <w:trPr>
          <w:jc w:val="center"/>
        </w:trPr>
        <w:tc>
          <w:tcPr>
            <w:tcW w:w="1665" w:type="dxa"/>
          </w:tcPr>
          <w:p w14:paraId="13EA898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Combined</w:t>
            </w:r>
          </w:p>
        </w:tc>
        <w:tc>
          <w:tcPr>
            <w:tcW w:w="1930" w:type="dxa"/>
          </w:tcPr>
          <w:p w14:paraId="27A9FB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25.67</w:t>
            </w:r>
          </w:p>
        </w:tc>
        <w:tc>
          <w:tcPr>
            <w:tcW w:w="1930" w:type="dxa"/>
          </w:tcPr>
          <w:p w14:paraId="3F2AA4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w:t>
            </w:r>
          </w:p>
        </w:tc>
        <w:tc>
          <w:tcPr>
            <w:tcW w:w="1930" w:type="dxa"/>
          </w:tcPr>
          <w:p w14:paraId="61EB0B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20.87 (81.3%)</w:t>
            </w:r>
          </w:p>
        </w:tc>
        <w:tc>
          <w:tcPr>
            <w:tcW w:w="1930" w:type="dxa"/>
          </w:tcPr>
          <w:p w14:paraId="112523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3.59 (14.0%)</w:t>
            </w:r>
          </w:p>
        </w:tc>
      </w:tr>
    </w:tbl>
    <w:p w14:paraId="7FC0B9A1" w14:textId="77777777" w:rsidR="00B57608" w:rsidRPr="00961F99" w:rsidRDefault="00B57608" w:rsidP="00757EC6">
      <w:pPr>
        <w:spacing w:after="40"/>
        <w:jc w:val="both"/>
        <w:rPr>
          <w:rFonts w:asciiTheme="majorBidi" w:hAnsiTheme="majorBidi" w:cstheme="majorBidi"/>
        </w:rPr>
      </w:pPr>
    </w:p>
    <w:p w14:paraId="1F9E655A"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Supplementary Table S2 | Hazard-specific insurance-pathway metrics.</w:t>
      </w:r>
      <w:r w:rsidRPr="00961F99">
        <w:rPr>
          <w:rFonts w:asciiTheme="majorBidi" w:hAnsiTheme="majorBidi" w:cstheme="majorBidi"/>
          <w:sz w:val="19"/>
          <w:szCs w:val="19"/>
        </w:rPr>
        <w:t xml:space="preserve"> Exposed buildings are those with positive expected annual loss for the given hazard layer; insured exposed buildings are exposed buildings carrying at least one reconstructed NFIP policy. The uncovered-loss share among insured buildings is computed over insured exposed buildings only and measures residual loss beyond available reconstructed coverage; it is decomposed into its deductible and coverage-limit components in Section D4. The outside-SFHA share reports the portion of public shortfall located outside SFHA-like zones, separated into mapped and unmapped components in Tables S22 and S21.</w:t>
      </w:r>
    </w:p>
    <w:tbl>
      <w:tblPr>
        <w:tblStyle w:val="a0"/>
        <w:tblW w:w="92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3"/>
        <w:gridCol w:w="1608"/>
        <w:gridCol w:w="1608"/>
        <w:gridCol w:w="1608"/>
        <w:gridCol w:w="1608"/>
        <w:gridCol w:w="1608"/>
      </w:tblGrid>
      <w:tr w:rsidR="00B57608" w:rsidRPr="00961F99" w14:paraId="4AF7510E" w14:textId="77777777" w:rsidTr="00376A59">
        <w:trPr>
          <w:tblHeader/>
          <w:jc w:val="center"/>
        </w:trPr>
        <w:tc>
          <w:tcPr>
            <w:tcW w:w="1253" w:type="dxa"/>
          </w:tcPr>
          <w:p w14:paraId="1AA2FD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Hazard</w:t>
            </w:r>
          </w:p>
        </w:tc>
        <w:tc>
          <w:tcPr>
            <w:tcW w:w="1608" w:type="dxa"/>
          </w:tcPr>
          <w:p w14:paraId="79F4F4F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Exposed buildings</w:t>
            </w:r>
          </w:p>
        </w:tc>
        <w:tc>
          <w:tcPr>
            <w:tcW w:w="1608" w:type="dxa"/>
          </w:tcPr>
          <w:p w14:paraId="4567AA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Insured exposed buildings</w:t>
            </w:r>
          </w:p>
        </w:tc>
        <w:tc>
          <w:tcPr>
            <w:tcW w:w="1608" w:type="dxa"/>
          </w:tcPr>
          <w:p w14:paraId="35024F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Insured share of exposed</w:t>
            </w:r>
          </w:p>
        </w:tc>
        <w:tc>
          <w:tcPr>
            <w:tcW w:w="1608" w:type="dxa"/>
          </w:tcPr>
          <w:p w14:paraId="34ACC530" w14:textId="77777777" w:rsidR="00B57608" w:rsidRPr="00961F99" w:rsidRDefault="003B27C7" w:rsidP="00757EC6">
            <w:pPr>
              <w:spacing w:after="20"/>
              <w:jc w:val="both"/>
              <w:rPr>
                <w:rFonts w:asciiTheme="majorBidi" w:hAnsiTheme="majorBidi" w:cstheme="majorBidi"/>
              </w:rPr>
            </w:pPr>
            <w:proofErr w:type="gramStart"/>
            <w:r w:rsidRPr="00961F99">
              <w:rPr>
                <w:rFonts w:asciiTheme="majorBidi" w:hAnsiTheme="majorBidi" w:cstheme="majorBidi"/>
                <w:b/>
                <w:bCs/>
                <w:sz w:val="16"/>
                <w:szCs w:val="16"/>
              </w:rPr>
              <w:t>Uncovered-loss</w:t>
            </w:r>
            <w:proofErr w:type="gramEnd"/>
            <w:r w:rsidRPr="00961F99">
              <w:rPr>
                <w:rFonts w:asciiTheme="majorBidi" w:hAnsiTheme="majorBidi" w:cstheme="majorBidi"/>
                <w:b/>
                <w:bCs/>
                <w:sz w:val="16"/>
                <w:szCs w:val="16"/>
              </w:rPr>
              <w:t xml:space="preserve"> share among insured</w:t>
            </w:r>
          </w:p>
        </w:tc>
        <w:tc>
          <w:tcPr>
            <w:tcW w:w="1608" w:type="dxa"/>
          </w:tcPr>
          <w:p w14:paraId="631580B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Outside-SFHA share of public shortfall</w:t>
            </w:r>
          </w:p>
        </w:tc>
      </w:tr>
      <w:tr w:rsidR="00B57608" w:rsidRPr="00961F99" w14:paraId="62A29F79" w14:textId="77777777" w:rsidTr="00376A59">
        <w:trPr>
          <w:jc w:val="center"/>
        </w:trPr>
        <w:tc>
          <w:tcPr>
            <w:tcW w:w="1253" w:type="dxa"/>
          </w:tcPr>
          <w:p w14:paraId="0CED73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Pluvial</w:t>
            </w:r>
          </w:p>
        </w:tc>
        <w:tc>
          <w:tcPr>
            <w:tcW w:w="1608" w:type="dxa"/>
          </w:tcPr>
          <w:p w14:paraId="0C8276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4,890,253</w:t>
            </w:r>
          </w:p>
        </w:tc>
        <w:tc>
          <w:tcPr>
            <w:tcW w:w="1608" w:type="dxa"/>
          </w:tcPr>
          <w:p w14:paraId="0403DD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767,661</w:t>
            </w:r>
          </w:p>
        </w:tc>
        <w:tc>
          <w:tcPr>
            <w:tcW w:w="1608" w:type="dxa"/>
          </w:tcPr>
          <w:p w14:paraId="236399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15.7%</w:t>
            </w:r>
          </w:p>
        </w:tc>
        <w:tc>
          <w:tcPr>
            <w:tcW w:w="1608" w:type="dxa"/>
          </w:tcPr>
          <w:p w14:paraId="3EF7C25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17.6%</w:t>
            </w:r>
          </w:p>
        </w:tc>
        <w:tc>
          <w:tcPr>
            <w:tcW w:w="1608" w:type="dxa"/>
          </w:tcPr>
          <w:p w14:paraId="41E754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78.4%</w:t>
            </w:r>
          </w:p>
        </w:tc>
      </w:tr>
      <w:tr w:rsidR="00B57608" w:rsidRPr="00961F99" w14:paraId="0ED7E72E" w14:textId="77777777" w:rsidTr="00376A59">
        <w:trPr>
          <w:jc w:val="center"/>
        </w:trPr>
        <w:tc>
          <w:tcPr>
            <w:tcW w:w="1253" w:type="dxa"/>
          </w:tcPr>
          <w:p w14:paraId="13CCDC6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Fluvial</w:t>
            </w:r>
          </w:p>
        </w:tc>
        <w:tc>
          <w:tcPr>
            <w:tcW w:w="1608" w:type="dxa"/>
          </w:tcPr>
          <w:p w14:paraId="352FD6B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1,472,944</w:t>
            </w:r>
          </w:p>
        </w:tc>
        <w:tc>
          <w:tcPr>
            <w:tcW w:w="1608" w:type="dxa"/>
          </w:tcPr>
          <w:p w14:paraId="074C59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294,086</w:t>
            </w:r>
          </w:p>
        </w:tc>
        <w:tc>
          <w:tcPr>
            <w:tcW w:w="1608" w:type="dxa"/>
          </w:tcPr>
          <w:p w14:paraId="172015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20.0%</w:t>
            </w:r>
          </w:p>
        </w:tc>
        <w:tc>
          <w:tcPr>
            <w:tcW w:w="1608" w:type="dxa"/>
          </w:tcPr>
          <w:p w14:paraId="44EC75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33.4%</w:t>
            </w:r>
          </w:p>
        </w:tc>
        <w:tc>
          <w:tcPr>
            <w:tcW w:w="1608" w:type="dxa"/>
          </w:tcPr>
          <w:p w14:paraId="3E77A3E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59.0%</w:t>
            </w:r>
          </w:p>
        </w:tc>
      </w:tr>
      <w:tr w:rsidR="00B57608" w:rsidRPr="00961F99" w14:paraId="5CADE45C" w14:textId="77777777" w:rsidTr="00376A59">
        <w:trPr>
          <w:jc w:val="center"/>
        </w:trPr>
        <w:tc>
          <w:tcPr>
            <w:tcW w:w="1253" w:type="dxa"/>
          </w:tcPr>
          <w:p w14:paraId="0BCC98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Coastal</w:t>
            </w:r>
          </w:p>
        </w:tc>
        <w:tc>
          <w:tcPr>
            <w:tcW w:w="1608" w:type="dxa"/>
          </w:tcPr>
          <w:p w14:paraId="430D74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1,624,810</w:t>
            </w:r>
          </w:p>
        </w:tc>
        <w:tc>
          <w:tcPr>
            <w:tcW w:w="1608" w:type="dxa"/>
          </w:tcPr>
          <w:p w14:paraId="76491E1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958,021</w:t>
            </w:r>
          </w:p>
        </w:tc>
        <w:tc>
          <w:tcPr>
            <w:tcW w:w="1608" w:type="dxa"/>
          </w:tcPr>
          <w:p w14:paraId="6E1385E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59.0%</w:t>
            </w:r>
          </w:p>
        </w:tc>
        <w:tc>
          <w:tcPr>
            <w:tcW w:w="1608" w:type="dxa"/>
          </w:tcPr>
          <w:p w14:paraId="7E0603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22.1%</w:t>
            </w:r>
          </w:p>
        </w:tc>
        <w:tc>
          <w:tcPr>
            <w:tcW w:w="1608" w:type="dxa"/>
          </w:tcPr>
          <w:p w14:paraId="47B3ED9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35.8%</w:t>
            </w:r>
          </w:p>
        </w:tc>
      </w:tr>
      <w:tr w:rsidR="00B57608" w:rsidRPr="00961F99" w14:paraId="01D6E2B6" w14:textId="77777777" w:rsidTr="00376A59">
        <w:trPr>
          <w:jc w:val="center"/>
        </w:trPr>
        <w:tc>
          <w:tcPr>
            <w:tcW w:w="1253" w:type="dxa"/>
          </w:tcPr>
          <w:p w14:paraId="161E93F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Combined</w:t>
            </w:r>
          </w:p>
        </w:tc>
        <w:tc>
          <w:tcPr>
            <w:tcW w:w="1608" w:type="dxa"/>
          </w:tcPr>
          <w:p w14:paraId="2E1F05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7,506,151</w:t>
            </w:r>
          </w:p>
        </w:tc>
        <w:tc>
          <w:tcPr>
            <w:tcW w:w="1608" w:type="dxa"/>
          </w:tcPr>
          <w:p w14:paraId="772213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1,866,757</w:t>
            </w:r>
          </w:p>
        </w:tc>
        <w:tc>
          <w:tcPr>
            <w:tcW w:w="1608" w:type="dxa"/>
          </w:tcPr>
          <w:p w14:paraId="7156E5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24.9%</w:t>
            </w:r>
          </w:p>
        </w:tc>
        <w:tc>
          <w:tcPr>
            <w:tcW w:w="1608" w:type="dxa"/>
          </w:tcPr>
          <w:p w14:paraId="2DB1D7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22.5%</w:t>
            </w:r>
          </w:p>
        </w:tc>
        <w:tc>
          <w:tcPr>
            <w:tcW w:w="1608" w:type="dxa"/>
          </w:tcPr>
          <w:p w14:paraId="1AB08B2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70.9%</w:t>
            </w:r>
          </w:p>
        </w:tc>
      </w:tr>
    </w:tbl>
    <w:p w14:paraId="2BC4128C" w14:textId="77777777" w:rsidR="00B57608" w:rsidRPr="00961F99" w:rsidRDefault="00B57608" w:rsidP="00757EC6">
      <w:pPr>
        <w:spacing w:after="40"/>
        <w:jc w:val="both"/>
        <w:rPr>
          <w:rFonts w:asciiTheme="majorBidi" w:hAnsiTheme="majorBidi" w:cstheme="majorBidi"/>
        </w:rPr>
      </w:pPr>
    </w:p>
    <w:p w14:paraId="1C0841B5"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B2. State-level concentration and hazard composition</w:t>
      </w:r>
    </w:p>
    <w:p w14:paraId="03CD73C1"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Expected annual loss is spatially concentrated, and the states carrying the largest totals are not those a coastal-</w:t>
      </w:r>
      <w:proofErr w:type="spellStart"/>
      <w:r w:rsidRPr="00961F99">
        <w:rPr>
          <w:rFonts w:asciiTheme="majorBidi" w:hAnsiTheme="majorBidi" w:cstheme="majorBidi"/>
        </w:rPr>
        <w:t>centred</w:t>
      </w:r>
      <w:proofErr w:type="spellEnd"/>
      <w:r w:rsidRPr="00961F99">
        <w:rPr>
          <w:rFonts w:asciiTheme="majorBidi" w:hAnsiTheme="majorBidi" w:cstheme="majorBidi"/>
        </w:rPr>
        <w:t xml:space="preserve"> view of flood risk would predict. California carries the largest state total, followed by New York, Pennsylvania, Florida and West Virginia. Because the reconstruction is structure-only and uses a four-layer return-period set, state rankings are not directly comparable with all-property assessments built on denser return-period sets; the comparison in Part C should be read with those scope differences in mind. Alabama, Connecticut and North Dakota are absent from the processed inventory and appear as </w:t>
      </w:r>
      <w:proofErr w:type="gramStart"/>
      <w:r w:rsidRPr="00961F99">
        <w:rPr>
          <w:rFonts w:asciiTheme="majorBidi" w:hAnsiTheme="majorBidi" w:cstheme="majorBidi"/>
        </w:rPr>
        <w:t>no</w:t>
      </w:r>
      <w:proofErr w:type="gramEnd"/>
      <w:r w:rsidRPr="00961F99">
        <w:rPr>
          <w:rFonts w:asciiTheme="majorBidi" w:hAnsiTheme="majorBidi" w:cstheme="majorBidi"/>
        </w:rPr>
        <w:t>-data areas.</w:t>
      </w:r>
    </w:p>
    <w:p w14:paraId="7BDE7306"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S3 | </w:t>
      </w:r>
      <w:r w:rsidRPr="00961F99">
        <w:rPr>
          <w:rFonts w:asciiTheme="majorBidi" w:hAnsiTheme="majorBidi" w:cstheme="majorBidi"/>
          <w:sz w:val="19"/>
          <w:szCs w:val="19"/>
        </w:rPr>
        <w:t>State-level expected annual loss and burden summary under the central specification, ordered by combined-hazard expected annual loss. Hazard-specific columns are additive across hazards and therefore sum to slightly more than the combined column, which uses the maximum hazard-specific depth at each return period. Alabama appears with zero modeled exposure, and Connecticut and North Dakota are absent, because the upstream building-to-tract assignment did not carry buildings in these states into the processed dataset; national totals exclude them.</w:t>
      </w:r>
    </w:p>
    <w:tbl>
      <w:tblPr>
        <w:tblStyle w:val="a1"/>
        <w:tblW w:w="9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
        <w:gridCol w:w="1206"/>
        <w:gridCol w:w="1206"/>
        <w:gridCol w:w="1206"/>
        <w:gridCol w:w="1206"/>
        <w:gridCol w:w="1206"/>
        <w:gridCol w:w="1206"/>
        <w:gridCol w:w="1206"/>
      </w:tblGrid>
      <w:tr w:rsidR="00B57608" w:rsidRPr="00961F99" w14:paraId="6FE3AB52" w14:textId="77777777" w:rsidTr="00376A59">
        <w:trPr>
          <w:tblHeader/>
          <w:jc w:val="center"/>
        </w:trPr>
        <w:tc>
          <w:tcPr>
            <w:tcW w:w="1031" w:type="dxa"/>
          </w:tcPr>
          <w:p w14:paraId="1FEFAB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State</w:t>
            </w:r>
          </w:p>
        </w:tc>
        <w:tc>
          <w:tcPr>
            <w:tcW w:w="1206" w:type="dxa"/>
          </w:tcPr>
          <w:p w14:paraId="48823E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Pluvial EAL ($M yr⁻¹)</w:t>
            </w:r>
          </w:p>
        </w:tc>
        <w:tc>
          <w:tcPr>
            <w:tcW w:w="1206" w:type="dxa"/>
          </w:tcPr>
          <w:p w14:paraId="479C36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Fluvial EAL ($M yr⁻¹)</w:t>
            </w:r>
          </w:p>
        </w:tc>
        <w:tc>
          <w:tcPr>
            <w:tcW w:w="1206" w:type="dxa"/>
          </w:tcPr>
          <w:p w14:paraId="4ED878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Coastal EAL ($M yr⁻¹)</w:t>
            </w:r>
          </w:p>
        </w:tc>
        <w:tc>
          <w:tcPr>
            <w:tcW w:w="1206" w:type="dxa"/>
          </w:tcPr>
          <w:p w14:paraId="618935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Combined EAL ($M yr⁻¹)</w:t>
            </w:r>
          </w:p>
        </w:tc>
        <w:tc>
          <w:tcPr>
            <w:tcW w:w="1206" w:type="dxa"/>
          </w:tcPr>
          <w:p w14:paraId="67CD56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Public shortfall ($M yr⁻¹)</w:t>
            </w:r>
          </w:p>
        </w:tc>
        <w:tc>
          <w:tcPr>
            <w:tcW w:w="1206" w:type="dxa"/>
          </w:tcPr>
          <w:p w14:paraId="4B8152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NFIP shortfall ($M yr⁻¹)</w:t>
            </w:r>
          </w:p>
        </w:tc>
        <w:tc>
          <w:tcPr>
            <w:tcW w:w="1206" w:type="dxa"/>
          </w:tcPr>
          <w:p w14:paraId="3B34B3D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Exposed buildings</w:t>
            </w:r>
          </w:p>
        </w:tc>
      </w:tr>
      <w:tr w:rsidR="00B57608" w:rsidRPr="00961F99" w14:paraId="47265450" w14:textId="77777777" w:rsidTr="00376A59">
        <w:trPr>
          <w:jc w:val="center"/>
        </w:trPr>
        <w:tc>
          <w:tcPr>
            <w:tcW w:w="1031" w:type="dxa"/>
          </w:tcPr>
          <w:p w14:paraId="0C306A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California</w:t>
            </w:r>
          </w:p>
        </w:tc>
        <w:tc>
          <w:tcPr>
            <w:tcW w:w="1206" w:type="dxa"/>
          </w:tcPr>
          <w:p w14:paraId="387DA6E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2,039.7</w:t>
            </w:r>
          </w:p>
        </w:tc>
        <w:tc>
          <w:tcPr>
            <w:tcW w:w="1206" w:type="dxa"/>
          </w:tcPr>
          <w:p w14:paraId="47794F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227.6</w:t>
            </w:r>
          </w:p>
        </w:tc>
        <w:tc>
          <w:tcPr>
            <w:tcW w:w="1206" w:type="dxa"/>
          </w:tcPr>
          <w:p w14:paraId="13EDA7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342.1</w:t>
            </w:r>
          </w:p>
        </w:tc>
        <w:tc>
          <w:tcPr>
            <w:tcW w:w="1206" w:type="dxa"/>
          </w:tcPr>
          <w:p w14:paraId="1F38B92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2,566.6</w:t>
            </w:r>
          </w:p>
        </w:tc>
        <w:tc>
          <w:tcPr>
            <w:tcW w:w="1206" w:type="dxa"/>
          </w:tcPr>
          <w:p w14:paraId="5E22CD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2,175.0</w:t>
            </w:r>
          </w:p>
        </w:tc>
        <w:tc>
          <w:tcPr>
            <w:tcW w:w="1206" w:type="dxa"/>
          </w:tcPr>
          <w:p w14:paraId="7829EFA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333.5</w:t>
            </w:r>
          </w:p>
        </w:tc>
        <w:tc>
          <w:tcPr>
            <w:tcW w:w="1206" w:type="dxa"/>
          </w:tcPr>
          <w:p w14:paraId="7BDC22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715,324</w:t>
            </w:r>
          </w:p>
        </w:tc>
      </w:tr>
      <w:tr w:rsidR="00B57608" w:rsidRPr="00961F99" w14:paraId="1A7AF355" w14:textId="77777777" w:rsidTr="00376A59">
        <w:trPr>
          <w:jc w:val="center"/>
        </w:trPr>
        <w:tc>
          <w:tcPr>
            <w:tcW w:w="1031" w:type="dxa"/>
          </w:tcPr>
          <w:p w14:paraId="247D59D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New York</w:t>
            </w:r>
          </w:p>
        </w:tc>
        <w:tc>
          <w:tcPr>
            <w:tcW w:w="1206" w:type="dxa"/>
          </w:tcPr>
          <w:p w14:paraId="77ECE3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1,433.7</w:t>
            </w:r>
          </w:p>
        </w:tc>
        <w:tc>
          <w:tcPr>
            <w:tcW w:w="1206" w:type="dxa"/>
          </w:tcPr>
          <w:p w14:paraId="55DCACC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226.4</w:t>
            </w:r>
          </w:p>
        </w:tc>
        <w:tc>
          <w:tcPr>
            <w:tcW w:w="1206" w:type="dxa"/>
          </w:tcPr>
          <w:p w14:paraId="0DDD175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648.9</w:t>
            </w:r>
          </w:p>
        </w:tc>
        <w:tc>
          <w:tcPr>
            <w:tcW w:w="1206" w:type="dxa"/>
          </w:tcPr>
          <w:p w14:paraId="75D58EF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2,231.3</w:t>
            </w:r>
          </w:p>
        </w:tc>
        <w:tc>
          <w:tcPr>
            <w:tcW w:w="1206" w:type="dxa"/>
          </w:tcPr>
          <w:p w14:paraId="1CDB82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1,667.8</w:t>
            </w:r>
          </w:p>
        </w:tc>
        <w:tc>
          <w:tcPr>
            <w:tcW w:w="1206" w:type="dxa"/>
          </w:tcPr>
          <w:p w14:paraId="2C1966E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467.9</w:t>
            </w:r>
          </w:p>
        </w:tc>
        <w:tc>
          <w:tcPr>
            <w:tcW w:w="1206" w:type="dxa"/>
          </w:tcPr>
          <w:p w14:paraId="658E2D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490,692</w:t>
            </w:r>
          </w:p>
        </w:tc>
      </w:tr>
      <w:tr w:rsidR="00B57608" w:rsidRPr="00961F99" w14:paraId="16693454" w14:textId="77777777" w:rsidTr="00376A59">
        <w:trPr>
          <w:jc w:val="center"/>
        </w:trPr>
        <w:tc>
          <w:tcPr>
            <w:tcW w:w="1031" w:type="dxa"/>
          </w:tcPr>
          <w:p w14:paraId="79D5C1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Pennsylvania</w:t>
            </w:r>
          </w:p>
        </w:tc>
        <w:tc>
          <w:tcPr>
            <w:tcW w:w="1206" w:type="dxa"/>
          </w:tcPr>
          <w:p w14:paraId="18607E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1,448.4</w:t>
            </w:r>
          </w:p>
        </w:tc>
        <w:tc>
          <w:tcPr>
            <w:tcW w:w="1206" w:type="dxa"/>
          </w:tcPr>
          <w:p w14:paraId="48ECE21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452.9</w:t>
            </w:r>
          </w:p>
        </w:tc>
        <w:tc>
          <w:tcPr>
            <w:tcW w:w="1206" w:type="dxa"/>
          </w:tcPr>
          <w:p w14:paraId="42A9D2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w:t>
            </w:r>
          </w:p>
        </w:tc>
        <w:tc>
          <w:tcPr>
            <w:tcW w:w="1206" w:type="dxa"/>
          </w:tcPr>
          <w:p w14:paraId="08093C3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1,862.9</w:t>
            </w:r>
          </w:p>
        </w:tc>
        <w:tc>
          <w:tcPr>
            <w:tcW w:w="1206" w:type="dxa"/>
          </w:tcPr>
          <w:p w14:paraId="6558153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1,656.2</w:t>
            </w:r>
          </w:p>
        </w:tc>
        <w:tc>
          <w:tcPr>
            <w:tcW w:w="1206" w:type="dxa"/>
          </w:tcPr>
          <w:p w14:paraId="7F320BB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173.1</w:t>
            </w:r>
          </w:p>
        </w:tc>
        <w:tc>
          <w:tcPr>
            <w:tcW w:w="1206" w:type="dxa"/>
          </w:tcPr>
          <w:p w14:paraId="3DF90CB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319,782</w:t>
            </w:r>
          </w:p>
        </w:tc>
      </w:tr>
      <w:tr w:rsidR="00B57608" w:rsidRPr="00961F99" w14:paraId="30B0BCD0" w14:textId="77777777" w:rsidTr="00376A59">
        <w:trPr>
          <w:jc w:val="center"/>
        </w:trPr>
        <w:tc>
          <w:tcPr>
            <w:tcW w:w="1031" w:type="dxa"/>
          </w:tcPr>
          <w:p w14:paraId="5D09334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Florida</w:t>
            </w:r>
          </w:p>
        </w:tc>
        <w:tc>
          <w:tcPr>
            <w:tcW w:w="1206" w:type="dxa"/>
          </w:tcPr>
          <w:p w14:paraId="450251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292.3</w:t>
            </w:r>
          </w:p>
        </w:tc>
        <w:tc>
          <w:tcPr>
            <w:tcW w:w="1206" w:type="dxa"/>
          </w:tcPr>
          <w:p w14:paraId="05078D8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40.7</w:t>
            </w:r>
          </w:p>
        </w:tc>
        <w:tc>
          <w:tcPr>
            <w:tcW w:w="1206" w:type="dxa"/>
          </w:tcPr>
          <w:p w14:paraId="0DCDCFF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1,171.4</w:t>
            </w:r>
          </w:p>
        </w:tc>
        <w:tc>
          <w:tcPr>
            <w:tcW w:w="1206" w:type="dxa"/>
          </w:tcPr>
          <w:p w14:paraId="2BAFC8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1,474.9</w:t>
            </w:r>
          </w:p>
        </w:tc>
        <w:tc>
          <w:tcPr>
            <w:tcW w:w="1206" w:type="dxa"/>
          </w:tcPr>
          <w:p w14:paraId="11A29F8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686.8</w:t>
            </w:r>
          </w:p>
        </w:tc>
        <w:tc>
          <w:tcPr>
            <w:tcW w:w="1206" w:type="dxa"/>
          </w:tcPr>
          <w:p w14:paraId="26CE310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388.7</w:t>
            </w:r>
          </w:p>
        </w:tc>
        <w:tc>
          <w:tcPr>
            <w:tcW w:w="1206" w:type="dxa"/>
          </w:tcPr>
          <w:p w14:paraId="4F3B4AC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954,850</w:t>
            </w:r>
          </w:p>
        </w:tc>
      </w:tr>
      <w:tr w:rsidR="00B57608" w:rsidRPr="00961F99" w14:paraId="229BA1BC" w14:textId="77777777" w:rsidTr="00376A59">
        <w:trPr>
          <w:jc w:val="center"/>
        </w:trPr>
        <w:tc>
          <w:tcPr>
            <w:tcW w:w="1031" w:type="dxa"/>
          </w:tcPr>
          <w:p w14:paraId="07484F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West Virginia</w:t>
            </w:r>
          </w:p>
        </w:tc>
        <w:tc>
          <w:tcPr>
            <w:tcW w:w="1206" w:type="dxa"/>
          </w:tcPr>
          <w:p w14:paraId="7C1CF17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992.3</w:t>
            </w:r>
          </w:p>
        </w:tc>
        <w:tc>
          <w:tcPr>
            <w:tcW w:w="1206" w:type="dxa"/>
          </w:tcPr>
          <w:p w14:paraId="7D67C0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479.6</w:t>
            </w:r>
          </w:p>
        </w:tc>
        <w:tc>
          <w:tcPr>
            <w:tcW w:w="1206" w:type="dxa"/>
          </w:tcPr>
          <w:p w14:paraId="105425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072C35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1,448.4</w:t>
            </w:r>
          </w:p>
        </w:tc>
        <w:tc>
          <w:tcPr>
            <w:tcW w:w="1206" w:type="dxa"/>
          </w:tcPr>
          <w:p w14:paraId="45FF73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1,398.0</w:t>
            </w:r>
          </w:p>
        </w:tc>
        <w:tc>
          <w:tcPr>
            <w:tcW w:w="1206" w:type="dxa"/>
          </w:tcPr>
          <w:p w14:paraId="7400E16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41.2</w:t>
            </w:r>
          </w:p>
        </w:tc>
        <w:tc>
          <w:tcPr>
            <w:tcW w:w="1206" w:type="dxa"/>
          </w:tcPr>
          <w:p w14:paraId="60D33B6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233,958</w:t>
            </w:r>
          </w:p>
        </w:tc>
      </w:tr>
      <w:tr w:rsidR="00B57608" w:rsidRPr="00961F99" w14:paraId="3D652DA7" w14:textId="77777777" w:rsidTr="00376A59">
        <w:trPr>
          <w:jc w:val="center"/>
        </w:trPr>
        <w:tc>
          <w:tcPr>
            <w:tcW w:w="1031" w:type="dxa"/>
          </w:tcPr>
          <w:p w14:paraId="47987A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Washington</w:t>
            </w:r>
          </w:p>
        </w:tc>
        <w:tc>
          <w:tcPr>
            <w:tcW w:w="1206" w:type="dxa"/>
          </w:tcPr>
          <w:p w14:paraId="3FA6D6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350.3</w:t>
            </w:r>
          </w:p>
        </w:tc>
        <w:tc>
          <w:tcPr>
            <w:tcW w:w="1206" w:type="dxa"/>
          </w:tcPr>
          <w:p w14:paraId="7E6C9CB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836.8</w:t>
            </w:r>
          </w:p>
        </w:tc>
        <w:tc>
          <w:tcPr>
            <w:tcW w:w="1206" w:type="dxa"/>
          </w:tcPr>
          <w:p w14:paraId="27C4BC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125.4</w:t>
            </w:r>
          </w:p>
        </w:tc>
        <w:tc>
          <w:tcPr>
            <w:tcW w:w="1206" w:type="dxa"/>
          </w:tcPr>
          <w:p w14:paraId="417B62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1,281.1</w:t>
            </w:r>
          </w:p>
        </w:tc>
        <w:tc>
          <w:tcPr>
            <w:tcW w:w="1206" w:type="dxa"/>
          </w:tcPr>
          <w:p w14:paraId="358467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1,133.1</w:t>
            </w:r>
          </w:p>
        </w:tc>
        <w:tc>
          <w:tcPr>
            <w:tcW w:w="1206" w:type="dxa"/>
          </w:tcPr>
          <w:p w14:paraId="3390DF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129.1</w:t>
            </w:r>
          </w:p>
        </w:tc>
        <w:tc>
          <w:tcPr>
            <w:tcW w:w="1206" w:type="dxa"/>
          </w:tcPr>
          <w:p w14:paraId="57CBB8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175,500</w:t>
            </w:r>
          </w:p>
        </w:tc>
      </w:tr>
      <w:tr w:rsidR="00B57608" w:rsidRPr="00961F99" w14:paraId="7E86E9E2" w14:textId="77777777" w:rsidTr="00376A59">
        <w:trPr>
          <w:jc w:val="center"/>
        </w:trPr>
        <w:tc>
          <w:tcPr>
            <w:tcW w:w="1031" w:type="dxa"/>
          </w:tcPr>
          <w:p w14:paraId="6D9525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Kentucky</w:t>
            </w:r>
          </w:p>
        </w:tc>
        <w:tc>
          <w:tcPr>
            <w:tcW w:w="1206" w:type="dxa"/>
          </w:tcPr>
          <w:p w14:paraId="0DDDC3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1,108.2</w:t>
            </w:r>
          </w:p>
        </w:tc>
        <w:tc>
          <w:tcPr>
            <w:tcW w:w="1206" w:type="dxa"/>
          </w:tcPr>
          <w:p w14:paraId="0FA7B8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156.5</w:t>
            </w:r>
          </w:p>
        </w:tc>
        <w:tc>
          <w:tcPr>
            <w:tcW w:w="1206" w:type="dxa"/>
          </w:tcPr>
          <w:p w14:paraId="306006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6ED666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1,258.9</w:t>
            </w:r>
          </w:p>
        </w:tc>
        <w:tc>
          <w:tcPr>
            <w:tcW w:w="1206" w:type="dxa"/>
          </w:tcPr>
          <w:p w14:paraId="3223C3F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1,199.5</w:t>
            </w:r>
          </w:p>
        </w:tc>
        <w:tc>
          <w:tcPr>
            <w:tcW w:w="1206" w:type="dxa"/>
          </w:tcPr>
          <w:p w14:paraId="2122352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49.5</w:t>
            </w:r>
          </w:p>
        </w:tc>
        <w:tc>
          <w:tcPr>
            <w:tcW w:w="1206" w:type="dxa"/>
          </w:tcPr>
          <w:p w14:paraId="385DB8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206,406</w:t>
            </w:r>
          </w:p>
        </w:tc>
      </w:tr>
      <w:tr w:rsidR="00B57608" w:rsidRPr="00961F99" w14:paraId="653376B3" w14:textId="77777777" w:rsidTr="00376A59">
        <w:trPr>
          <w:jc w:val="center"/>
        </w:trPr>
        <w:tc>
          <w:tcPr>
            <w:tcW w:w="1031" w:type="dxa"/>
          </w:tcPr>
          <w:p w14:paraId="18C76E6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New Jersey</w:t>
            </w:r>
          </w:p>
        </w:tc>
        <w:tc>
          <w:tcPr>
            <w:tcW w:w="1206" w:type="dxa"/>
          </w:tcPr>
          <w:p w14:paraId="35E31D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369.6</w:t>
            </w:r>
          </w:p>
        </w:tc>
        <w:tc>
          <w:tcPr>
            <w:tcW w:w="1206" w:type="dxa"/>
          </w:tcPr>
          <w:p w14:paraId="64DFD3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166.0</w:t>
            </w:r>
          </w:p>
        </w:tc>
        <w:tc>
          <w:tcPr>
            <w:tcW w:w="1206" w:type="dxa"/>
          </w:tcPr>
          <w:p w14:paraId="79C653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468.3</w:t>
            </w:r>
          </w:p>
        </w:tc>
        <w:tc>
          <w:tcPr>
            <w:tcW w:w="1206" w:type="dxa"/>
          </w:tcPr>
          <w:p w14:paraId="48802B6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955.4</w:t>
            </w:r>
          </w:p>
        </w:tc>
        <w:tc>
          <w:tcPr>
            <w:tcW w:w="1206" w:type="dxa"/>
          </w:tcPr>
          <w:p w14:paraId="780EE15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516.3</w:t>
            </w:r>
          </w:p>
        </w:tc>
        <w:tc>
          <w:tcPr>
            <w:tcW w:w="1206" w:type="dxa"/>
          </w:tcPr>
          <w:p w14:paraId="6DE6CFC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324.5</w:t>
            </w:r>
          </w:p>
        </w:tc>
        <w:tc>
          <w:tcPr>
            <w:tcW w:w="1206" w:type="dxa"/>
          </w:tcPr>
          <w:p w14:paraId="4ABD8F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283,345</w:t>
            </w:r>
          </w:p>
        </w:tc>
      </w:tr>
      <w:tr w:rsidR="00B57608" w:rsidRPr="00961F99" w14:paraId="12953001" w14:textId="77777777" w:rsidTr="00376A59">
        <w:trPr>
          <w:jc w:val="center"/>
        </w:trPr>
        <w:tc>
          <w:tcPr>
            <w:tcW w:w="1031" w:type="dxa"/>
          </w:tcPr>
          <w:p w14:paraId="025D9C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Oregon</w:t>
            </w:r>
          </w:p>
        </w:tc>
        <w:tc>
          <w:tcPr>
            <w:tcW w:w="1206" w:type="dxa"/>
          </w:tcPr>
          <w:p w14:paraId="5C5439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301.3</w:t>
            </w:r>
          </w:p>
        </w:tc>
        <w:tc>
          <w:tcPr>
            <w:tcW w:w="1206" w:type="dxa"/>
          </w:tcPr>
          <w:p w14:paraId="262B570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471.5</w:t>
            </w:r>
          </w:p>
        </w:tc>
        <w:tc>
          <w:tcPr>
            <w:tcW w:w="1206" w:type="dxa"/>
          </w:tcPr>
          <w:p w14:paraId="67B759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36.7</w:t>
            </w:r>
          </w:p>
        </w:tc>
        <w:tc>
          <w:tcPr>
            <w:tcW w:w="1206" w:type="dxa"/>
          </w:tcPr>
          <w:p w14:paraId="7FED89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786.4</w:t>
            </w:r>
          </w:p>
        </w:tc>
        <w:tc>
          <w:tcPr>
            <w:tcW w:w="1206" w:type="dxa"/>
          </w:tcPr>
          <w:p w14:paraId="56BDFF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670.2</w:t>
            </w:r>
          </w:p>
        </w:tc>
        <w:tc>
          <w:tcPr>
            <w:tcW w:w="1206" w:type="dxa"/>
          </w:tcPr>
          <w:p w14:paraId="52038B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101.0</w:t>
            </w:r>
          </w:p>
        </w:tc>
        <w:tc>
          <w:tcPr>
            <w:tcW w:w="1206" w:type="dxa"/>
          </w:tcPr>
          <w:p w14:paraId="6CFBCA8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167,498</w:t>
            </w:r>
          </w:p>
        </w:tc>
      </w:tr>
      <w:tr w:rsidR="00B57608" w:rsidRPr="00961F99" w14:paraId="7D075B53" w14:textId="77777777" w:rsidTr="00376A59">
        <w:trPr>
          <w:jc w:val="center"/>
        </w:trPr>
        <w:tc>
          <w:tcPr>
            <w:tcW w:w="1031" w:type="dxa"/>
          </w:tcPr>
          <w:p w14:paraId="005F483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lastRenderedPageBreak/>
              <w:t>Massachusetts</w:t>
            </w:r>
          </w:p>
        </w:tc>
        <w:tc>
          <w:tcPr>
            <w:tcW w:w="1206" w:type="dxa"/>
          </w:tcPr>
          <w:p w14:paraId="6261519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402.8</w:t>
            </w:r>
          </w:p>
        </w:tc>
        <w:tc>
          <w:tcPr>
            <w:tcW w:w="1206" w:type="dxa"/>
          </w:tcPr>
          <w:p w14:paraId="4A8528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80.4</w:t>
            </w:r>
          </w:p>
        </w:tc>
        <w:tc>
          <w:tcPr>
            <w:tcW w:w="1206" w:type="dxa"/>
          </w:tcPr>
          <w:p w14:paraId="715FCE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311.8</w:t>
            </w:r>
          </w:p>
        </w:tc>
        <w:tc>
          <w:tcPr>
            <w:tcW w:w="1206" w:type="dxa"/>
          </w:tcPr>
          <w:p w14:paraId="038A7D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778.1</w:t>
            </w:r>
          </w:p>
        </w:tc>
        <w:tc>
          <w:tcPr>
            <w:tcW w:w="1206" w:type="dxa"/>
          </w:tcPr>
          <w:p w14:paraId="72F4E0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588.3</w:t>
            </w:r>
          </w:p>
        </w:tc>
        <w:tc>
          <w:tcPr>
            <w:tcW w:w="1206" w:type="dxa"/>
          </w:tcPr>
          <w:p w14:paraId="374971A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154.6</w:t>
            </w:r>
          </w:p>
        </w:tc>
        <w:tc>
          <w:tcPr>
            <w:tcW w:w="1206" w:type="dxa"/>
          </w:tcPr>
          <w:p w14:paraId="1799A9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134,612</w:t>
            </w:r>
          </w:p>
        </w:tc>
      </w:tr>
      <w:tr w:rsidR="00B57608" w:rsidRPr="00961F99" w14:paraId="3E85C1A7" w14:textId="77777777" w:rsidTr="00376A59">
        <w:trPr>
          <w:jc w:val="center"/>
        </w:trPr>
        <w:tc>
          <w:tcPr>
            <w:tcW w:w="1031" w:type="dxa"/>
          </w:tcPr>
          <w:p w14:paraId="1E476D3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Texas</w:t>
            </w:r>
          </w:p>
        </w:tc>
        <w:tc>
          <w:tcPr>
            <w:tcW w:w="1206" w:type="dxa"/>
          </w:tcPr>
          <w:p w14:paraId="3535F7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581.4</w:t>
            </w:r>
          </w:p>
        </w:tc>
        <w:tc>
          <w:tcPr>
            <w:tcW w:w="1206" w:type="dxa"/>
          </w:tcPr>
          <w:p w14:paraId="725580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107.0</w:t>
            </w:r>
          </w:p>
        </w:tc>
        <w:tc>
          <w:tcPr>
            <w:tcW w:w="1206" w:type="dxa"/>
          </w:tcPr>
          <w:p w14:paraId="5535693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100.9</w:t>
            </w:r>
          </w:p>
        </w:tc>
        <w:tc>
          <w:tcPr>
            <w:tcW w:w="1206" w:type="dxa"/>
          </w:tcPr>
          <w:p w14:paraId="7D119DF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744.7</w:t>
            </w:r>
          </w:p>
        </w:tc>
        <w:tc>
          <w:tcPr>
            <w:tcW w:w="1206" w:type="dxa"/>
          </w:tcPr>
          <w:p w14:paraId="27E6282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481.6</w:t>
            </w:r>
          </w:p>
        </w:tc>
        <w:tc>
          <w:tcPr>
            <w:tcW w:w="1206" w:type="dxa"/>
          </w:tcPr>
          <w:p w14:paraId="439E6FB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180.0</w:t>
            </w:r>
          </w:p>
        </w:tc>
        <w:tc>
          <w:tcPr>
            <w:tcW w:w="1206" w:type="dxa"/>
          </w:tcPr>
          <w:p w14:paraId="30300D9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596,398</w:t>
            </w:r>
          </w:p>
        </w:tc>
      </w:tr>
      <w:tr w:rsidR="00B57608" w:rsidRPr="00961F99" w14:paraId="64841CD4" w14:textId="77777777" w:rsidTr="00376A59">
        <w:trPr>
          <w:jc w:val="center"/>
        </w:trPr>
        <w:tc>
          <w:tcPr>
            <w:tcW w:w="1031" w:type="dxa"/>
          </w:tcPr>
          <w:p w14:paraId="2C630A2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Virginia</w:t>
            </w:r>
          </w:p>
        </w:tc>
        <w:tc>
          <w:tcPr>
            <w:tcW w:w="1206" w:type="dxa"/>
          </w:tcPr>
          <w:p w14:paraId="6E8A00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536.6</w:t>
            </w:r>
          </w:p>
        </w:tc>
        <w:tc>
          <w:tcPr>
            <w:tcW w:w="1206" w:type="dxa"/>
          </w:tcPr>
          <w:p w14:paraId="3F30797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45.3</w:t>
            </w:r>
          </w:p>
        </w:tc>
        <w:tc>
          <w:tcPr>
            <w:tcW w:w="1206" w:type="dxa"/>
          </w:tcPr>
          <w:p w14:paraId="41B0B1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134.8</w:t>
            </w:r>
          </w:p>
        </w:tc>
        <w:tc>
          <w:tcPr>
            <w:tcW w:w="1206" w:type="dxa"/>
          </w:tcPr>
          <w:p w14:paraId="329880E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704.7</w:t>
            </w:r>
          </w:p>
        </w:tc>
        <w:tc>
          <w:tcPr>
            <w:tcW w:w="1206" w:type="dxa"/>
          </w:tcPr>
          <w:p w14:paraId="1F971D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587.3</w:t>
            </w:r>
          </w:p>
        </w:tc>
        <w:tc>
          <w:tcPr>
            <w:tcW w:w="1206" w:type="dxa"/>
          </w:tcPr>
          <w:p w14:paraId="034CE4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97.0</w:t>
            </w:r>
          </w:p>
        </w:tc>
        <w:tc>
          <w:tcPr>
            <w:tcW w:w="1206" w:type="dxa"/>
          </w:tcPr>
          <w:p w14:paraId="37E4ED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186,660</w:t>
            </w:r>
          </w:p>
        </w:tc>
      </w:tr>
      <w:tr w:rsidR="00B57608" w:rsidRPr="00961F99" w14:paraId="1687A8BC" w14:textId="77777777" w:rsidTr="00376A59">
        <w:trPr>
          <w:jc w:val="center"/>
        </w:trPr>
        <w:tc>
          <w:tcPr>
            <w:tcW w:w="1031" w:type="dxa"/>
          </w:tcPr>
          <w:p w14:paraId="3B52E0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Wisconsin</w:t>
            </w:r>
          </w:p>
        </w:tc>
        <w:tc>
          <w:tcPr>
            <w:tcW w:w="1206" w:type="dxa"/>
          </w:tcPr>
          <w:p w14:paraId="75873F5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593.3</w:t>
            </w:r>
          </w:p>
        </w:tc>
        <w:tc>
          <w:tcPr>
            <w:tcW w:w="1206" w:type="dxa"/>
          </w:tcPr>
          <w:p w14:paraId="6095B3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120.3</w:t>
            </w:r>
          </w:p>
        </w:tc>
        <w:tc>
          <w:tcPr>
            <w:tcW w:w="1206" w:type="dxa"/>
          </w:tcPr>
          <w:p w14:paraId="6A1F157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458647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696.8</w:t>
            </w:r>
          </w:p>
        </w:tc>
        <w:tc>
          <w:tcPr>
            <w:tcW w:w="1206" w:type="dxa"/>
          </w:tcPr>
          <w:p w14:paraId="4B6BFD1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652.0</w:t>
            </w:r>
          </w:p>
        </w:tc>
        <w:tc>
          <w:tcPr>
            <w:tcW w:w="1206" w:type="dxa"/>
          </w:tcPr>
          <w:p w14:paraId="08DA554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38.1</w:t>
            </w:r>
          </w:p>
        </w:tc>
        <w:tc>
          <w:tcPr>
            <w:tcW w:w="1206" w:type="dxa"/>
          </w:tcPr>
          <w:p w14:paraId="3B06FF9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163,222</w:t>
            </w:r>
          </w:p>
        </w:tc>
      </w:tr>
      <w:tr w:rsidR="00B57608" w:rsidRPr="00961F99" w14:paraId="071AB27A" w14:textId="77777777" w:rsidTr="00376A59">
        <w:trPr>
          <w:jc w:val="center"/>
        </w:trPr>
        <w:tc>
          <w:tcPr>
            <w:tcW w:w="1031" w:type="dxa"/>
          </w:tcPr>
          <w:p w14:paraId="6D60F13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North Carolina</w:t>
            </w:r>
          </w:p>
        </w:tc>
        <w:tc>
          <w:tcPr>
            <w:tcW w:w="1206" w:type="dxa"/>
          </w:tcPr>
          <w:p w14:paraId="3B12984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505.9</w:t>
            </w:r>
          </w:p>
        </w:tc>
        <w:tc>
          <w:tcPr>
            <w:tcW w:w="1206" w:type="dxa"/>
          </w:tcPr>
          <w:p w14:paraId="5369D3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33.7</w:t>
            </w:r>
          </w:p>
        </w:tc>
        <w:tc>
          <w:tcPr>
            <w:tcW w:w="1206" w:type="dxa"/>
          </w:tcPr>
          <w:p w14:paraId="1DE5EC0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131.4</w:t>
            </w:r>
          </w:p>
        </w:tc>
        <w:tc>
          <w:tcPr>
            <w:tcW w:w="1206" w:type="dxa"/>
          </w:tcPr>
          <w:p w14:paraId="189C31D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660.3</w:t>
            </w:r>
          </w:p>
        </w:tc>
        <w:tc>
          <w:tcPr>
            <w:tcW w:w="1206" w:type="dxa"/>
          </w:tcPr>
          <w:p w14:paraId="3B30DD8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492.4</w:t>
            </w:r>
          </w:p>
        </w:tc>
        <w:tc>
          <w:tcPr>
            <w:tcW w:w="1206" w:type="dxa"/>
          </w:tcPr>
          <w:p w14:paraId="5CAF1E0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126.2</w:t>
            </w:r>
          </w:p>
        </w:tc>
        <w:tc>
          <w:tcPr>
            <w:tcW w:w="1206" w:type="dxa"/>
          </w:tcPr>
          <w:p w14:paraId="452066F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217,099</w:t>
            </w:r>
          </w:p>
        </w:tc>
      </w:tr>
      <w:tr w:rsidR="00B57608" w:rsidRPr="00961F99" w14:paraId="34A968C7" w14:textId="77777777" w:rsidTr="00376A59">
        <w:trPr>
          <w:jc w:val="center"/>
        </w:trPr>
        <w:tc>
          <w:tcPr>
            <w:tcW w:w="1031" w:type="dxa"/>
          </w:tcPr>
          <w:p w14:paraId="263DB44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Minnesota</w:t>
            </w:r>
          </w:p>
        </w:tc>
        <w:tc>
          <w:tcPr>
            <w:tcW w:w="1206" w:type="dxa"/>
          </w:tcPr>
          <w:p w14:paraId="28391B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500.0</w:t>
            </w:r>
          </w:p>
        </w:tc>
        <w:tc>
          <w:tcPr>
            <w:tcW w:w="1206" w:type="dxa"/>
          </w:tcPr>
          <w:p w14:paraId="31ED2A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170.2</w:t>
            </w:r>
          </w:p>
        </w:tc>
        <w:tc>
          <w:tcPr>
            <w:tcW w:w="1206" w:type="dxa"/>
          </w:tcPr>
          <w:p w14:paraId="72954FB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65201C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653.8</w:t>
            </w:r>
          </w:p>
        </w:tc>
        <w:tc>
          <w:tcPr>
            <w:tcW w:w="1206" w:type="dxa"/>
          </w:tcPr>
          <w:p w14:paraId="1BF0B3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614.6</w:t>
            </w:r>
          </w:p>
        </w:tc>
        <w:tc>
          <w:tcPr>
            <w:tcW w:w="1206" w:type="dxa"/>
          </w:tcPr>
          <w:p w14:paraId="7C2ED6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34.4</w:t>
            </w:r>
          </w:p>
        </w:tc>
        <w:tc>
          <w:tcPr>
            <w:tcW w:w="1206" w:type="dxa"/>
          </w:tcPr>
          <w:p w14:paraId="2BFA194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145,793</w:t>
            </w:r>
          </w:p>
        </w:tc>
      </w:tr>
      <w:tr w:rsidR="00B57608" w:rsidRPr="00961F99" w14:paraId="16134E8B" w14:textId="77777777" w:rsidTr="00376A59">
        <w:trPr>
          <w:jc w:val="center"/>
        </w:trPr>
        <w:tc>
          <w:tcPr>
            <w:tcW w:w="1031" w:type="dxa"/>
          </w:tcPr>
          <w:p w14:paraId="622570E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Louisiana</w:t>
            </w:r>
          </w:p>
        </w:tc>
        <w:tc>
          <w:tcPr>
            <w:tcW w:w="1206" w:type="dxa"/>
          </w:tcPr>
          <w:p w14:paraId="5169739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92.6</w:t>
            </w:r>
          </w:p>
        </w:tc>
        <w:tc>
          <w:tcPr>
            <w:tcW w:w="1206" w:type="dxa"/>
          </w:tcPr>
          <w:p w14:paraId="55840C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329.2</w:t>
            </w:r>
          </w:p>
        </w:tc>
        <w:tc>
          <w:tcPr>
            <w:tcW w:w="1206" w:type="dxa"/>
          </w:tcPr>
          <w:p w14:paraId="45D797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141.3</w:t>
            </w:r>
          </w:p>
        </w:tc>
        <w:tc>
          <w:tcPr>
            <w:tcW w:w="1206" w:type="dxa"/>
          </w:tcPr>
          <w:p w14:paraId="7ADD9F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551.4</w:t>
            </w:r>
          </w:p>
        </w:tc>
        <w:tc>
          <w:tcPr>
            <w:tcW w:w="1206" w:type="dxa"/>
          </w:tcPr>
          <w:p w14:paraId="2340338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319.2</w:t>
            </w:r>
          </w:p>
        </w:tc>
        <w:tc>
          <w:tcPr>
            <w:tcW w:w="1206" w:type="dxa"/>
          </w:tcPr>
          <w:p w14:paraId="7104B8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148.5</w:t>
            </w:r>
          </w:p>
        </w:tc>
        <w:tc>
          <w:tcPr>
            <w:tcW w:w="1206" w:type="dxa"/>
          </w:tcPr>
          <w:p w14:paraId="5D3A06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294,228</w:t>
            </w:r>
          </w:p>
        </w:tc>
      </w:tr>
      <w:tr w:rsidR="00B57608" w:rsidRPr="00961F99" w14:paraId="2B53856F" w14:textId="77777777" w:rsidTr="00376A59">
        <w:trPr>
          <w:jc w:val="center"/>
        </w:trPr>
        <w:tc>
          <w:tcPr>
            <w:tcW w:w="1031" w:type="dxa"/>
          </w:tcPr>
          <w:p w14:paraId="7DB8F0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Tennessee</w:t>
            </w:r>
          </w:p>
        </w:tc>
        <w:tc>
          <w:tcPr>
            <w:tcW w:w="1206" w:type="dxa"/>
          </w:tcPr>
          <w:p w14:paraId="3AF9EA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410.8</w:t>
            </w:r>
          </w:p>
        </w:tc>
        <w:tc>
          <w:tcPr>
            <w:tcW w:w="1206" w:type="dxa"/>
          </w:tcPr>
          <w:p w14:paraId="20AC7D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100.3</w:t>
            </w:r>
          </w:p>
        </w:tc>
        <w:tc>
          <w:tcPr>
            <w:tcW w:w="1206" w:type="dxa"/>
          </w:tcPr>
          <w:p w14:paraId="14449C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272A497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505.2</w:t>
            </w:r>
          </w:p>
        </w:tc>
        <w:tc>
          <w:tcPr>
            <w:tcW w:w="1206" w:type="dxa"/>
          </w:tcPr>
          <w:p w14:paraId="1C523A3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449.5</w:t>
            </w:r>
          </w:p>
        </w:tc>
        <w:tc>
          <w:tcPr>
            <w:tcW w:w="1206" w:type="dxa"/>
          </w:tcPr>
          <w:p w14:paraId="199143B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47.0</w:t>
            </w:r>
          </w:p>
        </w:tc>
        <w:tc>
          <w:tcPr>
            <w:tcW w:w="1206" w:type="dxa"/>
          </w:tcPr>
          <w:p w14:paraId="74DF08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133,241</w:t>
            </w:r>
          </w:p>
        </w:tc>
      </w:tr>
      <w:tr w:rsidR="00B57608" w:rsidRPr="00961F99" w14:paraId="5EB4E450" w14:textId="77777777" w:rsidTr="00376A59">
        <w:trPr>
          <w:jc w:val="center"/>
        </w:trPr>
        <w:tc>
          <w:tcPr>
            <w:tcW w:w="1031" w:type="dxa"/>
          </w:tcPr>
          <w:p w14:paraId="3E32B7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Missouri</w:t>
            </w:r>
          </w:p>
        </w:tc>
        <w:tc>
          <w:tcPr>
            <w:tcW w:w="1206" w:type="dxa"/>
          </w:tcPr>
          <w:p w14:paraId="3AB9BB2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416.5</w:t>
            </w:r>
          </w:p>
        </w:tc>
        <w:tc>
          <w:tcPr>
            <w:tcW w:w="1206" w:type="dxa"/>
          </w:tcPr>
          <w:p w14:paraId="024E845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83.1</w:t>
            </w:r>
          </w:p>
        </w:tc>
        <w:tc>
          <w:tcPr>
            <w:tcW w:w="1206" w:type="dxa"/>
          </w:tcPr>
          <w:p w14:paraId="1937D3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0DA769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489.4</w:t>
            </w:r>
          </w:p>
        </w:tc>
        <w:tc>
          <w:tcPr>
            <w:tcW w:w="1206" w:type="dxa"/>
          </w:tcPr>
          <w:p w14:paraId="6A8F8E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441.3</w:t>
            </w:r>
          </w:p>
        </w:tc>
        <w:tc>
          <w:tcPr>
            <w:tcW w:w="1206" w:type="dxa"/>
          </w:tcPr>
          <w:p w14:paraId="20677D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39.9</w:t>
            </w:r>
          </w:p>
        </w:tc>
        <w:tc>
          <w:tcPr>
            <w:tcW w:w="1206" w:type="dxa"/>
          </w:tcPr>
          <w:p w14:paraId="3D396A6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104,841</w:t>
            </w:r>
          </w:p>
        </w:tc>
      </w:tr>
      <w:tr w:rsidR="00B57608" w:rsidRPr="00961F99" w14:paraId="757ECF2A" w14:textId="77777777" w:rsidTr="00376A59">
        <w:trPr>
          <w:jc w:val="center"/>
        </w:trPr>
        <w:tc>
          <w:tcPr>
            <w:tcW w:w="1031" w:type="dxa"/>
          </w:tcPr>
          <w:p w14:paraId="5CA7AF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Indiana</w:t>
            </w:r>
          </w:p>
        </w:tc>
        <w:tc>
          <w:tcPr>
            <w:tcW w:w="1206" w:type="dxa"/>
          </w:tcPr>
          <w:p w14:paraId="280669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328.2</w:t>
            </w:r>
          </w:p>
        </w:tc>
        <w:tc>
          <w:tcPr>
            <w:tcW w:w="1206" w:type="dxa"/>
          </w:tcPr>
          <w:p w14:paraId="190CEC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138.2</w:t>
            </w:r>
          </w:p>
        </w:tc>
        <w:tc>
          <w:tcPr>
            <w:tcW w:w="1206" w:type="dxa"/>
          </w:tcPr>
          <w:p w14:paraId="1FD876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4E4DEF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459.1</w:t>
            </w:r>
          </w:p>
        </w:tc>
        <w:tc>
          <w:tcPr>
            <w:tcW w:w="1206" w:type="dxa"/>
          </w:tcPr>
          <w:p w14:paraId="1EDD05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423.2</w:t>
            </w:r>
          </w:p>
        </w:tc>
        <w:tc>
          <w:tcPr>
            <w:tcW w:w="1206" w:type="dxa"/>
          </w:tcPr>
          <w:p w14:paraId="2017F2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29.0</w:t>
            </w:r>
          </w:p>
        </w:tc>
        <w:tc>
          <w:tcPr>
            <w:tcW w:w="1206" w:type="dxa"/>
          </w:tcPr>
          <w:p w14:paraId="51BA5C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170,131</w:t>
            </w:r>
          </w:p>
        </w:tc>
      </w:tr>
      <w:tr w:rsidR="00B57608" w:rsidRPr="00961F99" w14:paraId="7BA19C20" w14:textId="77777777" w:rsidTr="00376A59">
        <w:trPr>
          <w:jc w:val="center"/>
        </w:trPr>
        <w:tc>
          <w:tcPr>
            <w:tcW w:w="1031" w:type="dxa"/>
          </w:tcPr>
          <w:p w14:paraId="1CDE74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Michigan</w:t>
            </w:r>
          </w:p>
        </w:tc>
        <w:tc>
          <w:tcPr>
            <w:tcW w:w="1206" w:type="dxa"/>
          </w:tcPr>
          <w:p w14:paraId="1D3936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381.9</w:t>
            </w:r>
          </w:p>
        </w:tc>
        <w:tc>
          <w:tcPr>
            <w:tcW w:w="1206" w:type="dxa"/>
          </w:tcPr>
          <w:p w14:paraId="36FE6D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79.5</w:t>
            </w:r>
          </w:p>
        </w:tc>
        <w:tc>
          <w:tcPr>
            <w:tcW w:w="1206" w:type="dxa"/>
          </w:tcPr>
          <w:p w14:paraId="59B81A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06D02F2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455.8</w:t>
            </w:r>
          </w:p>
        </w:tc>
        <w:tc>
          <w:tcPr>
            <w:tcW w:w="1206" w:type="dxa"/>
          </w:tcPr>
          <w:p w14:paraId="7BAE7F2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427.1</w:t>
            </w:r>
          </w:p>
        </w:tc>
        <w:tc>
          <w:tcPr>
            <w:tcW w:w="1206" w:type="dxa"/>
          </w:tcPr>
          <w:p w14:paraId="704FEE2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23.3</w:t>
            </w:r>
          </w:p>
        </w:tc>
        <w:tc>
          <w:tcPr>
            <w:tcW w:w="1206" w:type="dxa"/>
          </w:tcPr>
          <w:p w14:paraId="45702E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210,356</w:t>
            </w:r>
          </w:p>
        </w:tc>
      </w:tr>
      <w:tr w:rsidR="00B57608" w:rsidRPr="00961F99" w14:paraId="4976CCBF" w14:textId="77777777" w:rsidTr="00376A59">
        <w:trPr>
          <w:jc w:val="center"/>
        </w:trPr>
        <w:tc>
          <w:tcPr>
            <w:tcW w:w="1031" w:type="dxa"/>
          </w:tcPr>
          <w:p w14:paraId="01EF679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Colorado</w:t>
            </w:r>
          </w:p>
        </w:tc>
        <w:tc>
          <w:tcPr>
            <w:tcW w:w="1206" w:type="dxa"/>
          </w:tcPr>
          <w:p w14:paraId="58650DE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402.5</w:t>
            </w:r>
          </w:p>
        </w:tc>
        <w:tc>
          <w:tcPr>
            <w:tcW w:w="1206" w:type="dxa"/>
          </w:tcPr>
          <w:p w14:paraId="37D323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62.6</w:t>
            </w:r>
          </w:p>
        </w:tc>
        <w:tc>
          <w:tcPr>
            <w:tcW w:w="1206" w:type="dxa"/>
          </w:tcPr>
          <w:p w14:paraId="3A1121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3E3FF8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453.4</w:t>
            </w:r>
          </w:p>
        </w:tc>
        <w:tc>
          <w:tcPr>
            <w:tcW w:w="1206" w:type="dxa"/>
          </w:tcPr>
          <w:p w14:paraId="372988B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400.0</w:t>
            </w:r>
          </w:p>
        </w:tc>
        <w:tc>
          <w:tcPr>
            <w:tcW w:w="1206" w:type="dxa"/>
          </w:tcPr>
          <w:p w14:paraId="4F6FCE7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46.1</w:t>
            </w:r>
          </w:p>
        </w:tc>
        <w:tc>
          <w:tcPr>
            <w:tcW w:w="1206" w:type="dxa"/>
          </w:tcPr>
          <w:p w14:paraId="0F51A01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142,288</w:t>
            </w:r>
          </w:p>
        </w:tc>
      </w:tr>
      <w:tr w:rsidR="00B57608" w:rsidRPr="00961F99" w14:paraId="27DFB95B" w14:textId="77777777" w:rsidTr="00376A59">
        <w:trPr>
          <w:jc w:val="center"/>
        </w:trPr>
        <w:tc>
          <w:tcPr>
            <w:tcW w:w="1031" w:type="dxa"/>
          </w:tcPr>
          <w:p w14:paraId="6D999F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Montana</w:t>
            </w:r>
          </w:p>
        </w:tc>
        <w:tc>
          <w:tcPr>
            <w:tcW w:w="1206" w:type="dxa"/>
          </w:tcPr>
          <w:p w14:paraId="397732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209.2</w:t>
            </w:r>
          </w:p>
        </w:tc>
        <w:tc>
          <w:tcPr>
            <w:tcW w:w="1206" w:type="dxa"/>
          </w:tcPr>
          <w:p w14:paraId="2CE4B9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200.7</w:t>
            </w:r>
          </w:p>
        </w:tc>
        <w:tc>
          <w:tcPr>
            <w:tcW w:w="1206" w:type="dxa"/>
          </w:tcPr>
          <w:p w14:paraId="5DA060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6C96184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394.6</w:t>
            </w:r>
          </w:p>
        </w:tc>
        <w:tc>
          <w:tcPr>
            <w:tcW w:w="1206" w:type="dxa"/>
          </w:tcPr>
          <w:p w14:paraId="552E40A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372.2</w:t>
            </w:r>
          </w:p>
        </w:tc>
        <w:tc>
          <w:tcPr>
            <w:tcW w:w="1206" w:type="dxa"/>
          </w:tcPr>
          <w:p w14:paraId="6A72E6A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19.5</w:t>
            </w:r>
          </w:p>
        </w:tc>
        <w:tc>
          <w:tcPr>
            <w:tcW w:w="1206" w:type="dxa"/>
          </w:tcPr>
          <w:p w14:paraId="5507D0B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98,022</w:t>
            </w:r>
          </w:p>
        </w:tc>
      </w:tr>
      <w:tr w:rsidR="00B57608" w:rsidRPr="00961F99" w14:paraId="15B9D336" w14:textId="77777777" w:rsidTr="00376A59">
        <w:trPr>
          <w:jc w:val="center"/>
        </w:trPr>
        <w:tc>
          <w:tcPr>
            <w:tcW w:w="1031" w:type="dxa"/>
          </w:tcPr>
          <w:p w14:paraId="4CD691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Georgia</w:t>
            </w:r>
          </w:p>
        </w:tc>
        <w:tc>
          <w:tcPr>
            <w:tcW w:w="1206" w:type="dxa"/>
          </w:tcPr>
          <w:p w14:paraId="5E9CAD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346.7</w:t>
            </w:r>
          </w:p>
        </w:tc>
        <w:tc>
          <w:tcPr>
            <w:tcW w:w="1206" w:type="dxa"/>
          </w:tcPr>
          <w:p w14:paraId="3BCAC1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19.5</w:t>
            </w:r>
          </w:p>
        </w:tc>
        <w:tc>
          <w:tcPr>
            <w:tcW w:w="1206" w:type="dxa"/>
          </w:tcPr>
          <w:p w14:paraId="6C715DB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w:t>
            </w:r>
          </w:p>
        </w:tc>
        <w:tc>
          <w:tcPr>
            <w:tcW w:w="1206" w:type="dxa"/>
          </w:tcPr>
          <w:p w14:paraId="54247D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373.3</w:t>
            </w:r>
          </w:p>
        </w:tc>
        <w:tc>
          <w:tcPr>
            <w:tcW w:w="1206" w:type="dxa"/>
          </w:tcPr>
          <w:p w14:paraId="16ECEA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275.1</w:t>
            </w:r>
          </w:p>
        </w:tc>
        <w:tc>
          <w:tcPr>
            <w:tcW w:w="1206" w:type="dxa"/>
          </w:tcPr>
          <w:p w14:paraId="19E3C52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84.5</w:t>
            </w:r>
          </w:p>
        </w:tc>
        <w:tc>
          <w:tcPr>
            <w:tcW w:w="1206" w:type="dxa"/>
          </w:tcPr>
          <w:p w14:paraId="520E9D6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87,557</w:t>
            </w:r>
          </w:p>
        </w:tc>
      </w:tr>
      <w:tr w:rsidR="00B57608" w:rsidRPr="00961F99" w14:paraId="2BF720DE" w14:textId="77777777" w:rsidTr="00376A59">
        <w:trPr>
          <w:jc w:val="center"/>
        </w:trPr>
        <w:tc>
          <w:tcPr>
            <w:tcW w:w="1031" w:type="dxa"/>
          </w:tcPr>
          <w:p w14:paraId="14E8811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Kansas</w:t>
            </w:r>
          </w:p>
        </w:tc>
        <w:tc>
          <w:tcPr>
            <w:tcW w:w="1206" w:type="dxa"/>
          </w:tcPr>
          <w:p w14:paraId="36ACBA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354.2</w:t>
            </w:r>
          </w:p>
        </w:tc>
        <w:tc>
          <w:tcPr>
            <w:tcW w:w="1206" w:type="dxa"/>
          </w:tcPr>
          <w:p w14:paraId="1B7C93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19.8</w:t>
            </w:r>
          </w:p>
        </w:tc>
        <w:tc>
          <w:tcPr>
            <w:tcW w:w="1206" w:type="dxa"/>
          </w:tcPr>
          <w:p w14:paraId="1540DE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74A95E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365.2</w:t>
            </w:r>
          </w:p>
        </w:tc>
        <w:tc>
          <w:tcPr>
            <w:tcW w:w="1206" w:type="dxa"/>
          </w:tcPr>
          <w:p w14:paraId="208B7A8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336.5</w:t>
            </w:r>
          </w:p>
        </w:tc>
        <w:tc>
          <w:tcPr>
            <w:tcW w:w="1206" w:type="dxa"/>
          </w:tcPr>
          <w:p w14:paraId="21E7CBA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24.6</w:t>
            </w:r>
          </w:p>
        </w:tc>
        <w:tc>
          <w:tcPr>
            <w:tcW w:w="1206" w:type="dxa"/>
          </w:tcPr>
          <w:p w14:paraId="547BC9B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115,758</w:t>
            </w:r>
          </w:p>
        </w:tc>
      </w:tr>
      <w:tr w:rsidR="00B57608" w:rsidRPr="00961F99" w14:paraId="01609888" w14:textId="77777777" w:rsidTr="00376A59">
        <w:trPr>
          <w:jc w:val="center"/>
        </w:trPr>
        <w:tc>
          <w:tcPr>
            <w:tcW w:w="1031" w:type="dxa"/>
          </w:tcPr>
          <w:p w14:paraId="42B4A9E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Iowa</w:t>
            </w:r>
          </w:p>
        </w:tc>
        <w:tc>
          <w:tcPr>
            <w:tcW w:w="1206" w:type="dxa"/>
          </w:tcPr>
          <w:p w14:paraId="27E616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318.3</w:t>
            </w:r>
          </w:p>
        </w:tc>
        <w:tc>
          <w:tcPr>
            <w:tcW w:w="1206" w:type="dxa"/>
          </w:tcPr>
          <w:p w14:paraId="40FFA6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42.1</w:t>
            </w:r>
          </w:p>
        </w:tc>
        <w:tc>
          <w:tcPr>
            <w:tcW w:w="1206" w:type="dxa"/>
          </w:tcPr>
          <w:p w14:paraId="2A9374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75E0C3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346.7</w:t>
            </w:r>
          </w:p>
        </w:tc>
        <w:tc>
          <w:tcPr>
            <w:tcW w:w="1206" w:type="dxa"/>
          </w:tcPr>
          <w:p w14:paraId="4AB03B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323.4</w:t>
            </w:r>
          </w:p>
        </w:tc>
        <w:tc>
          <w:tcPr>
            <w:tcW w:w="1206" w:type="dxa"/>
          </w:tcPr>
          <w:p w14:paraId="65E5C80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19.4</w:t>
            </w:r>
          </w:p>
        </w:tc>
        <w:tc>
          <w:tcPr>
            <w:tcW w:w="1206" w:type="dxa"/>
          </w:tcPr>
          <w:p w14:paraId="3B387E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104,727</w:t>
            </w:r>
          </w:p>
        </w:tc>
      </w:tr>
      <w:tr w:rsidR="00B57608" w:rsidRPr="00961F99" w14:paraId="149411AC" w14:textId="77777777" w:rsidTr="00376A59">
        <w:trPr>
          <w:jc w:val="center"/>
        </w:trPr>
        <w:tc>
          <w:tcPr>
            <w:tcW w:w="1031" w:type="dxa"/>
          </w:tcPr>
          <w:p w14:paraId="71C8392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Idaho</w:t>
            </w:r>
          </w:p>
        </w:tc>
        <w:tc>
          <w:tcPr>
            <w:tcW w:w="1206" w:type="dxa"/>
          </w:tcPr>
          <w:p w14:paraId="29464D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161.1</w:t>
            </w:r>
          </w:p>
        </w:tc>
        <w:tc>
          <w:tcPr>
            <w:tcW w:w="1206" w:type="dxa"/>
          </w:tcPr>
          <w:p w14:paraId="092306B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163.7</w:t>
            </w:r>
          </w:p>
        </w:tc>
        <w:tc>
          <w:tcPr>
            <w:tcW w:w="1206" w:type="dxa"/>
          </w:tcPr>
          <w:p w14:paraId="1FC472A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4E6EDC3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313.0</w:t>
            </w:r>
          </w:p>
        </w:tc>
        <w:tc>
          <w:tcPr>
            <w:tcW w:w="1206" w:type="dxa"/>
          </w:tcPr>
          <w:p w14:paraId="0E02ED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289.9</w:t>
            </w:r>
          </w:p>
        </w:tc>
        <w:tc>
          <w:tcPr>
            <w:tcW w:w="1206" w:type="dxa"/>
          </w:tcPr>
          <w:p w14:paraId="215527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20.1</w:t>
            </w:r>
          </w:p>
        </w:tc>
        <w:tc>
          <w:tcPr>
            <w:tcW w:w="1206" w:type="dxa"/>
          </w:tcPr>
          <w:p w14:paraId="5AE815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88,138</w:t>
            </w:r>
          </w:p>
        </w:tc>
      </w:tr>
      <w:tr w:rsidR="00B57608" w:rsidRPr="00961F99" w14:paraId="730C83D7" w14:textId="77777777" w:rsidTr="00376A59">
        <w:trPr>
          <w:jc w:val="center"/>
        </w:trPr>
        <w:tc>
          <w:tcPr>
            <w:tcW w:w="1031" w:type="dxa"/>
          </w:tcPr>
          <w:p w14:paraId="0F76B11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Utah</w:t>
            </w:r>
          </w:p>
        </w:tc>
        <w:tc>
          <w:tcPr>
            <w:tcW w:w="1206" w:type="dxa"/>
          </w:tcPr>
          <w:p w14:paraId="57740B9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231.9</w:t>
            </w:r>
          </w:p>
        </w:tc>
        <w:tc>
          <w:tcPr>
            <w:tcW w:w="1206" w:type="dxa"/>
          </w:tcPr>
          <w:p w14:paraId="19ED19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18.6</w:t>
            </w:r>
          </w:p>
        </w:tc>
        <w:tc>
          <w:tcPr>
            <w:tcW w:w="1206" w:type="dxa"/>
          </w:tcPr>
          <w:p w14:paraId="37EEF9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65F12A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244.8</w:t>
            </w:r>
          </w:p>
        </w:tc>
        <w:tc>
          <w:tcPr>
            <w:tcW w:w="1206" w:type="dxa"/>
          </w:tcPr>
          <w:p w14:paraId="6FF2771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232.2</w:t>
            </w:r>
          </w:p>
        </w:tc>
        <w:tc>
          <w:tcPr>
            <w:tcW w:w="1206" w:type="dxa"/>
          </w:tcPr>
          <w:p w14:paraId="43D08B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11.1</w:t>
            </w:r>
          </w:p>
        </w:tc>
        <w:tc>
          <w:tcPr>
            <w:tcW w:w="1206" w:type="dxa"/>
          </w:tcPr>
          <w:p w14:paraId="3275FA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82,625</w:t>
            </w:r>
          </w:p>
        </w:tc>
      </w:tr>
      <w:tr w:rsidR="00B57608" w:rsidRPr="00961F99" w14:paraId="594CCA1A" w14:textId="77777777" w:rsidTr="00376A59">
        <w:trPr>
          <w:jc w:val="center"/>
        </w:trPr>
        <w:tc>
          <w:tcPr>
            <w:tcW w:w="1031" w:type="dxa"/>
          </w:tcPr>
          <w:p w14:paraId="422ABE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Maryland</w:t>
            </w:r>
          </w:p>
        </w:tc>
        <w:tc>
          <w:tcPr>
            <w:tcW w:w="1206" w:type="dxa"/>
          </w:tcPr>
          <w:p w14:paraId="7CED37A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140.4</w:t>
            </w:r>
          </w:p>
        </w:tc>
        <w:tc>
          <w:tcPr>
            <w:tcW w:w="1206" w:type="dxa"/>
          </w:tcPr>
          <w:p w14:paraId="337C58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13.4</w:t>
            </w:r>
          </w:p>
        </w:tc>
        <w:tc>
          <w:tcPr>
            <w:tcW w:w="1206" w:type="dxa"/>
          </w:tcPr>
          <w:p w14:paraId="44601D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80.4</w:t>
            </w:r>
          </w:p>
        </w:tc>
        <w:tc>
          <w:tcPr>
            <w:tcW w:w="1206" w:type="dxa"/>
          </w:tcPr>
          <w:p w14:paraId="366540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229.7</w:t>
            </w:r>
          </w:p>
        </w:tc>
        <w:tc>
          <w:tcPr>
            <w:tcW w:w="1206" w:type="dxa"/>
          </w:tcPr>
          <w:p w14:paraId="6579C2E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153.8</w:t>
            </w:r>
          </w:p>
        </w:tc>
        <w:tc>
          <w:tcPr>
            <w:tcW w:w="1206" w:type="dxa"/>
          </w:tcPr>
          <w:p w14:paraId="0B37183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63.7</w:t>
            </w:r>
          </w:p>
        </w:tc>
        <w:tc>
          <w:tcPr>
            <w:tcW w:w="1206" w:type="dxa"/>
          </w:tcPr>
          <w:p w14:paraId="5BA80EC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72,464</w:t>
            </w:r>
          </w:p>
        </w:tc>
      </w:tr>
      <w:tr w:rsidR="00B57608" w:rsidRPr="00961F99" w14:paraId="088B810F" w14:textId="77777777" w:rsidTr="00376A59">
        <w:trPr>
          <w:jc w:val="center"/>
        </w:trPr>
        <w:tc>
          <w:tcPr>
            <w:tcW w:w="1031" w:type="dxa"/>
          </w:tcPr>
          <w:p w14:paraId="71F23C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Nebraska</w:t>
            </w:r>
          </w:p>
        </w:tc>
        <w:tc>
          <w:tcPr>
            <w:tcW w:w="1206" w:type="dxa"/>
          </w:tcPr>
          <w:p w14:paraId="750450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198.8</w:t>
            </w:r>
          </w:p>
        </w:tc>
        <w:tc>
          <w:tcPr>
            <w:tcW w:w="1206" w:type="dxa"/>
          </w:tcPr>
          <w:p w14:paraId="418C50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32.8</w:t>
            </w:r>
          </w:p>
        </w:tc>
        <w:tc>
          <w:tcPr>
            <w:tcW w:w="1206" w:type="dxa"/>
          </w:tcPr>
          <w:p w14:paraId="3EFD538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177945B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217.5</w:t>
            </w:r>
          </w:p>
        </w:tc>
        <w:tc>
          <w:tcPr>
            <w:tcW w:w="1206" w:type="dxa"/>
          </w:tcPr>
          <w:p w14:paraId="227567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196.8</w:t>
            </w:r>
          </w:p>
        </w:tc>
        <w:tc>
          <w:tcPr>
            <w:tcW w:w="1206" w:type="dxa"/>
          </w:tcPr>
          <w:p w14:paraId="0D14A07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17.1</w:t>
            </w:r>
          </w:p>
        </w:tc>
        <w:tc>
          <w:tcPr>
            <w:tcW w:w="1206" w:type="dxa"/>
          </w:tcPr>
          <w:p w14:paraId="6B5DCC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78,964</w:t>
            </w:r>
          </w:p>
        </w:tc>
      </w:tr>
      <w:tr w:rsidR="00B57608" w:rsidRPr="00961F99" w14:paraId="41638BEF" w14:textId="77777777" w:rsidTr="00376A59">
        <w:trPr>
          <w:jc w:val="center"/>
        </w:trPr>
        <w:tc>
          <w:tcPr>
            <w:tcW w:w="1031" w:type="dxa"/>
          </w:tcPr>
          <w:p w14:paraId="6AE2D1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New Mexico</w:t>
            </w:r>
          </w:p>
        </w:tc>
        <w:tc>
          <w:tcPr>
            <w:tcW w:w="1206" w:type="dxa"/>
          </w:tcPr>
          <w:p w14:paraId="1A9485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199.0</w:t>
            </w:r>
          </w:p>
        </w:tc>
        <w:tc>
          <w:tcPr>
            <w:tcW w:w="1206" w:type="dxa"/>
          </w:tcPr>
          <w:p w14:paraId="4ED8B4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11.8</w:t>
            </w:r>
          </w:p>
        </w:tc>
        <w:tc>
          <w:tcPr>
            <w:tcW w:w="1206" w:type="dxa"/>
          </w:tcPr>
          <w:p w14:paraId="6A90B7D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4CE96E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209.4</w:t>
            </w:r>
          </w:p>
        </w:tc>
        <w:tc>
          <w:tcPr>
            <w:tcW w:w="1206" w:type="dxa"/>
          </w:tcPr>
          <w:p w14:paraId="324D65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180.2</w:t>
            </w:r>
          </w:p>
        </w:tc>
        <w:tc>
          <w:tcPr>
            <w:tcW w:w="1206" w:type="dxa"/>
          </w:tcPr>
          <w:p w14:paraId="5E3E98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25.2</w:t>
            </w:r>
          </w:p>
        </w:tc>
        <w:tc>
          <w:tcPr>
            <w:tcW w:w="1206" w:type="dxa"/>
          </w:tcPr>
          <w:p w14:paraId="227A1A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59,919</w:t>
            </w:r>
          </w:p>
        </w:tc>
      </w:tr>
      <w:tr w:rsidR="00B57608" w:rsidRPr="00961F99" w14:paraId="2982A44F" w14:textId="77777777" w:rsidTr="00376A59">
        <w:trPr>
          <w:jc w:val="center"/>
        </w:trPr>
        <w:tc>
          <w:tcPr>
            <w:tcW w:w="1031" w:type="dxa"/>
          </w:tcPr>
          <w:p w14:paraId="22FC18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South Dakota</w:t>
            </w:r>
          </w:p>
        </w:tc>
        <w:tc>
          <w:tcPr>
            <w:tcW w:w="1206" w:type="dxa"/>
          </w:tcPr>
          <w:p w14:paraId="3C4AAD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183.1</w:t>
            </w:r>
          </w:p>
        </w:tc>
        <w:tc>
          <w:tcPr>
            <w:tcW w:w="1206" w:type="dxa"/>
          </w:tcPr>
          <w:p w14:paraId="17F9E02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13.7</w:t>
            </w:r>
          </w:p>
        </w:tc>
        <w:tc>
          <w:tcPr>
            <w:tcW w:w="1206" w:type="dxa"/>
          </w:tcPr>
          <w:p w14:paraId="6819BD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3E96BF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190.1</w:t>
            </w:r>
          </w:p>
        </w:tc>
        <w:tc>
          <w:tcPr>
            <w:tcW w:w="1206" w:type="dxa"/>
          </w:tcPr>
          <w:p w14:paraId="38460B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176.3</w:t>
            </w:r>
          </w:p>
        </w:tc>
        <w:tc>
          <w:tcPr>
            <w:tcW w:w="1206" w:type="dxa"/>
          </w:tcPr>
          <w:p w14:paraId="7238D6C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11.9</w:t>
            </w:r>
          </w:p>
        </w:tc>
        <w:tc>
          <w:tcPr>
            <w:tcW w:w="1206" w:type="dxa"/>
          </w:tcPr>
          <w:p w14:paraId="0994B8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41,963</w:t>
            </w:r>
          </w:p>
        </w:tc>
      </w:tr>
      <w:tr w:rsidR="00B57608" w:rsidRPr="00961F99" w14:paraId="62897C8D" w14:textId="77777777" w:rsidTr="00376A59">
        <w:trPr>
          <w:jc w:val="center"/>
        </w:trPr>
        <w:tc>
          <w:tcPr>
            <w:tcW w:w="1031" w:type="dxa"/>
          </w:tcPr>
          <w:p w14:paraId="13E62CA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New Hampshire</w:t>
            </w:r>
          </w:p>
        </w:tc>
        <w:tc>
          <w:tcPr>
            <w:tcW w:w="1206" w:type="dxa"/>
          </w:tcPr>
          <w:p w14:paraId="004B3D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95.7</w:t>
            </w:r>
          </w:p>
        </w:tc>
        <w:tc>
          <w:tcPr>
            <w:tcW w:w="1206" w:type="dxa"/>
          </w:tcPr>
          <w:p w14:paraId="61724C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78.3</w:t>
            </w:r>
          </w:p>
        </w:tc>
        <w:tc>
          <w:tcPr>
            <w:tcW w:w="1206" w:type="dxa"/>
          </w:tcPr>
          <w:p w14:paraId="78DE71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16.7</w:t>
            </w:r>
          </w:p>
        </w:tc>
        <w:tc>
          <w:tcPr>
            <w:tcW w:w="1206" w:type="dxa"/>
          </w:tcPr>
          <w:p w14:paraId="08B9790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185.6</w:t>
            </w:r>
          </w:p>
        </w:tc>
        <w:tc>
          <w:tcPr>
            <w:tcW w:w="1206" w:type="dxa"/>
          </w:tcPr>
          <w:p w14:paraId="4E6548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159.9</w:t>
            </w:r>
          </w:p>
        </w:tc>
        <w:tc>
          <w:tcPr>
            <w:tcW w:w="1206" w:type="dxa"/>
          </w:tcPr>
          <w:p w14:paraId="1EA5D37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20.7</w:t>
            </w:r>
          </w:p>
        </w:tc>
        <w:tc>
          <w:tcPr>
            <w:tcW w:w="1206" w:type="dxa"/>
          </w:tcPr>
          <w:p w14:paraId="5AAE0F3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32,203</w:t>
            </w:r>
          </w:p>
        </w:tc>
      </w:tr>
      <w:tr w:rsidR="00B57608" w:rsidRPr="00961F99" w14:paraId="26C8C669" w14:textId="77777777" w:rsidTr="00376A59">
        <w:trPr>
          <w:jc w:val="center"/>
        </w:trPr>
        <w:tc>
          <w:tcPr>
            <w:tcW w:w="1031" w:type="dxa"/>
          </w:tcPr>
          <w:p w14:paraId="4F7C1E7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Illinois</w:t>
            </w:r>
          </w:p>
        </w:tc>
        <w:tc>
          <w:tcPr>
            <w:tcW w:w="1206" w:type="dxa"/>
          </w:tcPr>
          <w:p w14:paraId="67A89A2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145.8</w:t>
            </w:r>
          </w:p>
        </w:tc>
        <w:tc>
          <w:tcPr>
            <w:tcW w:w="1206" w:type="dxa"/>
          </w:tcPr>
          <w:p w14:paraId="4A2DF65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35.2</w:t>
            </w:r>
          </w:p>
        </w:tc>
        <w:tc>
          <w:tcPr>
            <w:tcW w:w="1206" w:type="dxa"/>
          </w:tcPr>
          <w:p w14:paraId="604F9E2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6973FDE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172.3</w:t>
            </w:r>
          </w:p>
        </w:tc>
        <w:tc>
          <w:tcPr>
            <w:tcW w:w="1206" w:type="dxa"/>
          </w:tcPr>
          <w:p w14:paraId="21DFC9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121.2</w:t>
            </w:r>
          </w:p>
        </w:tc>
        <w:tc>
          <w:tcPr>
            <w:tcW w:w="1206" w:type="dxa"/>
          </w:tcPr>
          <w:p w14:paraId="2146E9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40.8</w:t>
            </w:r>
          </w:p>
        </w:tc>
        <w:tc>
          <w:tcPr>
            <w:tcW w:w="1206" w:type="dxa"/>
          </w:tcPr>
          <w:p w14:paraId="386571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57,011</w:t>
            </w:r>
          </w:p>
        </w:tc>
      </w:tr>
      <w:tr w:rsidR="00B57608" w:rsidRPr="00961F99" w14:paraId="08999E4E" w14:textId="77777777" w:rsidTr="00376A59">
        <w:trPr>
          <w:jc w:val="center"/>
        </w:trPr>
        <w:tc>
          <w:tcPr>
            <w:tcW w:w="1031" w:type="dxa"/>
          </w:tcPr>
          <w:p w14:paraId="7F707B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Vermont</w:t>
            </w:r>
          </w:p>
        </w:tc>
        <w:tc>
          <w:tcPr>
            <w:tcW w:w="1206" w:type="dxa"/>
          </w:tcPr>
          <w:p w14:paraId="194ADA5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136.2</w:t>
            </w:r>
          </w:p>
        </w:tc>
        <w:tc>
          <w:tcPr>
            <w:tcW w:w="1206" w:type="dxa"/>
          </w:tcPr>
          <w:p w14:paraId="67A623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23.3</w:t>
            </w:r>
          </w:p>
        </w:tc>
        <w:tc>
          <w:tcPr>
            <w:tcW w:w="1206" w:type="dxa"/>
          </w:tcPr>
          <w:p w14:paraId="6BB569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29952A1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156.3</w:t>
            </w:r>
          </w:p>
        </w:tc>
        <w:tc>
          <w:tcPr>
            <w:tcW w:w="1206" w:type="dxa"/>
          </w:tcPr>
          <w:p w14:paraId="5A7D08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132.2</w:t>
            </w:r>
          </w:p>
        </w:tc>
        <w:tc>
          <w:tcPr>
            <w:tcW w:w="1206" w:type="dxa"/>
          </w:tcPr>
          <w:p w14:paraId="09C692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20.5</w:t>
            </w:r>
          </w:p>
        </w:tc>
        <w:tc>
          <w:tcPr>
            <w:tcW w:w="1206" w:type="dxa"/>
          </w:tcPr>
          <w:p w14:paraId="21E5D14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23,759</w:t>
            </w:r>
          </w:p>
        </w:tc>
      </w:tr>
      <w:tr w:rsidR="00B57608" w:rsidRPr="00961F99" w14:paraId="56255F7C" w14:textId="77777777" w:rsidTr="00376A59">
        <w:trPr>
          <w:jc w:val="center"/>
        </w:trPr>
        <w:tc>
          <w:tcPr>
            <w:tcW w:w="1031" w:type="dxa"/>
          </w:tcPr>
          <w:p w14:paraId="085ADB3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Oklahoma</w:t>
            </w:r>
          </w:p>
        </w:tc>
        <w:tc>
          <w:tcPr>
            <w:tcW w:w="1206" w:type="dxa"/>
          </w:tcPr>
          <w:p w14:paraId="2097E43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138.8</w:t>
            </w:r>
          </w:p>
        </w:tc>
        <w:tc>
          <w:tcPr>
            <w:tcW w:w="1206" w:type="dxa"/>
          </w:tcPr>
          <w:p w14:paraId="7E1B87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16.7</w:t>
            </w:r>
          </w:p>
        </w:tc>
        <w:tc>
          <w:tcPr>
            <w:tcW w:w="1206" w:type="dxa"/>
          </w:tcPr>
          <w:p w14:paraId="01365BB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1D68EF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151.6</w:t>
            </w:r>
          </w:p>
        </w:tc>
        <w:tc>
          <w:tcPr>
            <w:tcW w:w="1206" w:type="dxa"/>
          </w:tcPr>
          <w:p w14:paraId="5DAA2C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139.1</w:t>
            </w:r>
          </w:p>
        </w:tc>
        <w:tc>
          <w:tcPr>
            <w:tcW w:w="1206" w:type="dxa"/>
          </w:tcPr>
          <w:p w14:paraId="6487EC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w:t>
            </w:r>
          </w:p>
        </w:tc>
        <w:tc>
          <w:tcPr>
            <w:tcW w:w="1206" w:type="dxa"/>
          </w:tcPr>
          <w:p w14:paraId="4D97DD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71,622</w:t>
            </w:r>
          </w:p>
        </w:tc>
      </w:tr>
      <w:tr w:rsidR="00B57608" w:rsidRPr="00961F99" w14:paraId="6A66A184" w14:textId="77777777" w:rsidTr="00376A59">
        <w:trPr>
          <w:jc w:val="center"/>
        </w:trPr>
        <w:tc>
          <w:tcPr>
            <w:tcW w:w="1031" w:type="dxa"/>
          </w:tcPr>
          <w:p w14:paraId="72CCF9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South Carolina</w:t>
            </w:r>
          </w:p>
        </w:tc>
        <w:tc>
          <w:tcPr>
            <w:tcW w:w="1206" w:type="dxa"/>
          </w:tcPr>
          <w:p w14:paraId="3C9075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102.5</w:t>
            </w:r>
          </w:p>
        </w:tc>
        <w:tc>
          <w:tcPr>
            <w:tcW w:w="1206" w:type="dxa"/>
          </w:tcPr>
          <w:p w14:paraId="0D04A9E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16.1</w:t>
            </w:r>
          </w:p>
        </w:tc>
        <w:tc>
          <w:tcPr>
            <w:tcW w:w="1206" w:type="dxa"/>
          </w:tcPr>
          <w:p w14:paraId="06F771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32.9</w:t>
            </w:r>
          </w:p>
        </w:tc>
        <w:tc>
          <w:tcPr>
            <w:tcW w:w="1206" w:type="dxa"/>
          </w:tcPr>
          <w:p w14:paraId="5DD52EE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148.8</w:t>
            </w:r>
          </w:p>
        </w:tc>
        <w:tc>
          <w:tcPr>
            <w:tcW w:w="1206" w:type="dxa"/>
          </w:tcPr>
          <w:p w14:paraId="5675D3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77.5</w:t>
            </w:r>
          </w:p>
        </w:tc>
        <w:tc>
          <w:tcPr>
            <w:tcW w:w="1206" w:type="dxa"/>
          </w:tcPr>
          <w:p w14:paraId="01483E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51.2</w:t>
            </w:r>
          </w:p>
        </w:tc>
        <w:tc>
          <w:tcPr>
            <w:tcW w:w="1206" w:type="dxa"/>
          </w:tcPr>
          <w:p w14:paraId="4B99E8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91,350</w:t>
            </w:r>
          </w:p>
        </w:tc>
      </w:tr>
      <w:tr w:rsidR="00B57608" w:rsidRPr="00961F99" w14:paraId="3295CB57" w14:textId="77777777" w:rsidTr="00376A59">
        <w:trPr>
          <w:jc w:val="center"/>
        </w:trPr>
        <w:tc>
          <w:tcPr>
            <w:tcW w:w="1031" w:type="dxa"/>
          </w:tcPr>
          <w:p w14:paraId="7E4F35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Arizona</w:t>
            </w:r>
          </w:p>
        </w:tc>
        <w:tc>
          <w:tcPr>
            <w:tcW w:w="1206" w:type="dxa"/>
          </w:tcPr>
          <w:p w14:paraId="3FD27B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127.9</w:t>
            </w:r>
          </w:p>
        </w:tc>
        <w:tc>
          <w:tcPr>
            <w:tcW w:w="1206" w:type="dxa"/>
          </w:tcPr>
          <w:p w14:paraId="08DBFFB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9.4</w:t>
            </w:r>
          </w:p>
        </w:tc>
        <w:tc>
          <w:tcPr>
            <w:tcW w:w="1206" w:type="dxa"/>
          </w:tcPr>
          <w:p w14:paraId="7AEEABC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314010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136.6</w:t>
            </w:r>
          </w:p>
        </w:tc>
        <w:tc>
          <w:tcPr>
            <w:tcW w:w="1206" w:type="dxa"/>
          </w:tcPr>
          <w:p w14:paraId="01D3AA9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119.1</w:t>
            </w:r>
          </w:p>
        </w:tc>
        <w:tc>
          <w:tcPr>
            <w:tcW w:w="1206" w:type="dxa"/>
          </w:tcPr>
          <w:p w14:paraId="3044B84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13.8</w:t>
            </w:r>
          </w:p>
        </w:tc>
        <w:tc>
          <w:tcPr>
            <w:tcW w:w="1206" w:type="dxa"/>
          </w:tcPr>
          <w:p w14:paraId="575D551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86,210</w:t>
            </w:r>
          </w:p>
        </w:tc>
      </w:tr>
      <w:tr w:rsidR="00B57608" w:rsidRPr="00961F99" w14:paraId="1F8A18DA" w14:textId="77777777" w:rsidTr="00376A59">
        <w:trPr>
          <w:jc w:val="center"/>
        </w:trPr>
        <w:tc>
          <w:tcPr>
            <w:tcW w:w="1031" w:type="dxa"/>
          </w:tcPr>
          <w:p w14:paraId="37A691B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Ohio</w:t>
            </w:r>
          </w:p>
        </w:tc>
        <w:tc>
          <w:tcPr>
            <w:tcW w:w="1206" w:type="dxa"/>
          </w:tcPr>
          <w:p w14:paraId="0C31BD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84.2</w:t>
            </w:r>
          </w:p>
        </w:tc>
        <w:tc>
          <w:tcPr>
            <w:tcW w:w="1206" w:type="dxa"/>
          </w:tcPr>
          <w:p w14:paraId="6B5004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46.7</w:t>
            </w:r>
          </w:p>
        </w:tc>
        <w:tc>
          <w:tcPr>
            <w:tcW w:w="1206" w:type="dxa"/>
          </w:tcPr>
          <w:p w14:paraId="77D39A9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0BDF30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127.4</w:t>
            </w:r>
          </w:p>
        </w:tc>
        <w:tc>
          <w:tcPr>
            <w:tcW w:w="1206" w:type="dxa"/>
          </w:tcPr>
          <w:p w14:paraId="0C56A85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77.7</w:t>
            </w:r>
          </w:p>
        </w:tc>
        <w:tc>
          <w:tcPr>
            <w:tcW w:w="1206" w:type="dxa"/>
          </w:tcPr>
          <w:p w14:paraId="73856CB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41.4</w:t>
            </w:r>
          </w:p>
        </w:tc>
        <w:tc>
          <w:tcPr>
            <w:tcW w:w="1206" w:type="dxa"/>
          </w:tcPr>
          <w:p w14:paraId="60A7C6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32,856</w:t>
            </w:r>
          </w:p>
        </w:tc>
      </w:tr>
      <w:tr w:rsidR="00B57608" w:rsidRPr="00961F99" w14:paraId="4D27CDFF" w14:textId="77777777" w:rsidTr="00376A59">
        <w:trPr>
          <w:jc w:val="center"/>
        </w:trPr>
        <w:tc>
          <w:tcPr>
            <w:tcW w:w="1031" w:type="dxa"/>
          </w:tcPr>
          <w:p w14:paraId="0FE8327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Maine</w:t>
            </w:r>
          </w:p>
        </w:tc>
        <w:tc>
          <w:tcPr>
            <w:tcW w:w="1206" w:type="dxa"/>
          </w:tcPr>
          <w:p w14:paraId="59E5062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33.7</w:t>
            </w:r>
          </w:p>
        </w:tc>
        <w:tc>
          <w:tcPr>
            <w:tcW w:w="1206" w:type="dxa"/>
          </w:tcPr>
          <w:p w14:paraId="422ACB5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56.7</w:t>
            </w:r>
          </w:p>
        </w:tc>
        <w:tc>
          <w:tcPr>
            <w:tcW w:w="1206" w:type="dxa"/>
          </w:tcPr>
          <w:p w14:paraId="7EC848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39.5</w:t>
            </w:r>
          </w:p>
        </w:tc>
        <w:tc>
          <w:tcPr>
            <w:tcW w:w="1206" w:type="dxa"/>
          </w:tcPr>
          <w:p w14:paraId="648623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127.0</w:t>
            </w:r>
          </w:p>
        </w:tc>
        <w:tc>
          <w:tcPr>
            <w:tcW w:w="1206" w:type="dxa"/>
          </w:tcPr>
          <w:p w14:paraId="08FA38A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96.6</w:t>
            </w:r>
          </w:p>
        </w:tc>
        <w:tc>
          <w:tcPr>
            <w:tcW w:w="1206" w:type="dxa"/>
          </w:tcPr>
          <w:p w14:paraId="025D38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25.5</w:t>
            </w:r>
          </w:p>
        </w:tc>
        <w:tc>
          <w:tcPr>
            <w:tcW w:w="1206" w:type="dxa"/>
          </w:tcPr>
          <w:p w14:paraId="4D3D8BC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19,540</w:t>
            </w:r>
          </w:p>
        </w:tc>
      </w:tr>
      <w:tr w:rsidR="00B57608" w:rsidRPr="00961F99" w14:paraId="157B5547" w14:textId="77777777" w:rsidTr="00376A59">
        <w:trPr>
          <w:jc w:val="center"/>
        </w:trPr>
        <w:tc>
          <w:tcPr>
            <w:tcW w:w="1031" w:type="dxa"/>
          </w:tcPr>
          <w:p w14:paraId="0B16A0C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Arkansas</w:t>
            </w:r>
          </w:p>
        </w:tc>
        <w:tc>
          <w:tcPr>
            <w:tcW w:w="1206" w:type="dxa"/>
          </w:tcPr>
          <w:p w14:paraId="7E22D6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112.7</w:t>
            </w:r>
          </w:p>
        </w:tc>
        <w:tc>
          <w:tcPr>
            <w:tcW w:w="1206" w:type="dxa"/>
          </w:tcPr>
          <w:p w14:paraId="199633A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14.1</w:t>
            </w:r>
          </w:p>
        </w:tc>
        <w:tc>
          <w:tcPr>
            <w:tcW w:w="1206" w:type="dxa"/>
          </w:tcPr>
          <w:p w14:paraId="3248AA0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28B0450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125.0</w:t>
            </w:r>
          </w:p>
        </w:tc>
        <w:tc>
          <w:tcPr>
            <w:tcW w:w="1206" w:type="dxa"/>
          </w:tcPr>
          <w:p w14:paraId="0D561AD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108.3</w:t>
            </w:r>
          </w:p>
        </w:tc>
        <w:tc>
          <w:tcPr>
            <w:tcW w:w="1206" w:type="dxa"/>
          </w:tcPr>
          <w:p w14:paraId="3B51053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13.9</w:t>
            </w:r>
          </w:p>
        </w:tc>
        <w:tc>
          <w:tcPr>
            <w:tcW w:w="1206" w:type="dxa"/>
          </w:tcPr>
          <w:p w14:paraId="2E412D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31,275</w:t>
            </w:r>
          </w:p>
        </w:tc>
      </w:tr>
      <w:tr w:rsidR="00B57608" w:rsidRPr="00961F99" w14:paraId="6EEA029E" w14:textId="77777777" w:rsidTr="00376A59">
        <w:trPr>
          <w:jc w:val="center"/>
        </w:trPr>
        <w:tc>
          <w:tcPr>
            <w:tcW w:w="1031" w:type="dxa"/>
          </w:tcPr>
          <w:p w14:paraId="37834D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Mississippi</w:t>
            </w:r>
          </w:p>
        </w:tc>
        <w:tc>
          <w:tcPr>
            <w:tcW w:w="1206" w:type="dxa"/>
          </w:tcPr>
          <w:p w14:paraId="43319C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95.3</w:t>
            </w:r>
          </w:p>
        </w:tc>
        <w:tc>
          <w:tcPr>
            <w:tcW w:w="1206" w:type="dxa"/>
          </w:tcPr>
          <w:p w14:paraId="6158A9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15.0</w:t>
            </w:r>
          </w:p>
        </w:tc>
        <w:tc>
          <w:tcPr>
            <w:tcW w:w="1206" w:type="dxa"/>
          </w:tcPr>
          <w:p w14:paraId="217155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17.8</w:t>
            </w:r>
          </w:p>
        </w:tc>
        <w:tc>
          <w:tcPr>
            <w:tcW w:w="1206" w:type="dxa"/>
          </w:tcPr>
          <w:p w14:paraId="13E2E29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122.6</w:t>
            </w:r>
          </w:p>
        </w:tc>
        <w:tc>
          <w:tcPr>
            <w:tcW w:w="1206" w:type="dxa"/>
          </w:tcPr>
          <w:p w14:paraId="021C60E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87.4</w:t>
            </w:r>
          </w:p>
        </w:tc>
        <w:tc>
          <w:tcPr>
            <w:tcW w:w="1206" w:type="dxa"/>
          </w:tcPr>
          <w:p w14:paraId="15BD41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24.4</w:t>
            </w:r>
          </w:p>
        </w:tc>
        <w:tc>
          <w:tcPr>
            <w:tcW w:w="1206" w:type="dxa"/>
          </w:tcPr>
          <w:p w14:paraId="1896DE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69,730</w:t>
            </w:r>
          </w:p>
        </w:tc>
      </w:tr>
      <w:tr w:rsidR="00B57608" w:rsidRPr="00961F99" w14:paraId="68ED8E25" w14:textId="77777777" w:rsidTr="00376A59">
        <w:trPr>
          <w:jc w:val="center"/>
        </w:trPr>
        <w:tc>
          <w:tcPr>
            <w:tcW w:w="1031" w:type="dxa"/>
          </w:tcPr>
          <w:p w14:paraId="22734A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Delaware</w:t>
            </w:r>
          </w:p>
        </w:tc>
        <w:tc>
          <w:tcPr>
            <w:tcW w:w="1206" w:type="dxa"/>
          </w:tcPr>
          <w:p w14:paraId="3C0A825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47.5</w:t>
            </w:r>
          </w:p>
        </w:tc>
        <w:tc>
          <w:tcPr>
            <w:tcW w:w="1206" w:type="dxa"/>
          </w:tcPr>
          <w:p w14:paraId="7A37A0A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7.2</w:t>
            </w:r>
          </w:p>
        </w:tc>
        <w:tc>
          <w:tcPr>
            <w:tcW w:w="1206" w:type="dxa"/>
          </w:tcPr>
          <w:p w14:paraId="431AADA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48.1</w:t>
            </w:r>
          </w:p>
        </w:tc>
        <w:tc>
          <w:tcPr>
            <w:tcW w:w="1206" w:type="dxa"/>
          </w:tcPr>
          <w:p w14:paraId="71841C0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97.6</w:t>
            </w:r>
          </w:p>
        </w:tc>
        <w:tc>
          <w:tcPr>
            <w:tcW w:w="1206" w:type="dxa"/>
          </w:tcPr>
          <w:p w14:paraId="743351B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56.2</w:t>
            </w:r>
          </w:p>
        </w:tc>
        <w:tc>
          <w:tcPr>
            <w:tcW w:w="1206" w:type="dxa"/>
          </w:tcPr>
          <w:p w14:paraId="6FD3B7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32.1</w:t>
            </w:r>
          </w:p>
        </w:tc>
        <w:tc>
          <w:tcPr>
            <w:tcW w:w="1206" w:type="dxa"/>
          </w:tcPr>
          <w:p w14:paraId="283DE1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32,490</w:t>
            </w:r>
          </w:p>
        </w:tc>
      </w:tr>
      <w:tr w:rsidR="00B57608" w:rsidRPr="00961F99" w14:paraId="32A9BCAA" w14:textId="77777777" w:rsidTr="00376A59">
        <w:trPr>
          <w:jc w:val="center"/>
        </w:trPr>
        <w:tc>
          <w:tcPr>
            <w:tcW w:w="1031" w:type="dxa"/>
          </w:tcPr>
          <w:p w14:paraId="7C7316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Wyoming</w:t>
            </w:r>
          </w:p>
        </w:tc>
        <w:tc>
          <w:tcPr>
            <w:tcW w:w="1206" w:type="dxa"/>
          </w:tcPr>
          <w:p w14:paraId="663DBB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62.2</w:t>
            </w:r>
          </w:p>
        </w:tc>
        <w:tc>
          <w:tcPr>
            <w:tcW w:w="1206" w:type="dxa"/>
          </w:tcPr>
          <w:p w14:paraId="6949CE5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37.4</w:t>
            </w:r>
          </w:p>
        </w:tc>
        <w:tc>
          <w:tcPr>
            <w:tcW w:w="1206" w:type="dxa"/>
          </w:tcPr>
          <w:p w14:paraId="4F7E3E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392896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95.5</w:t>
            </w:r>
          </w:p>
        </w:tc>
        <w:tc>
          <w:tcPr>
            <w:tcW w:w="1206" w:type="dxa"/>
          </w:tcPr>
          <w:p w14:paraId="652DB1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89.4</w:t>
            </w:r>
          </w:p>
        </w:tc>
        <w:tc>
          <w:tcPr>
            <w:tcW w:w="1206" w:type="dxa"/>
          </w:tcPr>
          <w:p w14:paraId="2500625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5.2</w:t>
            </w:r>
          </w:p>
        </w:tc>
        <w:tc>
          <w:tcPr>
            <w:tcW w:w="1206" w:type="dxa"/>
          </w:tcPr>
          <w:p w14:paraId="1AC92C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28,761</w:t>
            </w:r>
          </w:p>
        </w:tc>
      </w:tr>
      <w:tr w:rsidR="00B57608" w:rsidRPr="00961F99" w14:paraId="2F2A4C85" w14:textId="77777777" w:rsidTr="00376A59">
        <w:trPr>
          <w:jc w:val="center"/>
        </w:trPr>
        <w:tc>
          <w:tcPr>
            <w:tcW w:w="1031" w:type="dxa"/>
          </w:tcPr>
          <w:p w14:paraId="34B796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Rhode Island</w:t>
            </w:r>
          </w:p>
        </w:tc>
        <w:tc>
          <w:tcPr>
            <w:tcW w:w="1206" w:type="dxa"/>
          </w:tcPr>
          <w:p w14:paraId="020B32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46.6</w:t>
            </w:r>
          </w:p>
        </w:tc>
        <w:tc>
          <w:tcPr>
            <w:tcW w:w="1206" w:type="dxa"/>
          </w:tcPr>
          <w:p w14:paraId="029A1C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w:t>
            </w:r>
          </w:p>
        </w:tc>
        <w:tc>
          <w:tcPr>
            <w:tcW w:w="1206" w:type="dxa"/>
          </w:tcPr>
          <w:p w14:paraId="6D4AB8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8.8</w:t>
            </w:r>
          </w:p>
        </w:tc>
        <w:tc>
          <w:tcPr>
            <w:tcW w:w="1206" w:type="dxa"/>
          </w:tcPr>
          <w:p w14:paraId="668B17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56.2</w:t>
            </w:r>
          </w:p>
        </w:tc>
        <w:tc>
          <w:tcPr>
            <w:tcW w:w="1206" w:type="dxa"/>
          </w:tcPr>
          <w:p w14:paraId="0110B0B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38.6</w:t>
            </w:r>
          </w:p>
        </w:tc>
        <w:tc>
          <w:tcPr>
            <w:tcW w:w="1206" w:type="dxa"/>
          </w:tcPr>
          <w:p w14:paraId="785806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12.6</w:t>
            </w:r>
          </w:p>
        </w:tc>
        <w:tc>
          <w:tcPr>
            <w:tcW w:w="1206" w:type="dxa"/>
          </w:tcPr>
          <w:p w14:paraId="6401ABD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21,514</w:t>
            </w:r>
          </w:p>
        </w:tc>
      </w:tr>
      <w:tr w:rsidR="00B57608" w:rsidRPr="00961F99" w14:paraId="00A3D9CC" w14:textId="77777777" w:rsidTr="00376A59">
        <w:trPr>
          <w:jc w:val="center"/>
        </w:trPr>
        <w:tc>
          <w:tcPr>
            <w:tcW w:w="1031" w:type="dxa"/>
          </w:tcPr>
          <w:p w14:paraId="04C655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Nevada</w:t>
            </w:r>
          </w:p>
        </w:tc>
        <w:tc>
          <w:tcPr>
            <w:tcW w:w="1206" w:type="dxa"/>
          </w:tcPr>
          <w:p w14:paraId="47DDDCA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39.0</w:t>
            </w:r>
          </w:p>
        </w:tc>
        <w:tc>
          <w:tcPr>
            <w:tcW w:w="1206" w:type="dxa"/>
          </w:tcPr>
          <w:p w14:paraId="25668A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8.8</w:t>
            </w:r>
          </w:p>
        </w:tc>
        <w:tc>
          <w:tcPr>
            <w:tcW w:w="1206" w:type="dxa"/>
          </w:tcPr>
          <w:p w14:paraId="69ED3A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4CD92A9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47.2</w:t>
            </w:r>
          </w:p>
        </w:tc>
        <w:tc>
          <w:tcPr>
            <w:tcW w:w="1206" w:type="dxa"/>
          </w:tcPr>
          <w:p w14:paraId="4244A8B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38.7</w:t>
            </w:r>
          </w:p>
        </w:tc>
        <w:tc>
          <w:tcPr>
            <w:tcW w:w="1206" w:type="dxa"/>
          </w:tcPr>
          <w:p w14:paraId="5F0972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6.8</w:t>
            </w:r>
          </w:p>
        </w:tc>
        <w:tc>
          <w:tcPr>
            <w:tcW w:w="1206" w:type="dxa"/>
          </w:tcPr>
          <w:p w14:paraId="088C123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29,078</w:t>
            </w:r>
          </w:p>
        </w:tc>
      </w:tr>
      <w:tr w:rsidR="00B57608" w:rsidRPr="00961F99" w14:paraId="4D210882" w14:textId="77777777" w:rsidTr="00376A59">
        <w:trPr>
          <w:jc w:val="center"/>
        </w:trPr>
        <w:tc>
          <w:tcPr>
            <w:tcW w:w="1031" w:type="dxa"/>
          </w:tcPr>
          <w:p w14:paraId="28E7065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District of Columbia</w:t>
            </w:r>
          </w:p>
        </w:tc>
        <w:tc>
          <w:tcPr>
            <w:tcW w:w="1206" w:type="dxa"/>
          </w:tcPr>
          <w:p w14:paraId="41EBA11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8.8</w:t>
            </w:r>
          </w:p>
        </w:tc>
        <w:tc>
          <w:tcPr>
            <w:tcW w:w="1206" w:type="dxa"/>
          </w:tcPr>
          <w:p w14:paraId="078F87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5.9</w:t>
            </w:r>
          </w:p>
        </w:tc>
        <w:tc>
          <w:tcPr>
            <w:tcW w:w="1206" w:type="dxa"/>
          </w:tcPr>
          <w:p w14:paraId="285495F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w:t>
            </w:r>
          </w:p>
        </w:tc>
        <w:tc>
          <w:tcPr>
            <w:tcW w:w="1206" w:type="dxa"/>
          </w:tcPr>
          <w:p w14:paraId="500A25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14.4</w:t>
            </w:r>
          </w:p>
        </w:tc>
        <w:tc>
          <w:tcPr>
            <w:tcW w:w="1206" w:type="dxa"/>
          </w:tcPr>
          <w:p w14:paraId="3054753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8.4</w:t>
            </w:r>
          </w:p>
        </w:tc>
        <w:tc>
          <w:tcPr>
            <w:tcW w:w="1206" w:type="dxa"/>
          </w:tcPr>
          <w:p w14:paraId="332122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5.5</w:t>
            </w:r>
          </w:p>
        </w:tc>
        <w:tc>
          <w:tcPr>
            <w:tcW w:w="1206" w:type="dxa"/>
          </w:tcPr>
          <w:p w14:paraId="1932CE4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2,391</w:t>
            </w:r>
          </w:p>
        </w:tc>
      </w:tr>
      <w:tr w:rsidR="00B57608" w:rsidRPr="00961F99" w14:paraId="0EA77E6C" w14:textId="77777777" w:rsidTr="00376A59">
        <w:trPr>
          <w:jc w:val="center"/>
        </w:trPr>
        <w:tc>
          <w:tcPr>
            <w:tcW w:w="1031" w:type="dxa"/>
          </w:tcPr>
          <w:p w14:paraId="0750475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Alabama</w:t>
            </w:r>
          </w:p>
        </w:tc>
        <w:tc>
          <w:tcPr>
            <w:tcW w:w="1206" w:type="dxa"/>
          </w:tcPr>
          <w:p w14:paraId="2DCD552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3947B7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0F4DA0B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301B422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20C4C7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3836A41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2340F9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w:t>
            </w:r>
          </w:p>
        </w:tc>
      </w:tr>
    </w:tbl>
    <w:p w14:paraId="4AA9AB1C" w14:textId="77777777" w:rsidR="00B57608" w:rsidRPr="00961F99" w:rsidRDefault="00B57608" w:rsidP="00757EC6">
      <w:pPr>
        <w:spacing w:after="40"/>
        <w:jc w:val="both"/>
        <w:rPr>
          <w:rFonts w:asciiTheme="majorBidi" w:hAnsiTheme="majorBidi" w:cstheme="majorBidi"/>
        </w:rPr>
      </w:pPr>
    </w:p>
    <w:p w14:paraId="6A161BA6"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lastRenderedPageBreak/>
        <w:drawing>
          <wp:inline distT="0" distB="0" distL="0" distR="0" wp14:anchorId="72539857" wp14:editId="0C082B08">
            <wp:extent cx="5943600" cy="3898404"/>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7"/>
                    <a:srcRect/>
                    <a:stretch>
                      <a:fillRect/>
                    </a:stretch>
                  </pic:blipFill>
                  <pic:spPr>
                    <a:xfrm>
                      <a:off x="0" y="0"/>
                      <a:ext cx="5943600" cy="3898404"/>
                    </a:xfrm>
                    <a:prstGeom prst="rect">
                      <a:avLst/>
                    </a:prstGeom>
                    <a:ln/>
                  </pic:spPr>
                </pic:pic>
              </a:graphicData>
            </a:graphic>
          </wp:inline>
        </w:drawing>
      </w:r>
    </w:p>
    <w:p w14:paraId="6D2F9E45"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S1 | </w:t>
      </w:r>
      <w:r w:rsidRPr="00961F99">
        <w:rPr>
          <w:rFonts w:asciiTheme="majorBidi" w:hAnsiTheme="majorBidi" w:cstheme="majorBidi"/>
          <w:sz w:val="19"/>
          <w:szCs w:val="19"/>
        </w:rPr>
        <w:t>Combined-hazard expected annual loss on an equal-area hexagonal grid. Census tracts are population-based units, so a tract choropleth gives visual weight to large, sparsely populated interior tracts and compresses dense urban areas where much of the loss sits. Aggregating the same building-level losses onto equal-area cells removes that distortion and is the appropriate view for judging where loss is concentrated geographically.</w:t>
      </w:r>
    </w:p>
    <w:p w14:paraId="56D7BDA4"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drawing>
          <wp:inline distT="0" distB="0" distL="0" distR="0" wp14:anchorId="30679B43" wp14:editId="11BC2C83">
            <wp:extent cx="5943600" cy="2261143"/>
            <wp:effectExtent l="0" t="0" r="0" b="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943600" cy="2261143"/>
                    </a:xfrm>
                    <a:prstGeom prst="rect">
                      <a:avLst/>
                    </a:prstGeom>
                    <a:ln/>
                  </pic:spPr>
                </pic:pic>
              </a:graphicData>
            </a:graphic>
          </wp:inline>
        </w:drawing>
      </w:r>
    </w:p>
    <w:p w14:paraId="2D933118"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S2 | </w:t>
      </w:r>
      <w:r w:rsidRPr="00961F99">
        <w:rPr>
          <w:rFonts w:asciiTheme="majorBidi" w:hAnsiTheme="majorBidi" w:cstheme="majorBidi"/>
          <w:sz w:val="19"/>
          <w:szCs w:val="19"/>
        </w:rPr>
        <w:t>State-level concentration and hazard composition of expected annual loss. States with similar combined-hazard totals can have markedly different hazard structures: Florida is coastal-dominant, Washington and Oregon are fluvial-dominant, and California, Texas and the Appalachian states are pluvial-dominant.</w:t>
      </w:r>
    </w:p>
    <w:p w14:paraId="02CF2A82"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lastRenderedPageBreak/>
        <w:t>B3. Hazard-specific pathways into and around the insurance structure</w:t>
      </w:r>
    </w:p>
    <w:p w14:paraId="609E66F6"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Table S4 reports participation, residual loss among insured buildings and the outside-SFHA share across the full </w:t>
      </w:r>
      <w:proofErr w:type="gramStart"/>
      <w:r w:rsidRPr="00961F99">
        <w:rPr>
          <w:rFonts w:asciiTheme="majorBidi" w:hAnsiTheme="majorBidi" w:cstheme="majorBidi"/>
        </w:rPr>
        <w:t>expected-loss</w:t>
      </w:r>
      <w:proofErr w:type="gramEnd"/>
      <w:r w:rsidRPr="00961F99">
        <w:rPr>
          <w:rFonts w:asciiTheme="majorBidi" w:hAnsiTheme="majorBidi" w:cstheme="majorBidi"/>
        </w:rPr>
        <w:t xml:space="preserve"> distribution using fourteen fixed logarithmic bins from $100 to $1,000,000, without truncation or a minimum bin count. Three patterns are visible. Participation rises only weakly with expected loss for the inland hazards and remains near or below one fifth across almost the entire distribution, so nonparticipation persists even among the highest-loss inland buildings. The uncovered-loss share among insured buildings is U-shaped: elevated at the lowest expected losses, where the per-event deductible absorbs small losses before coverage responds; lowest through the middle of the distribution, where reconstructed coverage absorbs the large majority of modeled loss; and rising again toward the upper tail as coverage limits bind. The outside-SFHA share of uncovered loss declines with expected loss for every hazard but remains above two thirds for pluvial flooding throughout.</w:t>
      </w:r>
    </w:p>
    <w:p w14:paraId="37E0CBE1"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Two binning conventions are used, and the distinction is important. Main-text Figure 3 uses twelve quantile-based bins constructed from the pooled logarithm of positive EAL across the four hazard layers, caps the distribution at its 99.5th percentile and retains hazard-specific bins containing at least 2,000 exposed buildings. This keeps each plotted point well populated but removes the extreme upper tail. Table S4 and Figure S3 use fourteen fixed logarithmic bins spanning $100 to $1,000,000, with no truncation or minimum bin count, and therefore retain that tail. The two approaches agree closely over their shared range and diverge only above roughly $20,000 of expected annual loss, where the untruncated version shows the </w:t>
      </w:r>
      <w:proofErr w:type="gramStart"/>
      <w:r w:rsidRPr="00961F99">
        <w:rPr>
          <w:rFonts w:asciiTheme="majorBidi" w:hAnsiTheme="majorBidi" w:cstheme="majorBidi"/>
        </w:rPr>
        <w:t>uncovered-loss</w:t>
      </w:r>
      <w:proofErr w:type="gramEnd"/>
      <w:r w:rsidRPr="00961F99">
        <w:rPr>
          <w:rFonts w:asciiTheme="majorBidi" w:hAnsiTheme="majorBidi" w:cstheme="majorBidi"/>
        </w:rPr>
        <w:t xml:space="preserve"> share among insured buildings continuing to climb toward 85% as statutory coverage limits bind. Neither is a correction of the other: the main-text version provides </w:t>
      </w:r>
      <w:proofErr w:type="gramStart"/>
      <w:r w:rsidRPr="00961F99">
        <w:rPr>
          <w:rFonts w:asciiTheme="majorBidi" w:hAnsiTheme="majorBidi" w:cstheme="majorBidi"/>
        </w:rPr>
        <w:t>the</w:t>
      </w:r>
      <w:proofErr w:type="gramEnd"/>
      <w:r w:rsidRPr="00961F99">
        <w:rPr>
          <w:rFonts w:asciiTheme="majorBidi" w:hAnsiTheme="majorBidi" w:cstheme="majorBidi"/>
        </w:rPr>
        <w:t xml:space="preserve"> more stable summary, while the supplementary version shows where the insured pool stops absorbing additional loss.</w:t>
      </w:r>
    </w:p>
    <w:p w14:paraId="45FA3F6B"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Supplementary Table S4 | Insurance-pathway metrics across the expected-annual-loss distribution, by hazard layer.</w:t>
      </w:r>
      <w:r w:rsidRPr="00961F99">
        <w:rPr>
          <w:rFonts w:asciiTheme="majorBidi" w:hAnsiTheme="majorBidi" w:cstheme="majorBidi"/>
          <w:sz w:val="19"/>
          <w:szCs w:val="19"/>
        </w:rPr>
        <w:t xml:space="preserve"> Buildings are grouped into fourteen fixed logarithmic bins spanning $100 to $1,000,000 of building-level expected annual loss, of which thirteen are populated; no minimum bin population is </w:t>
      </w:r>
      <w:proofErr w:type="gramStart"/>
      <w:r w:rsidRPr="00961F99">
        <w:rPr>
          <w:rFonts w:asciiTheme="majorBidi" w:hAnsiTheme="majorBidi" w:cstheme="majorBidi"/>
          <w:sz w:val="19"/>
          <w:szCs w:val="19"/>
        </w:rPr>
        <w:t>imposed</w:t>
      </w:r>
      <w:proofErr w:type="gramEnd"/>
      <w:r w:rsidRPr="00961F99">
        <w:rPr>
          <w:rFonts w:asciiTheme="majorBidi" w:hAnsiTheme="majorBidi" w:cstheme="majorBidi"/>
          <w:sz w:val="19"/>
          <w:szCs w:val="19"/>
        </w:rPr>
        <w:t xml:space="preserve"> and the upper tail is not truncated. This differs from main-text Figure 3, which uses twelve pooled quantile-based bins capped at the 99.5th percentile and retains hazard-specific bins containing at least 2,000 exposed buildings. The insured share is computed over exposed buildings in each bin; the uncovered share among insured buildings is summed uncovered loss divided by summed expected annual loss over insured buildings in the bin.</w:t>
      </w:r>
    </w:p>
    <w:tbl>
      <w:tblPr>
        <w:tblStyle w:val="a2"/>
        <w:tblW w:w="90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1608"/>
        <w:gridCol w:w="1608"/>
        <w:gridCol w:w="1608"/>
        <w:gridCol w:w="1608"/>
        <w:gridCol w:w="1608"/>
      </w:tblGrid>
      <w:tr w:rsidR="00B57608" w:rsidRPr="00961F99" w14:paraId="329D165C" w14:textId="77777777" w:rsidTr="00376A59">
        <w:trPr>
          <w:tblHeader/>
          <w:jc w:val="center"/>
        </w:trPr>
        <w:tc>
          <w:tcPr>
            <w:tcW w:w="983" w:type="dxa"/>
          </w:tcPr>
          <w:p w14:paraId="2C5FCD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Hazard</w:t>
            </w:r>
          </w:p>
        </w:tc>
        <w:tc>
          <w:tcPr>
            <w:tcW w:w="1608" w:type="dxa"/>
          </w:tcPr>
          <w:p w14:paraId="724A5C1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Bin midpoint EAL ($ yr⁻¹)</w:t>
            </w:r>
          </w:p>
        </w:tc>
        <w:tc>
          <w:tcPr>
            <w:tcW w:w="1608" w:type="dxa"/>
          </w:tcPr>
          <w:p w14:paraId="29BCB00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Buildings</w:t>
            </w:r>
          </w:p>
        </w:tc>
        <w:tc>
          <w:tcPr>
            <w:tcW w:w="1608" w:type="dxa"/>
          </w:tcPr>
          <w:p w14:paraId="46BAFC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Insured share</w:t>
            </w:r>
          </w:p>
        </w:tc>
        <w:tc>
          <w:tcPr>
            <w:tcW w:w="1608" w:type="dxa"/>
          </w:tcPr>
          <w:p w14:paraId="0E6644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Uncovered share among insured</w:t>
            </w:r>
          </w:p>
        </w:tc>
        <w:tc>
          <w:tcPr>
            <w:tcW w:w="1608" w:type="dxa"/>
          </w:tcPr>
          <w:p w14:paraId="0457AD3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Outside-SFHA share of uncovered loss</w:t>
            </w:r>
          </w:p>
        </w:tc>
      </w:tr>
      <w:tr w:rsidR="00B57608" w:rsidRPr="00961F99" w14:paraId="5FCE271B" w14:textId="77777777" w:rsidTr="00376A59">
        <w:trPr>
          <w:jc w:val="center"/>
        </w:trPr>
        <w:tc>
          <w:tcPr>
            <w:tcW w:w="983" w:type="dxa"/>
          </w:tcPr>
          <w:p w14:paraId="4F6F99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0753E6F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147</w:t>
            </w:r>
          </w:p>
        </w:tc>
        <w:tc>
          <w:tcPr>
            <w:tcW w:w="1608" w:type="dxa"/>
          </w:tcPr>
          <w:p w14:paraId="38D0F5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357,920</w:t>
            </w:r>
          </w:p>
        </w:tc>
        <w:tc>
          <w:tcPr>
            <w:tcW w:w="1608" w:type="dxa"/>
          </w:tcPr>
          <w:p w14:paraId="435EE4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15.6%</w:t>
            </w:r>
          </w:p>
        </w:tc>
        <w:tc>
          <w:tcPr>
            <w:tcW w:w="1608" w:type="dxa"/>
          </w:tcPr>
          <w:p w14:paraId="2A5E0F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12.2%</w:t>
            </w:r>
          </w:p>
        </w:tc>
        <w:tc>
          <w:tcPr>
            <w:tcW w:w="1608" w:type="dxa"/>
          </w:tcPr>
          <w:p w14:paraId="75873A2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78.6%</w:t>
            </w:r>
          </w:p>
        </w:tc>
      </w:tr>
      <w:tr w:rsidR="00B57608" w:rsidRPr="00961F99" w14:paraId="4CC35912" w14:textId="77777777" w:rsidTr="00376A59">
        <w:trPr>
          <w:jc w:val="center"/>
        </w:trPr>
        <w:tc>
          <w:tcPr>
            <w:tcW w:w="983" w:type="dxa"/>
          </w:tcPr>
          <w:p w14:paraId="02BF214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796CA5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283</w:t>
            </w:r>
          </w:p>
        </w:tc>
        <w:tc>
          <w:tcPr>
            <w:tcW w:w="1608" w:type="dxa"/>
          </w:tcPr>
          <w:p w14:paraId="580D00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483,120</w:t>
            </w:r>
          </w:p>
        </w:tc>
        <w:tc>
          <w:tcPr>
            <w:tcW w:w="1608" w:type="dxa"/>
          </w:tcPr>
          <w:p w14:paraId="05E9E2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14.8%</w:t>
            </w:r>
          </w:p>
        </w:tc>
        <w:tc>
          <w:tcPr>
            <w:tcW w:w="1608" w:type="dxa"/>
          </w:tcPr>
          <w:p w14:paraId="78B0EC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9.5%</w:t>
            </w:r>
          </w:p>
        </w:tc>
        <w:tc>
          <w:tcPr>
            <w:tcW w:w="1608" w:type="dxa"/>
          </w:tcPr>
          <w:p w14:paraId="366B48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80.5%</w:t>
            </w:r>
          </w:p>
        </w:tc>
      </w:tr>
      <w:tr w:rsidR="00B57608" w:rsidRPr="00961F99" w14:paraId="1B8BCF56" w14:textId="77777777" w:rsidTr="00376A59">
        <w:trPr>
          <w:jc w:val="center"/>
        </w:trPr>
        <w:tc>
          <w:tcPr>
            <w:tcW w:w="983" w:type="dxa"/>
          </w:tcPr>
          <w:p w14:paraId="7D3CE0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236E3A1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546</w:t>
            </w:r>
          </w:p>
        </w:tc>
        <w:tc>
          <w:tcPr>
            <w:tcW w:w="1608" w:type="dxa"/>
          </w:tcPr>
          <w:p w14:paraId="56B816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661,739</w:t>
            </w:r>
          </w:p>
        </w:tc>
        <w:tc>
          <w:tcPr>
            <w:tcW w:w="1608" w:type="dxa"/>
          </w:tcPr>
          <w:p w14:paraId="6F55F6E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16.6%</w:t>
            </w:r>
          </w:p>
        </w:tc>
        <w:tc>
          <w:tcPr>
            <w:tcW w:w="1608" w:type="dxa"/>
          </w:tcPr>
          <w:p w14:paraId="4FEE728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6.4%</w:t>
            </w:r>
          </w:p>
        </w:tc>
        <w:tc>
          <w:tcPr>
            <w:tcW w:w="1608" w:type="dxa"/>
          </w:tcPr>
          <w:p w14:paraId="09ABB6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82.9%</w:t>
            </w:r>
          </w:p>
        </w:tc>
      </w:tr>
      <w:tr w:rsidR="00B57608" w:rsidRPr="00961F99" w14:paraId="3F8B9CA1" w14:textId="77777777" w:rsidTr="00376A59">
        <w:trPr>
          <w:jc w:val="center"/>
        </w:trPr>
        <w:tc>
          <w:tcPr>
            <w:tcW w:w="983" w:type="dxa"/>
          </w:tcPr>
          <w:p w14:paraId="5D9DCA7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096D28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1,055</w:t>
            </w:r>
          </w:p>
        </w:tc>
        <w:tc>
          <w:tcPr>
            <w:tcW w:w="1608" w:type="dxa"/>
          </w:tcPr>
          <w:p w14:paraId="3BACE9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631,880</w:t>
            </w:r>
          </w:p>
        </w:tc>
        <w:tc>
          <w:tcPr>
            <w:tcW w:w="1608" w:type="dxa"/>
          </w:tcPr>
          <w:p w14:paraId="737D0E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18.0%</w:t>
            </w:r>
          </w:p>
        </w:tc>
        <w:tc>
          <w:tcPr>
            <w:tcW w:w="1608" w:type="dxa"/>
          </w:tcPr>
          <w:p w14:paraId="1F976F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6.2%</w:t>
            </w:r>
          </w:p>
        </w:tc>
        <w:tc>
          <w:tcPr>
            <w:tcW w:w="1608" w:type="dxa"/>
          </w:tcPr>
          <w:p w14:paraId="0FA1717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82.7%</w:t>
            </w:r>
          </w:p>
        </w:tc>
      </w:tr>
      <w:tr w:rsidR="00B57608" w:rsidRPr="00961F99" w14:paraId="09DE936D" w14:textId="77777777" w:rsidTr="00376A59">
        <w:trPr>
          <w:jc w:val="center"/>
        </w:trPr>
        <w:tc>
          <w:tcPr>
            <w:tcW w:w="983" w:type="dxa"/>
          </w:tcPr>
          <w:p w14:paraId="6A04AC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505F2B5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2,036</w:t>
            </w:r>
          </w:p>
        </w:tc>
        <w:tc>
          <w:tcPr>
            <w:tcW w:w="1608" w:type="dxa"/>
          </w:tcPr>
          <w:p w14:paraId="6E0DE7A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439,914</w:t>
            </w:r>
          </w:p>
        </w:tc>
        <w:tc>
          <w:tcPr>
            <w:tcW w:w="1608" w:type="dxa"/>
          </w:tcPr>
          <w:p w14:paraId="267C6C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13.3%</w:t>
            </w:r>
          </w:p>
        </w:tc>
        <w:tc>
          <w:tcPr>
            <w:tcW w:w="1608" w:type="dxa"/>
          </w:tcPr>
          <w:p w14:paraId="0E5290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10.1%</w:t>
            </w:r>
          </w:p>
        </w:tc>
        <w:tc>
          <w:tcPr>
            <w:tcW w:w="1608" w:type="dxa"/>
          </w:tcPr>
          <w:p w14:paraId="107594E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78.4%</w:t>
            </w:r>
          </w:p>
        </w:tc>
      </w:tr>
      <w:tr w:rsidR="00B57608" w:rsidRPr="00961F99" w14:paraId="3E40426D" w14:textId="77777777" w:rsidTr="00376A59">
        <w:trPr>
          <w:jc w:val="center"/>
        </w:trPr>
        <w:tc>
          <w:tcPr>
            <w:tcW w:w="983" w:type="dxa"/>
          </w:tcPr>
          <w:p w14:paraId="3ACA7BD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04FDA6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3,931</w:t>
            </w:r>
          </w:p>
        </w:tc>
        <w:tc>
          <w:tcPr>
            <w:tcW w:w="1608" w:type="dxa"/>
          </w:tcPr>
          <w:p w14:paraId="11E083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484,507</w:t>
            </w:r>
          </w:p>
        </w:tc>
        <w:tc>
          <w:tcPr>
            <w:tcW w:w="1608" w:type="dxa"/>
          </w:tcPr>
          <w:p w14:paraId="6D2673C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11.6%</w:t>
            </w:r>
          </w:p>
        </w:tc>
        <w:tc>
          <w:tcPr>
            <w:tcW w:w="1608" w:type="dxa"/>
          </w:tcPr>
          <w:p w14:paraId="7735882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10.1%</w:t>
            </w:r>
          </w:p>
        </w:tc>
        <w:tc>
          <w:tcPr>
            <w:tcW w:w="1608" w:type="dxa"/>
          </w:tcPr>
          <w:p w14:paraId="5BB4B2E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79.5%</w:t>
            </w:r>
          </w:p>
        </w:tc>
      </w:tr>
      <w:tr w:rsidR="00B57608" w:rsidRPr="00961F99" w14:paraId="095052CC" w14:textId="77777777" w:rsidTr="00376A59">
        <w:trPr>
          <w:jc w:val="center"/>
        </w:trPr>
        <w:tc>
          <w:tcPr>
            <w:tcW w:w="983" w:type="dxa"/>
          </w:tcPr>
          <w:p w14:paraId="424128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58C5A0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7,590</w:t>
            </w:r>
          </w:p>
        </w:tc>
        <w:tc>
          <w:tcPr>
            <w:tcW w:w="1608" w:type="dxa"/>
          </w:tcPr>
          <w:p w14:paraId="30AC0C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567,147</w:t>
            </w:r>
          </w:p>
        </w:tc>
        <w:tc>
          <w:tcPr>
            <w:tcW w:w="1608" w:type="dxa"/>
          </w:tcPr>
          <w:p w14:paraId="5373B8F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15.9%</w:t>
            </w:r>
          </w:p>
        </w:tc>
        <w:tc>
          <w:tcPr>
            <w:tcW w:w="1608" w:type="dxa"/>
          </w:tcPr>
          <w:p w14:paraId="198BA0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7.9%</w:t>
            </w:r>
          </w:p>
        </w:tc>
        <w:tc>
          <w:tcPr>
            <w:tcW w:w="1608" w:type="dxa"/>
          </w:tcPr>
          <w:p w14:paraId="1CA5378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82.1%</w:t>
            </w:r>
          </w:p>
        </w:tc>
      </w:tr>
      <w:tr w:rsidR="00B57608" w:rsidRPr="00961F99" w14:paraId="4B166D47" w14:textId="77777777" w:rsidTr="00376A59">
        <w:trPr>
          <w:jc w:val="center"/>
        </w:trPr>
        <w:tc>
          <w:tcPr>
            <w:tcW w:w="983" w:type="dxa"/>
          </w:tcPr>
          <w:p w14:paraId="69850F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30A83FA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14,653</w:t>
            </w:r>
          </w:p>
        </w:tc>
        <w:tc>
          <w:tcPr>
            <w:tcW w:w="1608" w:type="dxa"/>
          </w:tcPr>
          <w:p w14:paraId="419FE0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320,196</w:t>
            </w:r>
          </w:p>
        </w:tc>
        <w:tc>
          <w:tcPr>
            <w:tcW w:w="1608" w:type="dxa"/>
          </w:tcPr>
          <w:p w14:paraId="2D6478B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17.2%</w:t>
            </w:r>
          </w:p>
        </w:tc>
        <w:tc>
          <w:tcPr>
            <w:tcW w:w="1608" w:type="dxa"/>
          </w:tcPr>
          <w:p w14:paraId="027804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11.5%</w:t>
            </w:r>
          </w:p>
        </w:tc>
        <w:tc>
          <w:tcPr>
            <w:tcW w:w="1608" w:type="dxa"/>
          </w:tcPr>
          <w:p w14:paraId="51587F3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80.0%</w:t>
            </w:r>
          </w:p>
        </w:tc>
      </w:tr>
      <w:tr w:rsidR="00B57608" w:rsidRPr="00961F99" w14:paraId="6D27F58A" w14:textId="77777777" w:rsidTr="00376A59">
        <w:trPr>
          <w:jc w:val="center"/>
        </w:trPr>
        <w:tc>
          <w:tcPr>
            <w:tcW w:w="983" w:type="dxa"/>
          </w:tcPr>
          <w:p w14:paraId="366B220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470502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28,291</w:t>
            </w:r>
          </w:p>
        </w:tc>
        <w:tc>
          <w:tcPr>
            <w:tcW w:w="1608" w:type="dxa"/>
          </w:tcPr>
          <w:p w14:paraId="264BCB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97,878</w:t>
            </w:r>
          </w:p>
        </w:tc>
        <w:tc>
          <w:tcPr>
            <w:tcW w:w="1608" w:type="dxa"/>
          </w:tcPr>
          <w:p w14:paraId="44C8DB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15.1%</w:t>
            </w:r>
          </w:p>
        </w:tc>
        <w:tc>
          <w:tcPr>
            <w:tcW w:w="1608" w:type="dxa"/>
          </w:tcPr>
          <w:p w14:paraId="689CD7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25.5%</w:t>
            </w:r>
          </w:p>
        </w:tc>
        <w:tc>
          <w:tcPr>
            <w:tcW w:w="1608" w:type="dxa"/>
          </w:tcPr>
          <w:p w14:paraId="63F29A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74.1%</w:t>
            </w:r>
          </w:p>
        </w:tc>
      </w:tr>
      <w:tr w:rsidR="00B57608" w:rsidRPr="00961F99" w14:paraId="28E46F9F" w14:textId="77777777" w:rsidTr="00376A59">
        <w:trPr>
          <w:jc w:val="center"/>
        </w:trPr>
        <w:tc>
          <w:tcPr>
            <w:tcW w:w="983" w:type="dxa"/>
          </w:tcPr>
          <w:p w14:paraId="3103B3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75F721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54,622</w:t>
            </w:r>
          </w:p>
        </w:tc>
        <w:tc>
          <w:tcPr>
            <w:tcW w:w="1608" w:type="dxa"/>
          </w:tcPr>
          <w:p w14:paraId="24CFFA0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32,522</w:t>
            </w:r>
          </w:p>
        </w:tc>
        <w:tc>
          <w:tcPr>
            <w:tcW w:w="1608" w:type="dxa"/>
          </w:tcPr>
          <w:p w14:paraId="59B832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15.5%</w:t>
            </w:r>
          </w:p>
        </w:tc>
        <w:tc>
          <w:tcPr>
            <w:tcW w:w="1608" w:type="dxa"/>
          </w:tcPr>
          <w:p w14:paraId="0A7106B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36.7%</w:t>
            </w:r>
          </w:p>
        </w:tc>
        <w:tc>
          <w:tcPr>
            <w:tcW w:w="1608" w:type="dxa"/>
          </w:tcPr>
          <w:p w14:paraId="2D1C11D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72.6%</w:t>
            </w:r>
          </w:p>
        </w:tc>
      </w:tr>
      <w:tr w:rsidR="00B57608" w:rsidRPr="00961F99" w14:paraId="6309473B" w14:textId="77777777" w:rsidTr="00376A59">
        <w:trPr>
          <w:jc w:val="center"/>
        </w:trPr>
        <w:tc>
          <w:tcPr>
            <w:tcW w:w="983" w:type="dxa"/>
          </w:tcPr>
          <w:p w14:paraId="5E9AE16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76C71B6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105,459</w:t>
            </w:r>
          </w:p>
        </w:tc>
        <w:tc>
          <w:tcPr>
            <w:tcW w:w="1608" w:type="dxa"/>
          </w:tcPr>
          <w:p w14:paraId="4F73A5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6,190</w:t>
            </w:r>
          </w:p>
        </w:tc>
        <w:tc>
          <w:tcPr>
            <w:tcW w:w="1608" w:type="dxa"/>
          </w:tcPr>
          <w:p w14:paraId="22983A5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23.7%</w:t>
            </w:r>
          </w:p>
        </w:tc>
        <w:tc>
          <w:tcPr>
            <w:tcW w:w="1608" w:type="dxa"/>
          </w:tcPr>
          <w:p w14:paraId="4502A8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55.1%</w:t>
            </w:r>
          </w:p>
        </w:tc>
        <w:tc>
          <w:tcPr>
            <w:tcW w:w="1608" w:type="dxa"/>
          </w:tcPr>
          <w:p w14:paraId="12124C6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67.8%</w:t>
            </w:r>
          </w:p>
        </w:tc>
      </w:tr>
      <w:tr w:rsidR="00B57608" w:rsidRPr="00961F99" w14:paraId="5A5BC2FE" w14:textId="77777777" w:rsidTr="00376A59">
        <w:trPr>
          <w:jc w:val="center"/>
        </w:trPr>
        <w:tc>
          <w:tcPr>
            <w:tcW w:w="983" w:type="dxa"/>
          </w:tcPr>
          <w:p w14:paraId="75FE976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4302EC4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203,610</w:t>
            </w:r>
          </w:p>
        </w:tc>
        <w:tc>
          <w:tcPr>
            <w:tcW w:w="1608" w:type="dxa"/>
          </w:tcPr>
          <w:p w14:paraId="622F8A4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637</w:t>
            </w:r>
          </w:p>
        </w:tc>
        <w:tc>
          <w:tcPr>
            <w:tcW w:w="1608" w:type="dxa"/>
          </w:tcPr>
          <w:p w14:paraId="54D7C2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36.4%</w:t>
            </w:r>
          </w:p>
        </w:tc>
        <w:tc>
          <w:tcPr>
            <w:tcW w:w="1608" w:type="dxa"/>
          </w:tcPr>
          <w:p w14:paraId="744879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71.4%</w:t>
            </w:r>
          </w:p>
        </w:tc>
        <w:tc>
          <w:tcPr>
            <w:tcW w:w="1608" w:type="dxa"/>
          </w:tcPr>
          <w:p w14:paraId="1B6705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63.0%</w:t>
            </w:r>
          </w:p>
        </w:tc>
      </w:tr>
      <w:tr w:rsidR="00B57608" w:rsidRPr="00961F99" w14:paraId="2FE5D726" w14:textId="77777777" w:rsidTr="00376A59">
        <w:trPr>
          <w:jc w:val="center"/>
        </w:trPr>
        <w:tc>
          <w:tcPr>
            <w:tcW w:w="983" w:type="dxa"/>
          </w:tcPr>
          <w:p w14:paraId="0D547F5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608" w:type="dxa"/>
          </w:tcPr>
          <w:p w14:paraId="7DA4EF4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393,109</w:t>
            </w:r>
          </w:p>
        </w:tc>
        <w:tc>
          <w:tcPr>
            <w:tcW w:w="1608" w:type="dxa"/>
          </w:tcPr>
          <w:p w14:paraId="3B7BB6F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44</w:t>
            </w:r>
          </w:p>
        </w:tc>
        <w:tc>
          <w:tcPr>
            <w:tcW w:w="1608" w:type="dxa"/>
          </w:tcPr>
          <w:p w14:paraId="142691C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36.4%</w:t>
            </w:r>
          </w:p>
        </w:tc>
        <w:tc>
          <w:tcPr>
            <w:tcW w:w="1608" w:type="dxa"/>
          </w:tcPr>
          <w:p w14:paraId="26B318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85.1%</w:t>
            </w:r>
          </w:p>
        </w:tc>
        <w:tc>
          <w:tcPr>
            <w:tcW w:w="1608" w:type="dxa"/>
          </w:tcPr>
          <w:p w14:paraId="3FB8CE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60.8%</w:t>
            </w:r>
          </w:p>
        </w:tc>
      </w:tr>
      <w:tr w:rsidR="00B57608" w:rsidRPr="00961F99" w14:paraId="26E5230D" w14:textId="77777777" w:rsidTr="00376A59">
        <w:trPr>
          <w:jc w:val="center"/>
        </w:trPr>
        <w:tc>
          <w:tcPr>
            <w:tcW w:w="983" w:type="dxa"/>
          </w:tcPr>
          <w:p w14:paraId="1F7B89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61650B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147</w:t>
            </w:r>
          </w:p>
        </w:tc>
        <w:tc>
          <w:tcPr>
            <w:tcW w:w="1608" w:type="dxa"/>
          </w:tcPr>
          <w:p w14:paraId="7C6E5F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103,786</w:t>
            </w:r>
          </w:p>
        </w:tc>
        <w:tc>
          <w:tcPr>
            <w:tcW w:w="1608" w:type="dxa"/>
          </w:tcPr>
          <w:p w14:paraId="314F16F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17.6%</w:t>
            </w:r>
          </w:p>
        </w:tc>
        <w:tc>
          <w:tcPr>
            <w:tcW w:w="1608" w:type="dxa"/>
          </w:tcPr>
          <w:p w14:paraId="4230B0B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7.2%</w:t>
            </w:r>
          </w:p>
        </w:tc>
        <w:tc>
          <w:tcPr>
            <w:tcW w:w="1608" w:type="dxa"/>
          </w:tcPr>
          <w:p w14:paraId="60F80BA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67.3%</w:t>
            </w:r>
          </w:p>
        </w:tc>
      </w:tr>
      <w:tr w:rsidR="00B57608" w:rsidRPr="00961F99" w14:paraId="0899FB70" w14:textId="77777777" w:rsidTr="00376A59">
        <w:trPr>
          <w:jc w:val="center"/>
        </w:trPr>
        <w:tc>
          <w:tcPr>
            <w:tcW w:w="983" w:type="dxa"/>
          </w:tcPr>
          <w:p w14:paraId="3F7E61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6E6E17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283</w:t>
            </w:r>
          </w:p>
        </w:tc>
        <w:tc>
          <w:tcPr>
            <w:tcW w:w="1608" w:type="dxa"/>
          </w:tcPr>
          <w:p w14:paraId="1094F4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153,142</w:t>
            </w:r>
          </w:p>
        </w:tc>
        <w:tc>
          <w:tcPr>
            <w:tcW w:w="1608" w:type="dxa"/>
          </w:tcPr>
          <w:p w14:paraId="3D7BC1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18.0%</w:t>
            </w:r>
          </w:p>
        </w:tc>
        <w:tc>
          <w:tcPr>
            <w:tcW w:w="1608" w:type="dxa"/>
          </w:tcPr>
          <w:p w14:paraId="4FB39E1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6.8%</w:t>
            </w:r>
          </w:p>
        </w:tc>
        <w:tc>
          <w:tcPr>
            <w:tcW w:w="1608" w:type="dxa"/>
          </w:tcPr>
          <w:p w14:paraId="38C56A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68.0%</w:t>
            </w:r>
          </w:p>
        </w:tc>
      </w:tr>
      <w:tr w:rsidR="00B57608" w:rsidRPr="00961F99" w14:paraId="66E7E7FE" w14:textId="77777777" w:rsidTr="00376A59">
        <w:trPr>
          <w:jc w:val="center"/>
        </w:trPr>
        <w:tc>
          <w:tcPr>
            <w:tcW w:w="983" w:type="dxa"/>
          </w:tcPr>
          <w:p w14:paraId="164FBE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0C5D19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546</w:t>
            </w:r>
          </w:p>
        </w:tc>
        <w:tc>
          <w:tcPr>
            <w:tcW w:w="1608" w:type="dxa"/>
          </w:tcPr>
          <w:p w14:paraId="6AB325F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211,572</w:t>
            </w:r>
          </w:p>
        </w:tc>
        <w:tc>
          <w:tcPr>
            <w:tcW w:w="1608" w:type="dxa"/>
          </w:tcPr>
          <w:p w14:paraId="75C518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19.6%</w:t>
            </w:r>
          </w:p>
        </w:tc>
        <w:tc>
          <w:tcPr>
            <w:tcW w:w="1608" w:type="dxa"/>
          </w:tcPr>
          <w:p w14:paraId="255B0B6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7.7%</w:t>
            </w:r>
          </w:p>
        </w:tc>
        <w:tc>
          <w:tcPr>
            <w:tcW w:w="1608" w:type="dxa"/>
          </w:tcPr>
          <w:p w14:paraId="30D142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69.4%</w:t>
            </w:r>
          </w:p>
        </w:tc>
      </w:tr>
      <w:tr w:rsidR="00B57608" w:rsidRPr="00961F99" w14:paraId="131AC9C3" w14:textId="77777777" w:rsidTr="00376A59">
        <w:trPr>
          <w:jc w:val="center"/>
        </w:trPr>
        <w:tc>
          <w:tcPr>
            <w:tcW w:w="983" w:type="dxa"/>
          </w:tcPr>
          <w:p w14:paraId="69BBEB7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694424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1,055</w:t>
            </w:r>
          </w:p>
        </w:tc>
        <w:tc>
          <w:tcPr>
            <w:tcW w:w="1608" w:type="dxa"/>
          </w:tcPr>
          <w:p w14:paraId="763F8D0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232,004</w:t>
            </w:r>
          </w:p>
        </w:tc>
        <w:tc>
          <w:tcPr>
            <w:tcW w:w="1608" w:type="dxa"/>
          </w:tcPr>
          <w:p w14:paraId="7F1369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21.4%</w:t>
            </w:r>
          </w:p>
        </w:tc>
        <w:tc>
          <w:tcPr>
            <w:tcW w:w="1608" w:type="dxa"/>
          </w:tcPr>
          <w:p w14:paraId="26C6AA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13.9%</w:t>
            </w:r>
          </w:p>
        </w:tc>
        <w:tc>
          <w:tcPr>
            <w:tcW w:w="1608" w:type="dxa"/>
          </w:tcPr>
          <w:p w14:paraId="2E872E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69.9%</w:t>
            </w:r>
          </w:p>
        </w:tc>
      </w:tr>
      <w:tr w:rsidR="00B57608" w:rsidRPr="00961F99" w14:paraId="175E390D" w14:textId="77777777" w:rsidTr="00376A59">
        <w:trPr>
          <w:jc w:val="center"/>
        </w:trPr>
        <w:tc>
          <w:tcPr>
            <w:tcW w:w="983" w:type="dxa"/>
          </w:tcPr>
          <w:p w14:paraId="05BAF1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6FC2C25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2,036</w:t>
            </w:r>
          </w:p>
        </w:tc>
        <w:tc>
          <w:tcPr>
            <w:tcW w:w="1608" w:type="dxa"/>
          </w:tcPr>
          <w:p w14:paraId="1DA6FEB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188,954</w:t>
            </w:r>
          </w:p>
        </w:tc>
        <w:tc>
          <w:tcPr>
            <w:tcW w:w="1608" w:type="dxa"/>
          </w:tcPr>
          <w:p w14:paraId="2A8599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23.8%</w:t>
            </w:r>
          </w:p>
        </w:tc>
        <w:tc>
          <w:tcPr>
            <w:tcW w:w="1608" w:type="dxa"/>
          </w:tcPr>
          <w:p w14:paraId="626C19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28.4%</w:t>
            </w:r>
          </w:p>
        </w:tc>
        <w:tc>
          <w:tcPr>
            <w:tcW w:w="1608" w:type="dxa"/>
          </w:tcPr>
          <w:p w14:paraId="682CBD1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64.3%</w:t>
            </w:r>
          </w:p>
        </w:tc>
      </w:tr>
      <w:tr w:rsidR="00B57608" w:rsidRPr="00961F99" w14:paraId="6EA396BE" w14:textId="77777777" w:rsidTr="00376A59">
        <w:trPr>
          <w:jc w:val="center"/>
        </w:trPr>
        <w:tc>
          <w:tcPr>
            <w:tcW w:w="983" w:type="dxa"/>
          </w:tcPr>
          <w:p w14:paraId="14BF75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100E57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3,931</w:t>
            </w:r>
          </w:p>
        </w:tc>
        <w:tc>
          <w:tcPr>
            <w:tcW w:w="1608" w:type="dxa"/>
          </w:tcPr>
          <w:p w14:paraId="114668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133,711</w:t>
            </w:r>
          </w:p>
        </w:tc>
        <w:tc>
          <w:tcPr>
            <w:tcW w:w="1608" w:type="dxa"/>
          </w:tcPr>
          <w:p w14:paraId="552122F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19.0%</w:t>
            </w:r>
          </w:p>
        </w:tc>
        <w:tc>
          <w:tcPr>
            <w:tcW w:w="1608" w:type="dxa"/>
          </w:tcPr>
          <w:p w14:paraId="73476A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26.6%</w:t>
            </w:r>
          </w:p>
        </w:tc>
        <w:tc>
          <w:tcPr>
            <w:tcW w:w="1608" w:type="dxa"/>
          </w:tcPr>
          <w:p w14:paraId="15C2D6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56.9%</w:t>
            </w:r>
          </w:p>
        </w:tc>
      </w:tr>
      <w:tr w:rsidR="00B57608" w:rsidRPr="00961F99" w14:paraId="194641C4" w14:textId="77777777" w:rsidTr="00376A59">
        <w:trPr>
          <w:jc w:val="center"/>
        </w:trPr>
        <w:tc>
          <w:tcPr>
            <w:tcW w:w="983" w:type="dxa"/>
          </w:tcPr>
          <w:p w14:paraId="14DAEA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2D59F4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7,590</w:t>
            </w:r>
          </w:p>
        </w:tc>
        <w:tc>
          <w:tcPr>
            <w:tcW w:w="1608" w:type="dxa"/>
          </w:tcPr>
          <w:p w14:paraId="6EFCAC1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121,570</w:t>
            </w:r>
          </w:p>
        </w:tc>
        <w:tc>
          <w:tcPr>
            <w:tcW w:w="1608" w:type="dxa"/>
          </w:tcPr>
          <w:p w14:paraId="6E6200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19.2%</w:t>
            </w:r>
          </w:p>
        </w:tc>
        <w:tc>
          <w:tcPr>
            <w:tcW w:w="1608" w:type="dxa"/>
          </w:tcPr>
          <w:p w14:paraId="40B790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20.3%</w:t>
            </w:r>
          </w:p>
        </w:tc>
        <w:tc>
          <w:tcPr>
            <w:tcW w:w="1608" w:type="dxa"/>
          </w:tcPr>
          <w:p w14:paraId="5D36C5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56.6%</w:t>
            </w:r>
          </w:p>
        </w:tc>
      </w:tr>
      <w:tr w:rsidR="00B57608" w:rsidRPr="00961F99" w14:paraId="05A6F573" w14:textId="77777777" w:rsidTr="00376A59">
        <w:trPr>
          <w:jc w:val="center"/>
        </w:trPr>
        <w:tc>
          <w:tcPr>
            <w:tcW w:w="983" w:type="dxa"/>
          </w:tcPr>
          <w:p w14:paraId="3755B9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lastRenderedPageBreak/>
              <w:t>Fluvial</w:t>
            </w:r>
          </w:p>
        </w:tc>
        <w:tc>
          <w:tcPr>
            <w:tcW w:w="1608" w:type="dxa"/>
          </w:tcPr>
          <w:p w14:paraId="6EC866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14,653</w:t>
            </w:r>
          </w:p>
        </w:tc>
        <w:tc>
          <w:tcPr>
            <w:tcW w:w="1608" w:type="dxa"/>
          </w:tcPr>
          <w:p w14:paraId="190933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83,565</w:t>
            </w:r>
          </w:p>
        </w:tc>
        <w:tc>
          <w:tcPr>
            <w:tcW w:w="1608" w:type="dxa"/>
          </w:tcPr>
          <w:p w14:paraId="110E35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22.1%</w:t>
            </w:r>
          </w:p>
        </w:tc>
        <w:tc>
          <w:tcPr>
            <w:tcW w:w="1608" w:type="dxa"/>
          </w:tcPr>
          <w:p w14:paraId="692D07C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27.2%</w:t>
            </w:r>
          </w:p>
        </w:tc>
        <w:tc>
          <w:tcPr>
            <w:tcW w:w="1608" w:type="dxa"/>
          </w:tcPr>
          <w:p w14:paraId="7F91564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56.7%</w:t>
            </w:r>
          </w:p>
        </w:tc>
      </w:tr>
      <w:tr w:rsidR="00B57608" w:rsidRPr="00961F99" w14:paraId="510F1922" w14:textId="77777777" w:rsidTr="00376A59">
        <w:trPr>
          <w:jc w:val="center"/>
        </w:trPr>
        <w:tc>
          <w:tcPr>
            <w:tcW w:w="983" w:type="dxa"/>
          </w:tcPr>
          <w:p w14:paraId="7122FDB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666D280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28,291</w:t>
            </w:r>
          </w:p>
        </w:tc>
        <w:tc>
          <w:tcPr>
            <w:tcW w:w="1608" w:type="dxa"/>
          </w:tcPr>
          <w:p w14:paraId="04A4A1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36,750</w:t>
            </w:r>
          </w:p>
        </w:tc>
        <w:tc>
          <w:tcPr>
            <w:tcW w:w="1608" w:type="dxa"/>
          </w:tcPr>
          <w:p w14:paraId="3ACFD91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21.9%</w:t>
            </w:r>
          </w:p>
        </w:tc>
        <w:tc>
          <w:tcPr>
            <w:tcW w:w="1608" w:type="dxa"/>
          </w:tcPr>
          <w:p w14:paraId="52C8DC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39.0%</w:t>
            </w:r>
          </w:p>
        </w:tc>
        <w:tc>
          <w:tcPr>
            <w:tcW w:w="1608" w:type="dxa"/>
          </w:tcPr>
          <w:p w14:paraId="7ED1C8B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57.0%</w:t>
            </w:r>
          </w:p>
        </w:tc>
      </w:tr>
      <w:tr w:rsidR="00B57608" w:rsidRPr="00961F99" w14:paraId="62E6999F" w14:textId="77777777" w:rsidTr="00376A59">
        <w:trPr>
          <w:jc w:val="center"/>
        </w:trPr>
        <w:tc>
          <w:tcPr>
            <w:tcW w:w="983" w:type="dxa"/>
          </w:tcPr>
          <w:p w14:paraId="4B440D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0CD1A91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54,622</w:t>
            </w:r>
          </w:p>
        </w:tc>
        <w:tc>
          <w:tcPr>
            <w:tcW w:w="1608" w:type="dxa"/>
          </w:tcPr>
          <w:p w14:paraId="6250C5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13,022</w:t>
            </w:r>
          </w:p>
        </w:tc>
        <w:tc>
          <w:tcPr>
            <w:tcW w:w="1608" w:type="dxa"/>
          </w:tcPr>
          <w:p w14:paraId="4FBE39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24.0%</w:t>
            </w:r>
          </w:p>
        </w:tc>
        <w:tc>
          <w:tcPr>
            <w:tcW w:w="1608" w:type="dxa"/>
          </w:tcPr>
          <w:p w14:paraId="4FACED2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46.7%</w:t>
            </w:r>
          </w:p>
        </w:tc>
        <w:tc>
          <w:tcPr>
            <w:tcW w:w="1608" w:type="dxa"/>
          </w:tcPr>
          <w:p w14:paraId="3813992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60.5%</w:t>
            </w:r>
          </w:p>
        </w:tc>
      </w:tr>
      <w:tr w:rsidR="00B57608" w:rsidRPr="00961F99" w14:paraId="33BA2EEA" w14:textId="77777777" w:rsidTr="00376A59">
        <w:trPr>
          <w:jc w:val="center"/>
        </w:trPr>
        <w:tc>
          <w:tcPr>
            <w:tcW w:w="983" w:type="dxa"/>
          </w:tcPr>
          <w:p w14:paraId="43A054A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78DCA0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105,459</w:t>
            </w:r>
          </w:p>
        </w:tc>
        <w:tc>
          <w:tcPr>
            <w:tcW w:w="1608" w:type="dxa"/>
          </w:tcPr>
          <w:p w14:paraId="4304397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3,394</w:t>
            </w:r>
          </w:p>
        </w:tc>
        <w:tc>
          <w:tcPr>
            <w:tcW w:w="1608" w:type="dxa"/>
          </w:tcPr>
          <w:p w14:paraId="141C59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29.3%</w:t>
            </w:r>
          </w:p>
        </w:tc>
        <w:tc>
          <w:tcPr>
            <w:tcW w:w="1608" w:type="dxa"/>
          </w:tcPr>
          <w:p w14:paraId="1EA724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58.4%</w:t>
            </w:r>
          </w:p>
        </w:tc>
        <w:tc>
          <w:tcPr>
            <w:tcW w:w="1608" w:type="dxa"/>
          </w:tcPr>
          <w:p w14:paraId="0D2085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60.1%</w:t>
            </w:r>
          </w:p>
        </w:tc>
      </w:tr>
      <w:tr w:rsidR="00B57608" w:rsidRPr="00961F99" w14:paraId="496A62A8" w14:textId="77777777" w:rsidTr="00376A59">
        <w:trPr>
          <w:jc w:val="center"/>
        </w:trPr>
        <w:tc>
          <w:tcPr>
            <w:tcW w:w="983" w:type="dxa"/>
          </w:tcPr>
          <w:p w14:paraId="08A6A3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7BD172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203,610</w:t>
            </w:r>
          </w:p>
        </w:tc>
        <w:tc>
          <w:tcPr>
            <w:tcW w:w="1608" w:type="dxa"/>
          </w:tcPr>
          <w:p w14:paraId="2D1D48C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513</w:t>
            </w:r>
          </w:p>
        </w:tc>
        <w:tc>
          <w:tcPr>
            <w:tcW w:w="1608" w:type="dxa"/>
          </w:tcPr>
          <w:p w14:paraId="577CEE6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29.4%</w:t>
            </w:r>
          </w:p>
        </w:tc>
        <w:tc>
          <w:tcPr>
            <w:tcW w:w="1608" w:type="dxa"/>
          </w:tcPr>
          <w:p w14:paraId="6ED2BA8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72.8%</w:t>
            </w:r>
          </w:p>
        </w:tc>
        <w:tc>
          <w:tcPr>
            <w:tcW w:w="1608" w:type="dxa"/>
          </w:tcPr>
          <w:p w14:paraId="254B00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60.3%</w:t>
            </w:r>
          </w:p>
        </w:tc>
      </w:tr>
      <w:tr w:rsidR="00B57608" w:rsidRPr="00961F99" w14:paraId="3FE902B1" w14:textId="77777777" w:rsidTr="00376A59">
        <w:trPr>
          <w:jc w:val="center"/>
        </w:trPr>
        <w:tc>
          <w:tcPr>
            <w:tcW w:w="983" w:type="dxa"/>
          </w:tcPr>
          <w:p w14:paraId="1157AAF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608" w:type="dxa"/>
          </w:tcPr>
          <w:p w14:paraId="6B476B3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393,109</w:t>
            </w:r>
          </w:p>
        </w:tc>
        <w:tc>
          <w:tcPr>
            <w:tcW w:w="1608" w:type="dxa"/>
          </w:tcPr>
          <w:p w14:paraId="2DE9563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24</w:t>
            </w:r>
          </w:p>
        </w:tc>
        <w:tc>
          <w:tcPr>
            <w:tcW w:w="1608" w:type="dxa"/>
          </w:tcPr>
          <w:p w14:paraId="6B9CE3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20.8%</w:t>
            </w:r>
          </w:p>
        </w:tc>
        <w:tc>
          <w:tcPr>
            <w:tcW w:w="1608" w:type="dxa"/>
          </w:tcPr>
          <w:p w14:paraId="7CC9F0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85.3%</w:t>
            </w:r>
          </w:p>
        </w:tc>
        <w:tc>
          <w:tcPr>
            <w:tcW w:w="1608" w:type="dxa"/>
          </w:tcPr>
          <w:p w14:paraId="6A1EEF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75.6%</w:t>
            </w:r>
          </w:p>
        </w:tc>
      </w:tr>
      <w:tr w:rsidR="00B57608" w:rsidRPr="00961F99" w14:paraId="2B11078A" w14:textId="77777777" w:rsidTr="00376A59">
        <w:trPr>
          <w:jc w:val="center"/>
        </w:trPr>
        <w:tc>
          <w:tcPr>
            <w:tcW w:w="983" w:type="dxa"/>
          </w:tcPr>
          <w:p w14:paraId="691914F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024651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147</w:t>
            </w:r>
          </w:p>
        </w:tc>
        <w:tc>
          <w:tcPr>
            <w:tcW w:w="1608" w:type="dxa"/>
          </w:tcPr>
          <w:p w14:paraId="5EB81CA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127,401</w:t>
            </w:r>
          </w:p>
        </w:tc>
        <w:tc>
          <w:tcPr>
            <w:tcW w:w="1608" w:type="dxa"/>
          </w:tcPr>
          <w:p w14:paraId="5831405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50.5%</w:t>
            </w:r>
          </w:p>
        </w:tc>
        <w:tc>
          <w:tcPr>
            <w:tcW w:w="1608" w:type="dxa"/>
          </w:tcPr>
          <w:p w14:paraId="747D2C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9.2%</w:t>
            </w:r>
          </w:p>
        </w:tc>
        <w:tc>
          <w:tcPr>
            <w:tcW w:w="1608" w:type="dxa"/>
          </w:tcPr>
          <w:p w14:paraId="012608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42.1%</w:t>
            </w:r>
          </w:p>
        </w:tc>
      </w:tr>
      <w:tr w:rsidR="00B57608" w:rsidRPr="00961F99" w14:paraId="7897D73C" w14:textId="77777777" w:rsidTr="00376A59">
        <w:trPr>
          <w:jc w:val="center"/>
        </w:trPr>
        <w:tc>
          <w:tcPr>
            <w:tcW w:w="983" w:type="dxa"/>
          </w:tcPr>
          <w:p w14:paraId="475B00E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093EF6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283</w:t>
            </w:r>
          </w:p>
        </w:tc>
        <w:tc>
          <w:tcPr>
            <w:tcW w:w="1608" w:type="dxa"/>
          </w:tcPr>
          <w:p w14:paraId="4F8ED3E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172,773</w:t>
            </w:r>
          </w:p>
        </w:tc>
        <w:tc>
          <w:tcPr>
            <w:tcW w:w="1608" w:type="dxa"/>
          </w:tcPr>
          <w:p w14:paraId="35648FC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51.5%</w:t>
            </w:r>
          </w:p>
        </w:tc>
        <w:tc>
          <w:tcPr>
            <w:tcW w:w="1608" w:type="dxa"/>
          </w:tcPr>
          <w:p w14:paraId="6DEB87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8.8%</w:t>
            </w:r>
          </w:p>
        </w:tc>
        <w:tc>
          <w:tcPr>
            <w:tcW w:w="1608" w:type="dxa"/>
          </w:tcPr>
          <w:p w14:paraId="7FABB05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43.2%</w:t>
            </w:r>
          </w:p>
        </w:tc>
      </w:tr>
      <w:tr w:rsidR="00B57608" w:rsidRPr="00961F99" w14:paraId="3CB9E32C" w14:textId="77777777" w:rsidTr="00376A59">
        <w:trPr>
          <w:jc w:val="center"/>
        </w:trPr>
        <w:tc>
          <w:tcPr>
            <w:tcW w:w="983" w:type="dxa"/>
          </w:tcPr>
          <w:p w14:paraId="742901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642A4F5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546</w:t>
            </w:r>
          </w:p>
        </w:tc>
        <w:tc>
          <w:tcPr>
            <w:tcW w:w="1608" w:type="dxa"/>
          </w:tcPr>
          <w:p w14:paraId="46332C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248,277</w:t>
            </w:r>
          </w:p>
        </w:tc>
        <w:tc>
          <w:tcPr>
            <w:tcW w:w="1608" w:type="dxa"/>
          </w:tcPr>
          <w:p w14:paraId="3431A2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58.4%</w:t>
            </w:r>
          </w:p>
        </w:tc>
        <w:tc>
          <w:tcPr>
            <w:tcW w:w="1608" w:type="dxa"/>
          </w:tcPr>
          <w:p w14:paraId="6F3B47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7.9%</w:t>
            </w:r>
          </w:p>
        </w:tc>
        <w:tc>
          <w:tcPr>
            <w:tcW w:w="1608" w:type="dxa"/>
          </w:tcPr>
          <w:p w14:paraId="504330F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44.0%</w:t>
            </w:r>
          </w:p>
        </w:tc>
      </w:tr>
      <w:tr w:rsidR="00B57608" w:rsidRPr="00961F99" w14:paraId="23356994" w14:textId="77777777" w:rsidTr="00376A59">
        <w:trPr>
          <w:jc w:val="center"/>
        </w:trPr>
        <w:tc>
          <w:tcPr>
            <w:tcW w:w="983" w:type="dxa"/>
          </w:tcPr>
          <w:p w14:paraId="424CE35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1ABAE1C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1,055</w:t>
            </w:r>
          </w:p>
        </w:tc>
        <w:tc>
          <w:tcPr>
            <w:tcW w:w="1608" w:type="dxa"/>
          </w:tcPr>
          <w:p w14:paraId="0E73EF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292,996</w:t>
            </w:r>
          </w:p>
        </w:tc>
        <w:tc>
          <w:tcPr>
            <w:tcW w:w="1608" w:type="dxa"/>
          </w:tcPr>
          <w:p w14:paraId="10B8C0E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66.2%</w:t>
            </w:r>
          </w:p>
        </w:tc>
        <w:tc>
          <w:tcPr>
            <w:tcW w:w="1608" w:type="dxa"/>
          </w:tcPr>
          <w:p w14:paraId="1ACDDE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11.3%</w:t>
            </w:r>
          </w:p>
        </w:tc>
        <w:tc>
          <w:tcPr>
            <w:tcW w:w="1608" w:type="dxa"/>
          </w:tcPr>
          <w:p w14:paraId="66CB602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42.1%</w:t>
            </w:r>
          </w:p>
        </w:tc>
      </w:tr>
      <w:tr w:rsidR="00B57608" w:rsidRPr="00961F99" w14:paraId="587C0148" w14:textId="77777777" w:rsidTr="00376A59">
        <w:trPr>
          <w:jc w:val="center"/>
        </w:trPr>
        <w:tc>
          <w:tcPr>
            <w:tcW w:w="983" w:type="dxa"/>
          </w:tcPr>
          <w:p w14:paraId="532014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10B8B1E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2,036</w:t>
            </w:r>
          </w:p>
        </w:tc>
        <w:tc>
          <w:tcPr>
            <w:tcW w:w="1608" w:type="dxa"/>
          </w:tcPr>
          <w:p w14:paraId="188CFD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232,452</w:t>
            </w:r>
          </w:p>
        </w:tc>
        <w:tc>
          <w:tcPr>
            <w:tcW w:w="1608" w:type="dxa"/>
          </w:tcPr>
          <w:p w14:paraId="73D2B0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65.4%</w:t>
            </w:r>
          </w:p>
        </w:tc>
        <w:tc>
          <w:tcPr>
            <w:tcW w:w="1608" w:type="dxa"/>
          </w:tcPr>
          <w:p w14:paraId="74DA82A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22.5%</w:t>
            </w:r>
          </w:p>
        </w:tc>
        <w:tc>
          <w:tcPr>
            <w:tcW w:w="1608" w:type="dxa"/>
          </w:tcPr>
          <w:p w14:paraId="7DD466E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34.7%</w:t>
            </w:r>
          </w:p>
        </w:tc>
      </w:tr>
      <w:tr w:rsidR="00B57608" w:rsidRPr="00961F99" w14:paraId="13436460" w14:textId="77777777" w:rsidTr="00376A59">
        <w:trPr>
          <w:jc w:val="center"/>
        </w:trPr>
        <w:tc>
          <w:tcPr>
            <w:tcW w:w="983" w:type="dxa"/>
          </w:tcPr>
          <w:p w14:paraId="284A19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3DCF5D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3,931</w:t>
            </w:r>
          </w:p>
        </w:tc>
        <w:tc>
          <w:tcPr>
            <w:tcW w:w="1608" w:type="dxa"/>
          </w:tcPr>
          <w:p w14:paraId="573DEB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149,991</w:t>
            </w:r>
          </w:p>
        </w:tc>
        <w:tc>
          <w:tcPr>
            <w:tcW w:w="1608" w:type="dxa"/>
          </w:tcPr>
          <w:p w14:paraId="7D8B7BE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64.4%</w:t>
            </w:r>
          </w:p>
        </w:tc>
        <w:tc>
          <w:tcPr>
            <w:tcW w:w="1608" w:type="dxa"/>
          </w:tcPr>
          <w:p w14:paraId="6B1D06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24.9%</w:t>
            </w:r>
          </w:p>
        </w:tc>
        <w:tc>
          <w:tcPr>
            <w:tcW w:w="1608" w:type="dxa"/>
          </w:tcPr>
          <w:p w14:paraId="538AEA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26.9%</w:t>
            </w:r>
          </w:p>
        </w:tc>
      </w:tr>
      <w:tr w:rsidR="00B57608" w:rsidRPr="00961F99" w14:paraId="18B6F6C0" w14:textId="77777777" w:rsidTr="00376A59">
        <w:trPr>
          <w:jc w:val="center"/>
        </w:trPr>
        <w:tc>
          <w:tcPr>
            <w:tcW w:w="983" w:type="dxa"/>
          </w:tcPr>
          <w:p w14:paraId="1B6E7F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79204BC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7,590</w:t>
            </w:r>
          </w:p>
        </w:tc>
        <w:tc>
          <w:tcPr>
            <w:tcW w:w="1608" w:type="dxa"/>
          </w:tcPr>
          <w:p w14:paraId="67078E9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113,509</w:t>
            </w:r>
          </w:p>
        </w:tc>
        <w:tc>
          <w:tcPr>
            <w:tcW w:w="1608" w:type="dxa"/>
          </w:tcPr>
          <w:p w14:paraId="27F648B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69.1%</w:t>
            </w:r>
          </w:p>
        </w:tc>
        <w:tc>
          <w:tcPr>
            <w:tcW w:w="1608" w:type="dxa"/>
          </w:tcPr>
          <w:p w14:paraId="2E516D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18.0%</w:t>
            </w:r>
          </w:p>
        </w:tc>
        <w:tc>
          <w:tcPr>
            <w:tcW w:w="1608" w:type="dxa"/>
          </w:tcPr>
          <w:p w14:paraId="04E678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27.1%</w:t>
            </w:r>
          </w:p>
        </w:tc>
      </w:tr>
      <w:tr w:rsidR="00B57608" w:rsidRPr="00961F99" w14:paraId="04212A71" w14:textId="77777777" w:rsidTr="00376A59">
        <w:trPr>
          <w:jc w:val="center"/>
        </w:trPr>
        <w:tc>
          <w:tcPr>
            <w:tcW w:w="983" w:type="dxa"/>
          </w:tcPr>
          <w:p w14:paraId="3E24D6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26339F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14,653</w:t>
            </w:r>
          </w:p>
        </w:tc>
        <w:tc>
          <w:tcPr>
            <w:tcW w:w="1608" w:type="dxa"/>
          </w:tcPr>
          <w:p w14:paraId="2586BD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62,163</w:t>
            </w:r>
          </w:p>
        </w:tc>
        <w:tc>
          <w:tcPr>
            <w:tcW w:w="1608" w:type="dxa"/>
          </w:tcPr>
          <w:p w14:paraId="3D13BC7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65.9%</w:t>
            </w:r>
          </w:p>
        </w:tc>
        <w:tc>
          <w:tcPr>
            <w:tcW w:w="1608" w:type="dxa"/>
          </w:tcPr>
          <w:p w14:paraId="3932E5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20.2%</w:t>
            </w:r>
          </w:p>
        </w:tc>
        <w:tc>
          <w:tcPr>
            <w:tcW w:w="1608" w:type="dxa"/>
          </w:tcPr>
          <w:p w14:paraId="708D9F3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39.3%</w:t>
            </w:r>
          </w:p>
        </w:tc>
      </w:tr>
      <w:tr w:rsidR="00B57608" w:rsidRPr="00961F99" w14:paraId="767AEA00" w14:textId="77777777" w:rsidTr="00376A59">
        <w:trPr>
          <w:jc w:val="center"/>
        </w:trPr>
        <w:tc>
          <w:tcPr>
            <w:tcW w:w="983" w:type="dxa"/>
          </w:tcPr>
          <w:p w14:paraId="0765EC7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6C2D930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28,291</w:t>
            </w:r>
          </w:p>
        </w:tc>
        <w:tc>
          <w:tcPr>
            <w:tcW w:w="1608" w:type="dxa"/>
          </w:tcPr>
          <w:p w14:paraId="2B6D7E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15,696</w:t>
            </w:r>
          </w:p>
        </w:tc>
        <w:tc>
          <w:tcPr>
            <w:tcW w:w="1608" w:type="dxa"/>
          </w:tcPr>
          <w:p w14:paraId="22925F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55.9%</w:t>
            </w:r>
          </w:p>
        </w:tc>
        <w:tc>
          <w:tcPr>
            <w:tcW w:w="1608" w:type="dxa"/>
          </w:tcPr>
          <w:p w14:paraId="64723EE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30.1%</w:t>
            </w:r>
          </w:p>
        </w:tc>
        <w:tc>
          <w:tcPr>
            <w:tcW w:w="1608" w:type="dxa"/>
          </w:tcPr>
          <w:p w14:paraId="0DE3C7F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49.4%</w:t>
            </w:r>
          </w:p>
        </w:tc>
      </w:tr>
      <w:tr w:rsidR="00B57608" w:rsidRPr="00961F99" w14:paraId="32D4CB80" w14:textId="77777777" w:rsidTr="00376A59">
        <w:trPr>
          <w:jc w:val="center"/>
        </w:trPr>
        <w:tc>
          <w:tcPr>
            <w:tcW w:w="983" w:type="dxa"/>
          </w:tcPr>
          <w:p w14:paraId="647006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38BDCEE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54,622</w:t>
            </w:r>
          </w:p>
        </w:tc>
        <w:tc>
          <w:tcPr>
            <w:tcW w:w="1608" w:type="dxa"/>
          </w:tcPr>
          <w:p w14:paraId="64B65D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4,444</w:t>
            </w:r>
          </w:p>
        </w:tc>
        <w:tc>
          <w:tcPr>
            <w:tcW w:w="1608" w:type="dxa"/>
          </w:tcPr>
          <w:p w14:paraId="431B1C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63.1%</w:t>
            </w:r>
          </w:p>
        </w:tc>
        <w:tc>
          <w:tcPr>
            <w:tcW w:w="1608" w:type="dxa"/>
          </w:tcPr>
          <w:p w14:paraId="0227D17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39.1%</w:t>
            </w:r>
          </w:p>
        </w:tc>
        <w:tc>
          <w:tcPr>
            <w:tcW w:w="1608" w:type="dxa"/>
          </w:tcPr>
          <w:p w14:paraId="4C9CB4E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36.6%</w:t>
            </w:r>
          </w:p>
        </w:tc>
      </w:tr>
      <w:tr w:rsidR="00B57608" w:rsidRPr="00961F99" w14:paraId="21CFED80" w14:textId="77777777" w:rsidTr="00376A59">
        <w:trPr>
          <w:jc w:val="center"/>
        </w:trPr>
        <w:tc>
          <w:tcPr>
            <w:tcW w:w="983" w:type="dxa"/>
          </w:tcPr>
          <w:p w14:paraId="288FC6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2EB408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105,459</w:t>
            </w:r>
          </w:p>
        </w:tc>
        <w:tc>
          <w:tcPr>
            <w:tcW w:w="1608" w:type="dxa"/>
          </w:tcPr>
          <w:p w14:paraId="4BAC16D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881</w:t>
            </w:r>
          </w:p>
        </w:tc>
        <w:tc>
          <w:tcPr>
            <w:tcW w:w="1608" w:type="dxa"/>
          </w:tcPr>
          <w:p w14:paraId="23F465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55.6%</w:t>
            </w:r>
          </w:p>
        </w:tc>
        <w:tc>
          <w:tcPr>
            <w:tcW w:w="1608" w:type="dxa"/>
          </w:tcPr>
          <w:p w14:paraId="71DD6F3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53.7%</w:t>
            </w:r>
          </w:p>
        </w:tc>
        <w:tc>
          <w:tcPr>
            <w:tcW w:w="1608" w:type="dxa"/>
          </w:tcPr>
          <w:p w14:paraId="56FF78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28.4%</w:t>
            </w:r>
          </w:p>
        </w:tc>
      </w:tr>
      <w:tr w:rsidR="00B57608" w:rsidRPr="00961F99" w14:paraId="281F3407" w14:textId="77777777" w:rsidTr="00376A59">
        <w:trPr>
          <w:jc w:val="center"/>
        </w:trPr>
        <w:tc>
          <w:tcPr>
            <w:tcW w:w="983" w:type="dxa"/>
          </w:tcPr>
          <w:p w14:paraId="40D71E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17BC7D1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203,610</w:t>
            </w:r>
          </w:p>
        </w:tc>
        <w:tc>
          <w:tcPr>
            <w:tcW w:w="1608" w:type="dxa"/>
          </w:tcPr>
          <w:p w14:paraId="3516A7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91</w:t>
            </w:r>
          </w:p>
        </w:tc>
        <w:tc>
          <w:tcPr>
            <w:tcW w:w="1608" w:type="dxa"/>
          </w:tcPr>
          <w:p w14:paraId="411A42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49.5%</w:t>
            </w:r>
          </w:p>
        </w:tc>
        <w:tc>
          <w:tcPr>
            <w:tcW w:w="1608" w:type="dxa"/>
          </w:tcPr>
          <w:p w14:paraId="2781671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71.5%</w:t>
            </w:r>
          </w:p>
        </w:tc>
        <w:tc>
          <w:tcPr>
            <w:tcW w:w="1608" w:type="dxa"/>
          </w:tcPr>
          <w:p w14:paraId="2A5C0B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39.4%</w:t>
            </w:r>
          </w:p>
        </w:tc>
      </w:tr>
      <w:tr w:rsidR="00B57608" w:rsidRPr="00961F99" w14:paraId="596A3F54" w14:textId="77777777" w:rsidTr="00376A59">
        <w:trPr>
          <w:jc w:val="center"/>
        </w:trPr>
        <w:tc>
          <w:tcPr>
            <w:tcW w:w="983" w:type="dxa"/>
          </w:tcPr>
          <w:p w14:paraId="501BC4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608" w:type="dxa"/>
          </w:tcPr>
          <w:p w14:paraId="5449ED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393,109</w:t>
            </w:r>
          </w:p>
        </w:tc>
        <w:tc>
          <w:tcPr>
            <w:tcW w:w="1608" w:type="dxa"/>
          </w:tcPr>
          <w:p w14:paraId="332DB6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w:t>
            </w:r>
          </w:p>
        </w:tc>
        <w:tc>
          <w:tcPr>
            <w:tcW w:w="1608" w:type="dxa"/>
          </w:tcPr>
          <w:p w14:paraId="7BC1AF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28.6%</w:t>
            </w:r>
          </w:p>
        </w:tc>
        <w:tc>
          <w:tcPr>
            <w:tcW w:w="1608" w:type="dxa"/>
          </w:tcPr>
          <w:p w14:paraId="506EA9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86.3%</w:t>
            </w:r>
          </w:p>
        </w:tc>
        <w:tc>
          <w:tcPr>
            <w:tcW w:w="1608" w:type="dxa"/>
          </w:tcPr>
          <w:p w14:paraId="405D61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52.1%</w:t>
            </w:r>
          </w:p>
        </w:tc>
      </w:tr>
      <w:tr w:rsidR="00B57608" w:rsidRPr="00961F99" w14:paraId="3532954B" w14:textId="77777777" w:rsidTr="00376A59">
        <w:trPr>
          <w:jc w:val="center"/>
        </w:trPr>
        <w:tc>
          <w:tcPr>
            <w:tcW w:w="983" w:type="dxa"/>
          </w:tcPr>
          <w:p w14:paraId="5C0C65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629E3C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147</w:t>
            </w:r>
          </w:p>
        </w:tc>
        <w:tc>
          <w:tcPr>
            <w:tcW w:w="1608" w:type="dxa"/>
          </w:tcPr>
          <w:p w14:paraId="6B8147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537,620</w:t>
            </w:r>
          </w:p>
        </w:tc>
        <w:tc>
          <w:tcPr>
            <w:tcW w:w="1608" w:type="dxa"/>
          </w:tcPr>
          <w:p w14:paraId="59AEC5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22.8%</w:t>
            </w:r>
          </w:p>
        </w:tc>
        <w:tc>
          <w:tcPr>
            <w:tcW w:w="1608" w:type="dxa"/>
          </w:tcPr>
          <w:p w14:paraId="20D9907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9.0%</w:t>
            </w:r>
          </w:p>
        </w:tc>
        <w:tc>
          <w:tcPr>
            <w:tcW w:w="1608" w:type="dxa"/>
          </w:tcPr>
          <w:p w14:paraId="5586F35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73.5%</w:t>
            </w:r>
          </w:p>
        </w:tc>
      </w:tr>
      <w:tr w:rsidR="00B57608" w:rsidRPr="00961F99" w14:paraId="5118EA79" w14:textId="77777777" w:rsidTr="00376A59">
        <w:trPr>
          <w:jc w:val="center"/>
        </w:trPr>
        <w:tc>
          <w:tcPr>
            <w:tcW w:w="983" w:type="dxa"/>
          </w:tcPr>
          <w:p w14:paraId="709630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4CD5E2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283</w:t>
            </w:r>
          </w:p>
        </w:tc>
        <w:tc>
          <w:tcPr>
            <w:tcW w:w="1608" w:type="dxa"/>
          </w:tcPr>
          <w:p w14:paraId="445DE10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743,367</w:t>
            </w:r>
          </w:p>
        </w:tc>
        <w:tc>
          <w:tcPr>
            <w:tcW w:w="1608" w:type="dxa"/>
          </w:tcPr>
          <w:p w14:paraId="608F5F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22.7%</w:t>
            </w:r>
          </w:p>
        </w:tc>
        <w:tc>
          <w:tcPr>
            <w:tcW w:w="1608" w:type="dxa"/>
          </w:tcPr>
          <w:p w14:paraId="775C13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8.3%</w:t>
            </w:r>
          </w:p>
        </w:tc>
        <w:tc>
          <w:tcPr>
            <w:tcW w:w="1608" w:type="dxa"/>
          </w:tcPr>
          <w:p w14:paraId="225279D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74.5%</w:t>
            </w:r>
          </w:p>
        </w:tc>
      </w:tr>
      <w:tr w:rsidR="00B57608" w:rsidRPr="00961F99" w14:paraId="09DDBE7B" w14:textId="77777777" w:rsidTr="00376A59">
        <w:trPr>
          <w:jc w:val="center"/>
        </w:trPr>
        <w:tc>
          <w:tcPr>
            <w:tcW w:w="983" w:type="dxa"/>
          </w:tcPr>
          <w:p w14:paraId="43E7F4B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34A47C6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546</w:t>
            </w:r>
          </w:p>
        </w:tc>
        <w:tc>
          <w:tcPr>
            <w:tcW w:w="1608" w:type="dxa"/>
          </w:tcPr>
          <w:p w14:paraId="2546614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1,041,224</w:t>
            </w:r>
          </w:p>
        </w:tc>
        <w:tc>
          <w:tcPr>
            <w:tcW w:w="1608" w:type="dxa"/>
          </w:tcPr>
          <w:p w14:paraId="180EA80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26.0%</w:t>
            </w:r>
          </w:p>
        </w:tc>
        <w:tc>
          <w:tcPr>
            <w:tcW w:w="1608" w:type="dxa"/>
          </w:tcPr>
          <w:p w14:paraId="0551CA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7.2%</w:t>
            </w:r>
          </w:p>
        </w:tc>
        <w:tc>
          <w:tcPr>
            <w:tcW w:w="1608" w:type="dxa"/>
          </w:tcPr>
          <w:p w14:paraId="2DD61B3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76.3%</w:t>
            </w:r>
          </w:p>
        </w:tc>
      </w:tr>
      <w:tr w:rsidR="00B57608" w:rsidRPr="00961F99" w14:paraId="5A4763C2" w14:textId="77777777" w:rsidTr="00376A59">
        <w:trPr>
          <w:jc w:val="center"/>
        </w:trPr>
        <w:tc>
          <w:tcPr>
            <w:tcW w:w="983" w:type="dxa"/>
          </w:tcPr>
          <w:p w14:paraId="1AE1377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4D18E4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1,055</w:t>
            </w:r>
          </w:p>
        </w:tc>
        <w:tc>
          <w:tcPr>
            <w:tcW w:w="1608" w:type="dxa"/>
          </w:tcPr>
          <w:p w14:paraId="4EF6BB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1,084,528</w:t>
            </w:r>
          </w:p>
        </w:tc>
        <w:tc>
          <w:tcPr>
            <w:tcW w:w="1608" w:type="dxa"/>
          </w:tcPr>
          <w:p w14:paraId="6A8DF5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30.7%</w:t>
            </w:r>
          </w:p>
        </w:tc>
        <w:tc>
          <w:tcPr>
            <w:tcW w:w="1608" w:type="dxa"/>
          </w:tcPr>
          <w:p w14:paraId="631A36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10.1%</w:t>
            </w:r>
          </w:p>
        </w:tc>
        <w:tc>
          <w:tcPr>
            <w:tcW w:w="1608" w:type="dxa"/>
          </w:tcPr>
          <w:p w14:paraId="7FA78F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74.8%</w:t>
            </w:r>
          </w:p>
        </w:tc>
      </w:tr>
      <w:tr w:rsidR="00B57608" w:rsidRPr="00961F99" w14:paraId="3C87712A" w14:textId="77777777" w:rsidTr="00376A59">
        <w:trPr>
          <w:jc w:val="center"/>
        </w:trPr>
        <w:tc>
          <w:tcPr>
            <w:tcW w:w="983" w:type="dxa"/>
          </w:tcPr>
          <w:p w14:paraId="7FCAEC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26D29CD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2,036</w:t>
            </w:r>
          </w:p>
        </w:tc>
        <w:tc>
          <w:tcPr>
            <w:tcW w:w="1608" w:type="dxa"/>
          </w:tcPr>
          <w:p w14:paraId="78D7A3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825,221</w:t>
            </w:r>
          </w:p>
        </w:tc>
        <w:tc>
          <w:tcPr>
            <w:tcW w:w="1608" w:type="dxa"/>
          </w:tcPr>
          <w:p w14:paraId="03AAEC1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29.6%</w:t>
            </w:r>
          </w:p>
        </w:tc>
        <w:tc>
          <w:tcPr>
            <w:tcW w:w="1608" w:type="dxa"/>
          </w:tcPr>
          <w:p w14:paraId="4F30C08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20.8%</w:t>
            </w:r>
          </w:p>
        </w:tc>
        <w:tc>
          <w:tcPr>
            <w:tcW w:w="1608" w:type="dxa"/>
          </w:tcPr>
          <w:p w14:paraId="1C5679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68.4%</w:t>
            </w:r>
          </w:p>
        </w:tc>
      </w:tr>
      <w:tr w:rsidR="00B57608" w:rsidRPr="00961F99" w14:paraId="017D507F" w14:textId="77777777" w:rsidTr="00376A59">
        <w:trPr>
          <w:jc w:val="center"/>
        </w:trPr>
        <w:tc>
          <w:tcPr>
            <w:tcW w:w="983" w:type="dxa"/>
          </w:tcPr>
          <w:p w14:paraId="330D27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1AACAD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3,931</w:t>
            </w:r>
          </w:p>
        </w:tc>
        <w:tc>
          <w:tcPr>
            <w:tcW w:w="1608" w:type="dxa"/>
          </w:tcPr>
          <w:p w14:paraId="6D7F312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743,636</w:t>
            </w:r>
          </w:p>
        </w:tc>
        <w:tc>
          <w:tcPr>
            <w:tcW w:w="1608" w:type="dxa"/>
          </w:tcPr>
          <w:p w14:paraId="438CF11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23.0%</w:t>
            </w:r>
          </w:p>
        </w:tc>
        <w:tc>
          <w:tcPr>
            <w:tcW w:w="1608" w:type="dxa"/>
          </w:tcPr>
          <w:p w14:paraId="1109F6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20.6%</w:t>
            </w:r>
          </w:p>
        </w:tc>
        <w:tc>
          <w:tcPr>
            <w:tcW w:w="1608" w:type="dxa"/>
          </w:tcPr>
          <w:p w14:paraId="463F32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69.9%</w:t>
            </w:r>
          </w:p>
        </w:tc>
      </w:tr>
      <w:tr w:rsidR="00B57608" w:rsidRPr="00961F99" w14:paraId="4C834AF5" w14:textId="77777777" w:rsidTr="00376A59">
        <w:trPr>
          <w:jc w:val="center"/>
        </w:trPr>
        <w:tc>
          <w:tcPr>
            <w:tcW w:w="983" w:type="dxa"/>
          </w:tcPr>
          <w:p w14:paraId="3F85B8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0809D86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7,590</w:t>
            </w:r>
          </w:p>
        </w:tc>
        <w:tc>
          <w:tcPr>
            <w:tcW w:w="1608" w:type="dxa"/>
          </w:tcPr>
          <w:p w14:paraId="7CC0B9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779,860</w:t>
            </w:r>
          </w:p>
        </w:tc>
        <w:tc>
          <w:tcPr>
            <w:tcW w:w="1608" w:type="dxa"/>
          </w:tcPr>
          <w:p w14:paraId="0890669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23.6%</w:t>
            </w:r>
          </w:p>
        </w:tc>
        <w:tc>
          <w:tcPr>
            <w:tcW w:w="1608" w:type="dxa"/>
          </w:tcPr>
          <w:p w14:paraId="26BC25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13.7%</w:t>
            </w:r>
          </w:p>
        </w:tc>
        <w:tc>
          <w:tcPr>
            <w:tcW w:w="1608" w:type="dxa"/>
          </w:tcPr>
          <w:p w14:paraId="1B02910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74.4%</w:t>
            </w:r>
          </w:p>
        </w:tc>
      </w:tr>
      <w:tr w:rsidR="00B57608" w:rsidRPr="00961F99" w14:paraId="196CD9F1" w14:textId="77777777" w:rsidTr="00376A59">
        <w:trPr>
          <w:jc w:val="center"/>
        </w:trPr>
        <w:tc>
          <w:tcPr>
            <w:tcW w:w="983" w:type="dxa"/>
          </w:tcPr>
          <w:p w14:paraId="63DF6B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0D2906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14,653</w:t>
            </w:r>
          </w:p>
        </w:tc>
        <w:tc>
          <w:tcPr>
            <w:tcW w:w="1608" w:type="dxa"/>
          </w:tcPr>
          <w:p w14:paraId="79FC3D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456,682</w:t>
            </w:r>
          </w:p>
        </w:tc>
        <w:tc>
          <w:tcPr>
            <w:tcW w:w="1608" w:type="dxa"/>
          </w:tcPr>
          <w:p w14:paraId="5CC835B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24.4%</w:t>
            </w:r>
          </w:p>
        </w:tc>
        <w:tc>
          <w:tcPr>
            <w:tcW w:w="1608" w:type="dxa"/>
          </w:tcPr>
          <w:p w14:paraId="07C2AF9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17.3%</w:t>
            </w:r>
          </w:p>
        </w:tc>
        <w:tc>
          <w:tcPr>
            <w:tcW w:w="1608" w:type="dxa"/>
          </w:tcPr>
          <w:p w14:paraId="52D6E71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72.7%</w:t>
            </w:r>
          </w:p>
        </w:tc>
      </w:tr>
      <w:tr w:rsidR="00B57608" w:rsidRPr="00961F99" w14:paraId="52C56F0F" w14:textId="77777777" w:rsidTr="00376A59">
        <w:trPr>
          <w:jc w:val="center"/>
        </w:trPr>
        <w:tc>
          <w:tcPr>
            <w:tcW w:w="983" w:type="dxa"/>
          </w:tcPr>
          <w:p w14:paraId="7FF1B1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764437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28,291</w:t>
            </w:r>
          </w:p>
        </w:tc>
        <w:tc>
          <w:tcPr>
            <w:tcW w:w="1608" w:type="dxa"/>
          </w:tcPr>
          <w:p w14:paraId="3217D8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148,797</w:t>
            </w:r>
          </w:p>
        </w:tc>
        <w:tc>
          <w:tcPr>
            <w:tcW w:w="1608" w:type="dxa"/>
          </w:tcPr>
          <w:p w14:paraId="57C8A1E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20.9%</w:t>
            </w:r>
          </w:p>
        </w:tc>
        <w:tc>
          <w:tcPr>
            <w:tcW w:w="1608" w:type="dxa"/>
          </w:tcPr>
          <w:p w14:paraId="46F8B8D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30.2%</w:t>
            </w:r>
          </w:p>
        </w:tc>
        <w:tc>
          <w:tcPr>
            <w:tcW w:w="1608" w:type="dxa"/>
          </w:tcPr>
          <w:p w14:paraId="4ED815B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68.3%</w:t>
            </w:r>
          </w:p>
        </w:tc>
      </w:tr>
      <w:tr w:rsidR="00B57608" w:rsidRPr="00961F99" w14:paraId="68474F8D" w14:textId="77777777" w:rsidTr="00376A59">
        <w:trPr>
          <w:jc w:val="center"/>
        </w:trPr>
        <w:tc>
          <w:tcPr>
            <w:tcW w:w="983" w:type="dxa"/>
          </w:tcPr>
          <w:p w14:paraId="7B4276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3FB6D3B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54,622</w:t>
            </w:r>
          </w:p>
        </w:tc>
        <w:tc>
          <w:tcPr>
            <w:tcW w:w="1608" w:type="dxa"/>
          </w:tcPr>
          <w:p w14:paraId="63E5FA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49,648</w:t>
            </w:r>
          </w:p>
        </w:tc>
        <w:tc>
          <w:tcPr>
            <w:tcW w:w="1608" w:type="dxa"/>
          </w:tcPr>
          <w:p w14:paraId="08D1E3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21.8%</w:t>
            </w:r>
          </w:p>
        </w:tc>
        <w:tc>
          <w:tcPr>
            <w:tcW w:w="1608" w:type="dxa"/>
          </w:tcPr>
          <w:p w14:paraId="770DDB1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40.1%</w:t>
            </w:r>
          </w:p>
        </w:tc>
        <w:tc>
          <w:tcPr>
            <w:tcW w:w="1608" w:type="dxa"/>
          </w:tcPr>
          <w:p w14:paraId="699A87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67.4%</w:t>
            </w:r>
          </w:p>
        </w:tc>
      </w:tr>
      <w:tr w:rsidR="00B57608" w:rsidRPr="00961F99" w14:paraId="45B25719" w14:textId="77777777" w:rsidTr="00376A59">
        <w:trPr>
          <w:jc w:val="center"/>
        </w:trPr>
        <w:tc>
          <w:tcPr>
            <w:tcW w:w="983" w:type="dxa"/>
          </w:tcPr>
          <w:p w14:paraId="12C3B5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791600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105,459</w:t>
            </w:r>
          </w:p>
        </w:tc>
        <w:tc>
          <w:tcPr>
            <w:tcW w:w="1608" w:type="dxa"/>
          </w:tcPr>
          <w:p w14:paraId="5C24FA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10,503</w:t>
            </w:r>
          </w:p>
        </w:tc>
        <w:tc>
          <w:tcPr>
            <w:tcW w:w="1608" w:type="dxa"/>
          </w:tcPr>
          <w:p w14:paraId="11AF25F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28.2%</w:t>
            </w:r>
          </w:p>
        </w:tc>
        <w:tc>
          <w:tcPr>
            <w:tcW w:w="1608" w:type="dxa"/>
          </w:tcPr>
          <w:p w14:paraId="075123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55.9%</w:t>
            </w:r>
          </w:p>
        </w:tc>
        <w:tc>
          <w:tcPr>
            <w:tcW w:w="1608" w:type="dxa"/>
          </w:tcPr>
          <w:p w14:paraId="4EC3B9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62.2%</w:t>
            </w:r>
          </w:p>
        </w:tc>
      </w:tr>
      <w:tr w:rsidR="00B57608" w:rsidRPr="00961F99" w14:paraId="6949FBA7" w14:textId="77777777" w:rsidTr="00376A59">
        <w:trPr>
          <w:jc w:val="center"/>
        </w:trPr>
        <w:tc>
          <w:tcPr>
            <w:tcW w:w="983" w:type="dxa"/>
          </w:tcPr>
          <w:p w14:paraId="65C4441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35759A7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203,610</w:t>
            </w:r>
          </w:p>
        </w:tc>
        <w:tc>
          <w:tcPr>
            <w:tcW w:w="1608" w:type="dxa"/>
          </w:tcPr>
          <w:p w14:paraId="7BB3E5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1,253</w:t>
            </w:r>
          </w:p>
        </w:tc>
        <w:tc>
          <w:tcPr>
            <w:tcW w:w="1608" w:type="dxa"/>
          </w:tcPr>
          <w:p w14:paraId="3F7A4B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34.2%</w:t>
            </w:r>
          </w:p>
        </w:tc>
        <w:tc>
          <w:tcPr>
            <w:tcW w:w="1608" w:type="dxa"/>
          </w:tcPr>
          <w:p w14:paraId="519C5E1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71.9%</w:t>
            </w:r>
          </w:p>
        </w:tc>
        <w:tc>
          <w:tcPr>
            <w:tcW w:w="1608" w:type="dxa"/>
          </w:tcPr>
          <w:p w14:paraId="76D1CA4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59.5%</w:t>
            </w:r>
          </w:p>
        </w:tc>
      </w:tr>
      <w:tr w:rsidR="00B57608" w:rsidRPr="00961F99" w14:paraId="3000C4F6" w14:textId="77777777" w:rsidTr="00376A59">
        <w:trPr>
          <w:jc w:val="center"/>
        </w:trPr>
        <w:tc>
          <w:tcPr>
            <w:tcW w:w="983" w:type="dxa"/>
          </w:tcPr>
          <w:p w14:paraId="56482B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608" w:type="dxa"/>
          </w:tcPr>
          <w:p w14:paraId="29AF500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393,109</w:t>
            </w:r>
          </w:p>
        </w:tc>
        <w:tc>
          <w:tcPr>
            <w:tcW w:w="1608" w:type="dxa"/>
          </w:tcPr>
          <w:p w14:paraId="459EBF7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75</w:t>
            </w:r>
          </w:p>
        </w:tc>
        <w:tc>
          <w:tcPr>
            <w:tcW w:w="1608" w:type="dxa"/>
          </w:tcPr>
          <w:p w14:paraId="7625042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30.7%</w:t>
            </w:r>
          </w:p>
        </w:tc>
        <w:tc>
          <w:tcPr>
            <w:tcW w:w="1608" w:type="dxa"/>
          </w:tcPr>
          <w:p w14:paraId="051D8C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85.3%</w:t>
            </w:r>
          </w:p>
        </w:tc>
        <w:tc>
          <w:tcPr>
            <w:tcW w:w="1608" w:type="dxa"/>
          </w:tcPr>
          <w:p w14:paraId="599E7B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64.5%</w:t>
            </w:r>
          </w:p>
        </w:tc>
      </w:tr>
    </w:tbl>
    <w:p w14:paraId="2890E883" w14:textId="77777777" w:rsidR="00B57608" w:rsidRPr="00961F99" w:rsidRDefault="00B57608" w:rsidP="00757EC6">
      <w:pPr>
        <w:spacing w:after="40"/>
        <w:jc w:val="both"/>
        <w:rPr>
          <w:rFonts w:asciiTheme="majorBidi" w:hAnsiTheme="majorBidi" w:cstheme="majorBidi"/>
        </w:rPr>
      </w:pPr>
    </w:p>
    <w:p w14:paraId="5A34A695"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drawing>
          <wp:inline distT="0" distB="0" distL="0" distR="0" wp14:anchorId="7B0468E4" wp14:editId="7338E1B8">
            <wp:extent cx="5943600" cy="1832949"/>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43600" cy="1832949"/>
                    </a:xfrm>
                    <a:prstGeom prst="rect">
                      <a:avLst/>
                    </a:prstGeom>
                    <a:ln/>
                  </pic:spPr>
                </pic:pic>
              </a:graphicData>
            </a:graphic>
          </wp:inline>
        </w:drawing>
      </w:r>
    </w:p>
    <w:p w14:paraId="30E7766D"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Supplementary Figure S3 | Hazard-specific pathways into and around the reconstructed insurance structure across the full expected-annual-loss distribution.</w:t>
      </w:r>
      <w:r w:rsidRPr="00961F99">
        <w:rPr>
          <w:rFonts w:asciiTheme="majorBidi" w:hAnsiTheme="majorBidi" w:cstheme="majorBidi"/>
          <w:sz w:val="19"/>
          <w:szCs w:val="19"/>
        </w:rPr>
        <w:t xml:space="preserve"> Panels show, from left to right, the insured share of exposed buildings, the uncovered-loss share among insured buildings and the share of uncovered loss located outside SFHA-like zones. This figure uses the untruncated fixed logarithmic bins of Table S4 and is therefore the extended companion to main-text Figure 3, which uses twelve pooled quantile-based bins capped at the 99.5th percentile and retains hazard-specific bins containing at least 2,000 exposed buildings. The two are computed from the same building-level quantities and agree closely wherever their ranges overlap; they diverge only in the sparse upper tail </w:t>
      </w:r>
      <w:proofErr w:type="gramStart"/>
      <w:r w:rsidRPr="00961F99">
        <w:rPr>
          <w:rFonts w:asciiTheme="majorBidi" w:hAnsiTheme="majorBidi" w:cstheme="majorBidi"/>
          <w:sz w:val="19"/>
          <w:szCs w:val="19"/>
        </w:rPr>
        <w:t>excluded</w:t>
      </w:r>
      <w:proofErr w:type="gramEnd"/>
      <w:r w:rsidRPr="00961F99">
        <w:rPr>
          <w:rFonts w:asciiTheme="majorBidi" w:hAnsiTheme="majorBidi" w:cstheme="majorBidi"/>
          <w:sz w:val="19"/>
          <w:szCs w:val="19"/>
        </w:rPr>
        <w:t xml:space="preserve"> from the main-text figure. That divergence is informative: in panel (b), the uncovered-loss share among insured buildings continues rising to roughly 85% in the highest bins, where expected losses exceed what the statutory building-coverage limits can absorb. The tail bins contain relatively few buildings and are correspondingly noisy, which is why the main text reports the truncated version.</w:t>
      </w:r>
    </w:p>
    <w:p w14:paraId="3AB6F456"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lastRenderedPageBreak/>
        <w:t>B4. Burden across the expected-loss spectrum</w:t>
      </w:r>
    </w:p>
    <w:p w14:paraId="17C85EB0"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Table S5 aggregates the two shortfall channels into fixed expected-loss bands. Public shortfall dominates in every band, but its share of total shortfall burden falls from essentially all of it below $100 per year to about 84% in the $1,000–$100,000 range, before rising again in the highest band. The non-monotonicity in the highest band is the aggregate signature of coverage-limit censoring: once expected loss exceeds what available coverage can absorb, additional loss accrues to the uncovered channel by construction. The finer bin structure underlying this reversal is shown in Figure S13.</w:t>
      </w:r>
    </w:p>
    <w:p w14:paraId="7CE53870"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S5 | </w:t>
      </w:r>
      <w:r w:rsidRPr="00961F99">
        <w:rPr>
          <w:rFonts w:asciiTheme="majorBidi" w:hAnsiTheme="majorBidi" w:cstheme="majorBidi"/>
          <w:sz w:val="19"/>
          <w:szCs w:val="19"/>
        </w:rPr>
        <w:t>Combined-hazard burden by expected-annual-loss band. Shares are computed over the sum of the two shortfall channels within each band and therefore exclude premium-funded payout.</w:t>
      </w:r>
    </w:p>
    <w:tbl>
      <w:tblPr>
        <w:tblStyle w:val="a3"/>
        <w:tblW w:w="93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3"/>
        <w:gridCol w:w="1608"/>
        <w:gridCol w:w="1608"/>
        <w:gridCol w:w="1608"/>
        <w:gridCol w:w="1608"/>
        <w:gridCol w:w="1608"/>
      </w:tblGrid>
      <w:tr w:rsidR="00B57608" w:rsidRPr="00961F99" w14:paraId="673EBD1F" w14:textId="77777777" w:rsidTr="00376A59">
        <w:trPr>
          <w:tblHeader/>
          <w:jc w:val="center"/>
        </w:trPr>
        <w:tc>
          <w:tcPr>
            <w:tcW w:w="1343" w:type="dxa"/>
          </w:tcPr>
          <w:p w14:paraId="00B30A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Expected annual loss band</w:t>
            </w:r>
          </w:p>
        </w:tc>
        <w:tc>
          <w:tcPr>
            <w:tcW w:w="1608" w:type="dxa"/>
          </w:tcPr>
          <w:p w14:paraId="6FB4829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Buildings</w:t>
            </w:r>
          </w:p>
        </w:tc>
        <w:tc>
          <w:tcPr>
            <w:tcW w:w="1608" w:type="dxa"/>
          </w:tcPr>
          <w:p w14:paraId="7B02F7E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Public shortfall ($M yr⁻¹)</w:t>
            </w:r>
          </w:p>
        </w:tc>
        <w:tc>
          <w:tcPr>
            <w:tcW w:w="1608" w:type="dxa"/>
          </w:tcPr>
          <w:p w14:paraId="3BED59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NFIP shortfall ($M yr⁻¹)</w:t>
            </w:r>
          </w:p>
        </w:tc>
        <w:tc>
          <w:tcPr>
            <w:tcW w:w="1608" w:type="dxa"/>
          </w:tcPr>
          <w:p w14:paraId="1B9D8AB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Public share of shortfall burden</w:t>
            </w:r>
          </w:p>
        </w:tc>
        <w:tc>
          <w:tcPr>
            <w:tcW w:w="1608" w:type="dxa"/>
          </w:tcPr>
          <w:p w14:paraId="05DF6B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NFIP share of shortfall burden</w:t>
            </w:r>
          </w:p>
        </w:tc>
      </w:tr>
      <w:tr w:rsidR="00B57608" w:rsidRPr="00961F99" w14:paraId="7410FD6B" w14:textId="77777777" w:rsidTr="00376A59">
        <w:trPr>
          <w:jc w:val="center"/>
        </w:trPr>
        <w:tc>
          <w:tcPr>
            <w:tcW w:w="1343" w:type="dxa"/>
          </w:tcPr>
          <w:p w14:paraId="6CEA43E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$0-100</w:t>
            </w:r>
          </w:p>
        </w:tc>
        <w:tc>
          <w:tcPr>
            <w:tcW w:w="1608" w:type="dxa"/>
          </w:tcPr>
          <w:p w14:paraId="723BAF2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1,083,737</w:t>
            </w:r>
          </w:p>
        </w:tc>
        <w:tc>
          <w:tcPr>
            <w:tcW w:w="1608" w:type="dxa"/>
          </w:tcPr>
          <w:p w14:paraId="76BAB0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34.8</w:t>
            </w:r>
          </w:p>
        </w:tc>
        <w:tc>
          <w:tcPr>
            <w:tcW w:w="1608" w:type="dxa"/>
          </w:tcPr>
          <w:p w14:paraId="731D6F4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0.0</w:t>
            </w:r>
          </w:p>
        </w:tc>
        <w:tc>
          <w:tcPr>
            <w:tcW w:w="1608" w:type="dxa"/>
          </w:tcPr>
          <w:p w14:paraId="4B42E9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100.0%</w:t>
            </w:r>
          </w:p>
        </w:tc>
        <w:tc>
          <w:tcPr>
            <w:tcW w:w="1608" w:type="dxa"/>
          </w:tcPr>
          <w:p w14:paraId="610ABD6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0.0%</w:t>
            </w:r>
          </w:p>
        </w:tc>
      </w:tr>
      <w:tr w:rsidR="00B57608" w:rsidRPr="00961F99" w14:paraId="459C5345" w14:textId="77777777" w:rsidTr="00376A59">
        <w:trPr>
          <w:jc w:val="center"/>
        </w:trPr>
        <w:tc>
          <w:tcPr>
            <w:tcW w:w="1343" w:type="dxa"/>
          </w:tcPr>
          <w:p w14:paraId="4AD6EC6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$100-1K</w:t>
            </w:r>
          </w:p>
        </w:tc>
        <w:tc>
          <w:tcPr>
            <w:tcW w:w="1608" w:type="dxa"/>
          </w:tcPr>
          <w:p w14:paraId="32371E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2,895,424</w:t>
            </w:r>
          </w:p>
        </w:tc>
        <w:tc>
          <w:tcPr>
            <w:tcW w:w="1608" w:type="dxa"/>
          </w:tcPr>
          <w:p w14:paraId="079914F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997.6</w:t>
            </w:r>
          </w:p>
        </w:tc>
        <w:tc>
          <w:tcPr>
            <w:tcW w:w="1608" w:type="dxa"/>
          </w:tcPr>
          <w:p w14:paraId="16C668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33.2</w:t>
            </w:r>
          </w:p>
        </w:tc>
        <w:tc>
          <w:tcPr>
            <w:tcW w:w="1608" w:type="dxa"/>
          </w:tcPr>
          <w:p w14:paraId="54A1F5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96.8%</w:t>
            </w:r>
          </w:p>
        </w:tc>
        <w:tc>
          <w:tcPr>
            <w:tcW w:w="1608" w:type="dxa"/>
          </w:tcPr>
          <w:p w14:paraId="644EFF1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3.2%</w:t>
            </w:r>
          </w:p>
        </w:tc>
      </w:tr>
      <w:tr w:rsidR="00B57608" w:rsidRPr="00961F99" w14:paraId="4AC0614F" w14:textId="77777777" w:rsidTr="00376A59">
        <w:trPr>
          <w:jc w:val="center"/>
        </w:trPr>
        <w:tc>
          <w:tcPr>
            <w:tcW w:w="1343" w:type="dxa"/>
          </w:tcPr>
          <w:p w14:paraId="19334F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$1K-10K</w:t>
            </w:r>
          </w:p>
        </w:tc>
        <w:tc>
          <w:tcPr>
            <w:tcW w:w="1608" w:type="dxa"/>
          </w:tcPr>
          <w:p w14:paraId="608F7EA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2,860,032</w:t>
            </w:r>
          </w:p>
        </w:tc>
        <w:tc>
          <w:tcPr>
            <w:tcW w:w="1608" w:type="dxa"/>
          </w:tcPr>
          <w:p w14:paraId="7BFB01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8,494.2</w:t>
            </w:r>
          </w:p>
        </w:tc>
        <w:tc>
          <w:tcPr>
            <w:tcW w:w="1608" w:type="dxa"/>
          </w:tcPr>
          <w:p w14:paraId="6779FDA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1,501.1</w:t>
            </w:r>
          </w:p>
        </w:tc>
        <w:tc>
          <w:tcPr>
            <w:tcW w:w="1608" w:type="dxa"/>
          </w:tcPr>
          <w:p w14:paraId="4E043E2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85.0%</w:t>
            </w:r>
          </w:p>
        </w:tc>
        <w:tc>
          <w:tcPr>
            <w:tcW w:w="1608" w:type="dxa"/>
          </w:tcPr>
          <w:p w14:paraId="13D0C27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15.0%</w:t>
            </w:r>
          </w:p>
        </w:tc>
      </w:tr>
      <w:tr w:rsidR="00B57608" w:rsidRPr="00961F99" w14:paraId="513644F7" w14:textId="77777777" w:rsidTr="00376A59">
        <w:trPr>
          <w:jc w:val="center"/>
        </w:trPr>
        <w:tc>
          <w:tcPr>
            <w:tcW w:w="1343" w:type="dxa"/>
          </w:tcPr>
          <w:p w14:paraId="516201F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$10K-100K</w:t>
            </w:r>
          </w:p>
        </w:tc>
        <w:tc>
          <w:tcPr>
            <w:tcW w:w="1608" w:type="dxa"/>
          </w:tcPr>
          <w:p w14:paraId="37F355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662,715</w:t>
            </w:r>
          </w:p>
        </w:tc>
        <w:tc>
          <w:tcPr>
            <w:tcW w:w="1608" w:type="dxa"/>
          </w:tcPr>
          <w:p w14:paraId="0D23DC6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10,826.4</w:t>
            </w:r>
          </w:p>
        </w:tc>
        <w:tc>
          <w:tcPr>
            <w:tcW w:w="1608" w:type="dxa"/>
          </w:tcPr>
          <w:p w14:paraId="33CA36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1,996.6</w:t>
            </w:r>
          </w:p>
        </w:tc>
        <w:tc>
          <w:tcPr>
            <w:tcW w:w="1608" w:type="dxa"/>
          </w:tcPr>
          <w:p w14:paraId="6F9F6E1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84.4%</w:t>
            </w:r>
          </w:p>
        </w:tc>
        <w:tc>
          <w:tcPr>
            <w:tcW w:w="1608" w:type="dxa"/>
          </w:tcPr>
          <w:p w14:paraId="524F8F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15.6%</w:t>
            </w:r>
          </w:p>
        </w:tc>
      </w:tr>
      <w:tr w:rsidR="00B57608" w:rsidRPr="00961F99" w14:paraId="433A0AF6" w14:textId="77777777" w:rsidTr="00376A59">
        <w:trPr>
          <w:jc w:val="center"/>
        </w:trPr>
        <w:tc>
          <w:tcPr>
            <w:tcW w:w="1343" w:type="dxa"/>
          </w:tcPr>
          <w:p w14:paraId="2A00879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$100K-1M</w:t>
            </w:r>
          </w:p>
        </w:tc>
        <w:tc>
          <w:tcPr>
            <w:tcW w:w="1608" w:type="dxa"/>
          </w:tcPr>
          <w:p w14:paraId="715F10E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4,243</w:t>
            </w:r>
          </w:p>
        </w:tc>
        <w:tc>
          <w:tcPr>
            <w:tcW w:w="1608" w:type="dxa"/>
          </w:tcPr>
          <w:p w14:paraId="67189F0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513.1</w:t>
            </w:r>
          </w:p>
        </w:tc>
        <w:tc>
          <w:tcPr>
            <w:tcW w:w="1608" w:type="dxa"/>
          </w:tcPr>
          <w:p w14:paraId="369A78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63.5</w:t>
            </w:r>
          </w:p>
        </w:tc>
        <w:tc>
          <w:tcPr>
            <w:tcW w:w="1608" w:type="dxa"/>
          </w:tcPr>
          <w:p w14:paraId="5F0D00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89.0%</w:t>
            </w:r>
          </w:p>
        </w:tc>
        <w:tc>
          <w:tcPr>
            <w:tcW w:w="1608" w:type="dxa"/>
          </w:tcPr>
          <w:p w14:paraId="10E52E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11.0%</w:t>
            </w:r>
          </w:p>
        </w:tc>
      </w:tr>
    </w:tbl>
    <w:p w14:paraId="24C3559D" w14:textId="77777777" w:rsidR="00B57608" w:rsidRPr="00961F99" w:rsidRDefault="00B57608" w:rsidP="00757EC6">
      <w:pPr>
        <w:spacing w:after="40"/>
        <w:jc w:val="both"/>
        <w:rPr>
          <w:rFonts w:asciiTheme="majorBidi" w:hAnsiTheme="majorBidi" w:cstheme="majorBidi"/>
        </w:rPr>
      </w:pPr>
    </w:p>
    <w:p w14:paraId="74B81E21"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drawing>
          <wp:inline distT="0" distB="0" distL="0" distR="0" wp14:anchorId="68384973" wp14:editId="5266B97C">
            <wp:extent cx="5943600" cy="2137596"/>
            <wp:effectExtent l="0" t="0" r="0" b="0"/>
            <wp:docPr id="2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943600" cy="2137596"/>
                    </a:xfrm>
                    <a:prstGeom prst="rect">
                      <a:avLst/>
                    </a:prstGeom>
                    <a:ln/>
                  </pic:spPr>
                </pic:pic>
              </a:graphicData>
            </a:graphic>
          </wp:inline>
        </w:drawing>
      </w:r>
    </w:p>
    <w:p w14:paraId="5668DDBC"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S4 | </w:t>
      </w:r>
      <w:r w:rsidRPr="00961F99">
        <w:rPr>
          <w:rFonts w:asciiTheme="majorBidi" w:hAnsiTheme="majorBidi" w:cstheme="majorBidi"/>
          <w:sz w:val="19"/>
          <w:szCs w:val="19"/>
        </w:rPr>
        <w:t>Combined-hazard shortfall burden across fixed expected-loss bands, showing the absolute magnitude of each channel and the split between them.</w:t>
      </w:r>
    </w:p>
    <w:p w14:paraId="100F57FB"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lastRenderedPageBreak/>
        <w:drawing>
          <wp:inline distT="0" distB="0" distL="0" distR="0" wp14:anchorId="49E6BBCA" wp14:editId="33BF03E2">
            <wp:extent cx="5943600" cy="2226152"/>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943600" cy="2226152"/>
                    </a:xfrm>
                    <a:prstGeom prst="rect">
                      <a:avLst/>
                    </a:prstGeom>
                    <a:ln/>
                  </pic:spPr>
                </pic:pic>
              </a:graphicData>
            </a:graphic>
          </wp:inline>
        </w:drawing>
      </w:r>
    </w:p>
    <w:p w14:paraId="37AEF421"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S5 | </w:t>
      </w:r>
      <w:r w:rsidRPr="00961F99">
        <w:rPr>
          <w:rFonts w:asciiTheme="majorBidi" w:hAnsiTheme="majorBidi" w:cstheme="majorBidi"/>
          <w:sz w:val="19"/>
          <w:szCs w:val="19"/>
        </w:rPr>
        <w:t>Dominant burden-channel classification. Buildings are labelled by which shortfall channel carries the larger share of their expected annual loss. Uncovered loss dominates for 6,659,790 buildings, NFIP shortfall for 726,656, with 119,705 in a mixed class; the counts are reported in the Supplementary Data.</w:t>
      </w:r>
    </w:p>
    <w:p w14:paraId="4DD85574"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B5. Empirical burden regimes at the tract scale</w:t>
      </w:r>
    </w:p>
    <w:p w14:paraId="7F531735"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Table S6 summarizes the four fitted regimes and Table S7 their assignment uncertainty. The regimes organize along two interpretable axes, the amount of shortfall burden a tract carries and how far its losses sit inside the insurance structure, without hazard or geography entering the classification. Because expected annual loss decomposes into covered payout and uncovered loss, the two defining metrics are not independent: a tract that leaves most of its loss uncovered generates little NFIP shortfall by construction, so the classification organizes a constrained space rather than two free axes.</w:t>
      </w:r>
    </w:p>
    <w:p w14:paraId="31AE44D1"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Supplementary Table S6 | Empirical burden-regime summary.</w:t>
      </w:r>
      <w:r w:rsidRPr="00961F99">
        <w:rPr>
          <w:rFonts w:asciiTheme="majorBidi" w:hAnsiTheme="majorBidi" w:cstheme="majorBidi"/>
          <w:sz w:val="19"/>
          <w:szCs w:val="19"/>
        </w:rPr>
        <w:t xml:space="preserve"> Public loss absorption is tract public shortfall divided by tract expected annual loss. Premium-deficit pressure is tract NFIP shortfall divided by tract allocated written policy cost. Concentration is each regime's share of burden among classified tracts divided by its share of classified tracts; values above one </w:t>
      </w:r>
      <w:proofErr w:type="gramStart"/>
      <w:r w:rsidRPr="00961F99">
        <w:rPr>
          <w:rFonts w:asciiTheme="majorBidi" w:hAnsiTheme="majorBidi" w:cstheme="majorBidi"/>
          <w:sz w:val="19"/>
          <w:szCs w:val="19"/>
        </w:rPr>
        <w:t>indicate</w:t>
      </w:r>
      <w:proofErr w:type="gramEnd"/>
      <w:r w:rsidRPr="00961F99">
        <w:rPr>
          <w:rFonts w:asciiTheme="majorBidi" w:hAnsiTheme="majorBidi" w:cstheme="majorBidi"/>
          <w:sz w:val="19"/>
          <w:szCs w:val="19"/>
        </w:rPr>
        <w:t xml:space="preserve"> disproportionate concentration.</w:t>
      </w:r>
    </w:p>
    <w:tbl>
      <w:tblPr>
        <w:tblStyle w:val="a4"/>
        <w:tblW w:w="94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
        <w:gridCol w:w="1072"/>
        <w:gridCol w:w="1072"/>
        <w:gridCol w:w="1072"/>
        <w:gridCol w:w="1072"/>
        <w:gridCol w:w="1072"/>
        <w:gridCol w:w="1072"/>
        <w:gridCol w:w="1072"/>
        <w:gridCol w:w="869"/>
      </w:tblGrid>
      <w:tr w:rsidR="00B57608" w:rsidRPr="00961F99" w14:paraId="4432E30B" w14:textId="77777777" w:rsidTr="00376A59">
        <w:trPr>
          <w:tblHeader/>
          <w:jc w:val="center"/>
        </w:trPr>
        <w:tc>
          <w:tcPr>
            <w:tcW w:w="1072" w:type="dxa"/>
          </w:tcPr>
          <w:p w14:paraId="0592C3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Burden regime</w:t>
            </w:r>
          </w:p>
        </w:tc>
        <w:tc>
          <w:tcPr>
            <w:tcW w:w="1072" w:type="dxa"/>
          </w:tcPr>
          <w:p w14:paraId="6A60A4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Tracts</w:t>
            </w:r>
          </w:p>
        </w:tc>
        <w:tc>
          <w:tcPr>
            <w:tcW w:w="1072" w:type="dxa"/>
          </w:tcPr>
          <w:p w14:paraId="189D97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Tract share</w:t>
            </w:r>
          </w:p>
        </w:tc>
        <w:tc>
          <w:tcPr>
            <w:tcW w:w="1072" w:type="dxa"/>
          </w:tcPr>
          <w:p w14:paraId="70BA4DC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Median public loss absorption</w:t>
            </w:r>
          </w:p>
        </w:tc>
        <w:tc>
          <w:tcPr>
            <w:tcW w:w="1072" w:type="dxa"/>
          </w:tcPr>
          <w:p w14:paraId="3646D83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Median premium-deficit pressure</w:t>
            </w:r>
          </w:p>
        </w:tc>
        <w:tc>
          <w:tcPr>
            <w:tcW w:w="1072" w:type="dxa"/>
          </w:tcPr>
          <w:p w14:paraId="56E242E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Public shortfall ($M yr⁻¹)</w:t>
            </w:r>
          </w:p>
        </w:tc>
        <w:tc>
          <w:tcPr>
            <w:tcW w:w="1072" w:type="dxa"/>
          </w:tcPr>
          <w:p w14:paraId="412D47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NFIP shortfall ($M yr⁻¹)</w:t>
            </w:r>
          </w:p>
        </w:tc>
        <w:tc>
          <w:tcPr>
            <w:tcW w:w="1072" w:type="dxa"/>
          </w:tcPr>
          <w:p w14:paraId="012B19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Public concentration</w:t>
            </w:r>
          </w:p>
        </w:tc>
        <w:tc>
          <w:tcPr>
            <w:tcW w:w="869" w:type="dxa"/>
          </w:tcPr>
          <w:p w14:paraId="6D7BDF5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NFIP concentration</w:t>
            </w:r>
          </w:p>
        </w:tc>
      </w:tr>
      <w:tr w:rsidR="00B57608" w:rsidRPr="00961F99" w14:paraId="0572CBA2" w14:textId="77777777" w:rsidTr="00376A59">
        <w:trPr>
          <w:jc w:val="center"/>
        </w:trPr>
        <w:tc>
          <w:tcPr>
            <w:tcW w:w="1072" w:type="dxa"/>
          </w:tcPr>
          <w:p w14:paraId="6F3D00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Minor burden, uninsured</w:t>
            </w:r>
          </w:p>
        </w:tc>
        <w:tc>
          <w:tcPr>
            <w:tcW w:w="1072" w:type="dxa"/>
          </w:tcPr>
          <w:p w14:paraId="124630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17,882</w:t>
            </w:r>
          </w:p>
        </w:tc>
        <w:tc>
          <w:tcPr>
            <w:tcW w:w="1072" w:type="dxa"/>
          </w:tcPr>
          <w:p w14:paraId="29CD4B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24.1%</w:t>
            </w:r>
          </w:p>
        </w:tc>
        <w:tc>
          <w:tcPr>
            <w:tcW w:w="1072" w:type="dxa"/>
          </w:tcPr>
          <w:p w14:paraId="43C517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1.000</w:t>
            </w:r>
          </w:p>
        </w:tc>
        <w:tc>
          <w:tcPr>
            <w:tcW w:w="1072" w:type="dxa"/>
          </w:tcPr>
          <w:p w14:paraId="7B2270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0.000</w:t>
            </w:r>
          </w:p>
        </w:tc>
        <w:tc>
          <w:tcPr>
            <w:tcW w:w="1072" w:type="dxa"/>
          </w:tcPr>
          <w:p w14:paraId="733FB5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1,958.6</w:t>
            </w:r>
          </w:p>
        </w:tc>
        <w:tc>
          <w:tcPr>
            <w:tcW w:w="1072" w:type="dxa"/>
          </w:tcPr>
          <w:p w14:paraId="6E24C5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072" w:type="dxa"/>
          </w:tcPr>
          <w:p w14:paraId="13BF73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0.39</w:t>
            </w:r>
          </w:p>
        </w:tc>
        <w:tc>
          <w:tcPr>
            <w:tcW w:w="869" w:type="dxa"/>
          </w:tcPr>
          <w:p w14:paraId="32ABD7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0.00</w:t>
            </w:r>
          </w:p>
        </w:tc>
      </w:tr>
      <w:tr w:rsidR="00B57608" w:rsidRPr="00961F99" w14:paraId="691FE6C0" w14:textId="77777777" w:rsidTr="00376A59">
        <w:trPr>
          <w:jc w:val="center"/>
        </w:trPr>
        <w:tc>
          <w:tcPr>
            <w:tcW w:w="1072" w:type="dxa"/>
          </w:tcPr>
          <w:p w14:paraId="1FFAB1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Minor burden, some coverage</w:t>
            </w:r>
          </w:p>
        </w:tc>
        <w:tc>
          <w:tcPr>
            <w:tcW w:w="1072" w:type="dxa"/>
          </w:tcPr>
          <w:p w14:paraId="6F686B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5,747</w:t>
            </w:r>
          </w:p>
        </w:tc>
        <w:tc>
          <w:tcPr>
            <w:tcW w:w="1072" w:type="dxa"/>
          </w:tcPr>
          <w:p w14:paraId="13ED93D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7.7%</w:t>
            </w:r>
          </w:p>
        </w:tc>
        <w:tc>
          <w:tcPr>
            <w:tcW w:w="1072" w:type="dxa"/>
          </w:tcPr>
          <w:p w14:paraId="1C4E04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0.916</w:t>
            </w:r>
          </w:p>
        </w:tc>
        <w:tc>
          <w:tcPr>
            <w:tcW w:w="1072" w:type="dxa"/>
          </w:tcPr>
          <w:p w14:paraId="77FCBD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0.000</w:t>
            </w:r>
          </w:p>
        </w:tc>
        <w:tc>
          <w:tcPr>
            <w:tcW w:w="1072" w:type="dxa"/>
          </w:tcPr>
          <w:p w14:paraId="3600E1F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126.7</w:t>
            </w:r>
          </w:p>
        </w:tc>
        <w:tc>
          <w:tcPr>
            <w:tcW w:w="1072" w:type="dxa"/>
          </w:tcPr>
          <w:p w14:paraId="5AE920B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0.2</w:t>
            </w:r>
          </w:p>
        </w:tc>
        <w:tc>
          <w:tcPr>
            <w:tcW w:w="1072" w:type="dxa"/>
          </w:tcPr>
          <w:p w14:paraId="3C99B6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0.08</w:t>
            </w:r>
          </w:p>
        </w:tc>
        <w:tc>
          <w:tcPr>
            <w:tcW w:w="869" w:type="dxa"/>
          </w:tcPr>
          <w:p w14:paraId="700E214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0.00</w:t>
            </w:r>
          </w:p>
        </w:tc>
      </w:tr>
      <w:tr w:rsidR="00B57608" w:rsidRPr="00961F99" w14:paraId="3EE36181" w14:textId="77777777" w:rsidTr="00376A59">
        <w:trPr>
          <w:jc w:val="center"/>
        </w:trPr>
        <w:tc>
          <w:tcPr>
            <w:tcW w:w="1072" w:type="dxa"/>
          </w:tcPr>
          <w:p w14:paraId="07E4500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Major burden, mostly uncovered</w:t>
            </w:r>
          </w:p>
        </w:tc>
        <w:tc>
          <w:tcPr>
            <w:tcW w:w="1072" w:type="dxa"/>
          </w:tcPr>
          <w:p w14:paraId="5CE0100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21,197</w:t>
            </w:r>
          </w:p>
        </w:tc>
        <w:tc>
          <w:tcPr>
            <w:tcW w:w="1072" w:type="dxa"/>
          </w:tcPr>
          <w:p w14:paraId="1AD4192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28.6%</w:t>
            </w:r>
          </w:p>
        </w:tc>
        <w:tc>
          <w:tcPr>
            <w:tcW w:w="1072" w:type="dxa"/>
          </w:tcPr>
          <w:p w14:paraId="55D534D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0.927</w:t>
            </w:r>
          </w:p>
        </w:tc>
        <w:tc>
          <w:tcPr>
            <w:tcW w:w="1072" w:type="dxa"/>
          </w:tcPr>
          <w:p w14:paraId="6F5845B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0.926</w:t>
            </w:r>
          </w:p>
        </w:tc>
        <w:tc>
          <w:tcPr>
            <w:tcW w:w="1072" w:type="dxa"/>
          </w:tcPr>
          <w:p w14:paraId="287746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12,890.9</w:t>
            </w:r>
          </w:p>
        </w:tc>
        <w:tc>
          <w:tcPr>
            <w:tcW w:w="1072" w:type="dxa"/>
          </w:tcPr>
          <w:p w14:paraId="02E2733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684.6</w:t>
            </w:r>
          </w:p>
        </w:tc>
        <w:tc>
          <w:tcPr>
            <w:tcW w:w="1072" w:type="dxa"/>
          </w:tcPr>
          <w:p w14:paraId="4469FC2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2.16</w:t>
            </w:r>
          </w:p>
        </w:tc>
        <w:tc>
          <w:tcPr>
            <w:tcW w:w="869" w:type="dxa"/>
          </w:tcPr>
          <w:p w14:paraId="30FB972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0.67</w:t>
            </w:r>
          </w:p>
        </w:tc>
      </w:tr>
      <w:tr w:rsidR="00B57608" w:rsidRPr="00961F99" w14:paraId="1F6E0C14" w14:textId="77777777" w:rsidTr="00376A59">
        <w:trPr>
          <w:jc w:val="center"/>
        </w:trPr>
        <w:tc>
          <w:tcPr>
            <w:tcW w:w="1072" w:type="dxa"/>
          </w:tcPr>
          <w:p w14:paraId="342068A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Major burden, substantially insured</w:t>
            </w:r>
          </w:p>
        </w:tc>
        <w:tc>
          <w:tcPr>
            <w:tcW w:w="1072" w:type="dxa"/>
          </w:tcPr>
          <w:p w14:paraId="5A5ACF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29,414</w:t>
            </w:r>
          </w:p>
        </w:tc>
        <w:tc>
          <w:tcPr>
            <w:tcW w:w="1072" w:type="dxa"/>
          </w:tcPr>
          <w:p w14:paraId="68D20BA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39.6%</w:t>
            </w:r>
          </w:p>
        </w:tc>
        <w:tc>
          <w:tcPr>
            <w:tcW w:w="1072" w:type="dxa"/>
          </w:tcPr>
          <w:p w14:paraId="5D171D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0.457</w:t>
            </w:r>
          </w:p>
        </w:tc>
        <w:tc>
          <w:tcPr>
            <w:tcW w:w="1072" w:type="dxa"/>
          </w:tcPr>
          <w:p w14:paraId="5ADF2A8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1.266</w:t>
            </w:r>
          </w:p>
        </w:tc>
        <w:tc>
          <w:tcPr>
            <w:tcW w:w="1072" w:type="dxa"/>
          </w:tcPr>
          <w:p w14:paraId="3E6F23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5,889.8</w:t>
            </w:r>
          </w:p>
        </w:tc>
        <w:tc>
          <w:tcPr>
            <w:tcW w:w="1072" w:type="dxa"/>
          </w:tcPr>
          <w:p w14:paraId="48B1067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2,909.5</w:t>
            </w:r>
          </w:p>
        </w:tc>
        <w:tc>
          <w:tcPr>
            <w:tcW w:w="1072" w:type="dxa"/>
          </w:tcPr>
          <w:p w14:paraId="4A52DD5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0.71</w:t>
            </w:r>
          </w:p>
        </w:tc>
        <w:tc>
          <w:tcPr>
            <w:tcW w:w="869" w:type="dxa"/>
          </w:tcPr>
          <w:p w14:paraId="680192E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2.04</w:t>
            </w:r>
          </w:p>
        </w:tc>
      </w:tr>
    </w:tbl>
    <w:p w14:paraId="5BD21269" w14:textId="77777777" w:rsidR="00B57608" w:rsidRPr="00961F99" w:rsidRDefault="00B57608" w:rsidP="00757EC6">
      <w:pPr>
        <w:spacing w:after="40"/>
        <w:jc w:val="both"/>
        <w:rPr>
          <w:rFonts w:asciiTheme="majorBidi" w:hAnsiTheme="majorBidi" w:cstheme="majorBidi"/>
        </w:rPr>
      </w:pPr>
    </w:p>
    <w:p w14:paraId="25193A5C"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S7 | </w:t>
      </w:r>
      <w:r w:rsidRPr="00961F99">
        <w:rPr>
          <w:rFonts w:asciiTheme="majorBidi" w:hAnsiTheme="majorBidi" w:cstheme="majorBidi"/>
          <w:sz w:val="19"/>
          <w:szCs w:val="19"/>
        </w:rPr>
        <w:t>Regime-assignment uncertainty. Component membership is probabilistic; the table reports the median and mean maximum posterior probability, the median assignment entropy, and the share of tracts whose maximum posterior probability falls below the 0.70 threshold used in the main text. Assignment is least certain in the major burden, mostly uncovered regime, which borders both minor-burden components in the classification space.</w:t>
      </w:r>
    </w:p>
    <w:tbl>
      <w:tblPr>
        <w:tblStyle w:val="a5"/>
        <w:tblW w:w="92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886"/>
        <w:gridCol w:w="1608"/>
        <w:gridCol w:w="1608"/>
        <w:gridCol w:w="1608"/>
        <w:gridCol w:w="1405"/>
      </w:tblGrid>
      <w:tr w:rsidR="00B57608" w:rsidRPr="00961F99" w14:paraId="356C5616" w14:textId="77777777" w:rsidTr="00376A59">
        <w:trPr>
          <w:tblHeader/>
          <w:jc w:val="center"/>
        </w:trPr>
        <w:tc>
          <w:tcPr>
            <w:tcW w:w="2160" w:type="dxa"/>
          </w:tcPr>
          <w:p w14:paraId="53E0AA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Burden regime</w:t>
            </w:r>
          </w:p>
        </w:tc>
        <w:tc>
          <w:tcPr>
            <w:tcW w:w="886" w:type="dxa"/>
          </w:tcPr>
          <w:p w14:paraId="6D014F3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Tracts</w:t>
            </w:r>
          </w:p>
        </w:tc>
        <w:tc>
          <w:tcPr>
            <w:tcW w:w="1608" w:type="dxa"/>
          </w:tcPr>
          <w:p w14:paraId="664A02E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Median posterior probability</w:t>
            </w:r>
          </w:p>
        </w:tc>
        <w:tc>
          <w:tcPr>
            <w:tcW w:w="1608" w:type="dxa"/>
          </w:tcPr>
          <w:p w14:paraId="405DF1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Mean posterior probability</w:t>
            </w:r>
          </w:p>
        </w:tc>
        <w:tc>
          <w:tcPr>
            <w:tcW w:w="1608" w:type="dxa"/>
          </w:tcPr>
          <w:p w14:paraId="6EFFA0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Median assignment entropy</w:t>
            </w:r>
          </w:p>
        </w:tc>
        <w:tc>
          <w:tcPr>
            <w:tcW w:w="1405" w:type="dxa"/>
          </w:tcPr>
          <w:p w14:paraId="5FB81E3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Share below 0.70 posterior</w:t>
            </w:r>
          </w:p>
        </w:tc>
      </w:tr>
      <w:tr w:rsidR="00B57608" w:rsidRPr="00961F99" w14:paraId="75208F57" w14:textId="77777777" w:rsidTr="00376A59">
        <w:trPr>
          <w:jc w:val="center"/>
        </w:trPr>
        <w:tc>
          <w:tcPr>
            <w:tcW w:w="2160" w:type="dxa"/>
          </w:tcPr>
          <w:p w14:paraId="182F5A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Minor burden, uninsured</w:t>
            </w:r>
          </w:p>
        </w:tc>
        <w:tc>
          <w:tcPr>
            <w:tcW w:w="886" w:type="dxa"/>
          </w:tcPr>
          <w:p w14:paraId="6BB423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17,882</w:t>
            </w:r>
          </w:p>
        </w:tc>
        <w:tc>
          <w:tcPr>
            <w:tcW w:w="1608" w:type="dxa"/>
          </w:tcPr>
          <w:p w14:paraId="78D44F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0.999</w:t>
            </w:r>
          </w:p>
        </w:tc>
        <w:tc>
          <w:tcPr>
            <w:tcW w:w="1608" w:type="dxa"/>
          </w:tcPr>
          <w:p w14:paraId="03FD0D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0.997</w:t>
            </w:r>
          </w:p>
        </w:tc>
        <w:tc>
          <w:tcPr>
            <w:tcW w:w="1608" w:type="dxa"/>
          </w:tcPr>
          <w:p w14:paraId="1E0DC80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0.004</w:t>
            </w:r>
          </w:p>
        </w:tc>
        <w:tc>
          <w:tcPr>
            <w:tcW w:w="1405" w:type="dxa"/>
          </w:tcPr>
          <w:p w14:paraId="11BF5B5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0.3%</w:t>
            </w:r>
          </w:p>
        </w:tc>
      </w:tr>
      <w:tr w:rsidR="00B57608" w:rsidRPr="00961F99" w14:paraId="0BAA878B" w14:textId="77777777" w:rsidTr="00376A59">
        <w:trPr>
          <w:jc w:val="center"/>
        </w:trPr>
        <w:tc>
          <w:tcPr>
            <w:tcW w:w="2160" w:type="dxa"/>
          </w:tcPr>
          <w:p w14:paraId="7D2802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Minor burden, some coverage</w:t>
            </w:r>
          </w:p>
        </w:tc>
        <w:tc>
          <w:tcPr>
            <w:tcW w:w="886" w:type="dxa"/>
          </w:tcPr>
          <w:p w14:paraId="02EC39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5,747</w:t>
            </w:r>
          </w:p>
        </w:tc>
        <w:tc>
          <w:tcPr>
            <w:tcW w:w="1608" w:type="dxa"/>
          </w:tcPr>
          <w:p w14:paraId="3B64107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0.994</w:t>
            </w:r>
          </w:p>
        </w:tc>
        <w:tc>
          <w:tcPr>
            <w:tcW w:w="1608" w:type="dxa"/>
          </w:tcPr>
          <w:p w14:paraId="08D9A2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0.965</w:t>
            </w:r>
          </w:p>
        </w:tc>
        <w:tc>
          <w:tcPr>
            <w:tcW w:w="1608" w:type="dxa"/>
          </w:tcPr>
          <w:p w14:paraId="2034E7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0.025</w:t>
            </w:r>
          </w:p>
        </w:tc>
        <w:tc>
          <w:tcPr>
            <w:tcW w:w="1405" w:type="dxa"/>
          </w:tcPr>
          <w:p w14:paraId="28A2E15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2.4%</w:t>
            </w:r>
          </w:p>
        </w:tc>
      </w:tr>
      <w:tr w:rsidR="00B57608" w:rsidRPr="00961F99" w14:paraId="6084F7F9" w14:textId="77777777" w:rsidTr="00376A59">
        <w:trPr>
          <w:jc w:val="center"/>
        </w:trPr>
        <w:tc>
          <w:tcPr>
            <w:tcW w:w="2160" w:type="dxa"/>
          </w:tcPr>
          <w:p w14:paraId="281E8B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lastRenderedPageBreak/>
              <w:t>Major burden, mostly uncovered</w:t>
            </w:r>
          </w:p>
        </w:tc>
        <w:tc>
          <w:tcPr>
            <w:tcW w:w="886" w:type="dxa"/>
          </w:tcPr>
          <w:p w14:paraId="36EAF84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21,197</w:t>
            </w:r>
          </w:p>
        </w:tc>
        <w:tc>
          <w:tcPr>
            <w:tcW w:w="1608" w:type="dxa"/>
          </w:tcPr>
          <w:p w14:paraId="6F43E5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0.942</w:t>
            </w:r>
          </w:p>
        </w:tc>
        <w:tc>
          <w:tcPr>
            <w:tcW w:w="1608" w:type="dxa"/>
          </w:tcPr>
          <w:p w14:paraId="1ACE2F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0.89</w:t>
            </w:r>
          </w:p>
        </w:tc>
        <w:tc>
          <w:tcPr>
            <w:tcW w:w="1608" w:type="dxa"/>
          </w:tcPr>
          <w:p w14:paraId="72FD66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0.16</w:t>
            </w:r>
          </w:p>
        </w:tc>
        <w:tc>
          <w:tcPr>
            <w:tcW w:w="1405" w:type="dxa"/>
          </w:tcPr>
          <w:p w14:paraId="7E5010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10.1%</w:t>
            </w:r>
          </w:p>
        </w:tc>
      </w:tr>
      <w:tr w:rsidR="00B57608" w:rsidRPr="00961F99" w14:paraId="3AEA4B8F" w14:textId="77777777" w:rsidTr="00376A59">
        <w:trPr>
          <w:jc w:val="center"/>
        </w:trPr>
        <w:tc>
          <w:tcPr>
            <w:tcW w:w="2160" w:type="dxa"/>
          </w:tcPr>
          <w:p w14:paraId="6829F4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Major burden, substantially insured</w:t>
            </w:r>
          </w:p>
        </w:tc>
        <w:tc>
          <w:tcPr>
            <w:tcW w:w="886" w:type="dxa"/>
          </w:tcPr>
          <w:p w14:paraId="2C8D4C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29,414</w:t>
            </w:r>
          </w:p>
        </w:tc>
        <w:tc>
          <w:tcPr>
            <w:tcW w:w="1608" w:type="dxa"/>
          </w:tcPr>
          <w:p w14:paraId="43B96B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1.0</w:t>
            </w:r>
          </w:p>
        </w:tc>
        <w:tc>
          <w:tcPr>
            <w:tcW w:w="1608" w:type="dxa"/>
          </w:tcPr>
          <w:p w14:paraId="3B64BEA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0.958</w:t>
            </w:r>
          </w:p>
        </w:tc>
        <w:tc>
          <w:tcPr>
            <w:tcW w:w="1608" w:type="dxa"/>
          </w:tcPr>
          <w:p w14:paraId="22F257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w:t>
            </w:r>
          </w:p>
        </w:tc>
        <w:tc>
          <w:tcPr>
            <w:tcW w:w="1405" w:type="dxa"/>
          </w:tcPr>
          <w:p w14:paraId="461551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5.8%</w:t>
            </w:r>
          </w:p>
        </w:tc>
      </w:tr>
    </w:tbl>
    <w:p w14:paraId="49618943" w14:textId="77777777" w:rsidR="00B57608" w:rsidRPr="00961F99" w:rsidRDefault="00B57608" w:rsidP="00757EC6">
      <w:pPr>
        <w:spacing w:after="40"/>
        <w:jc w:val="both"/>
        <w:rPr>
          <w:rFonts w:asciiTheme="majorBidi" w:hAnsiTheme="majorBidi" w:cstheme="majorBidi"/>
        </w:rPr>
      </w:pPr>
    </w:p>
    <w:p w14:paraId="3DDBA0CA"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drawing>
          <wp:inline distT="0" distB="0" distL="0" distR="0" wp14:anchorId="4204C43A" wp14:editId="4BE8B7B7">
            <wp:extent cx="5943600" cy="1900239"/>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943600" cy="1900239"/>
                    </a:xfrm>
                    <a:prstGeom prst="rect">
                      <a:avLst/>
                    </a:prstGeom>
                    <a:ln/>
                  </pic:spPr>
                </pic:pic>
              </a:graphicData>
            </a:graphic>
          </wp:inline>
        </w:drawing>
      </w:r>
    </w:p>
    <w:p w14:paraId="2DB429DE"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Supplementary Figure S6 | Regime-defining metrics and burden concentration by regime, showing median public loss absorption and premium-deficit pressure alongside each regime's share of burden among classified tracts relative to its share of classified tracts.</w:t>
      </w:r>
    </w:p>
    <w:p w14:paraId="73B7043C"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drawing>
          <wp:inline distT="0" distB="0" distL="0" distR="0" wp14:anchorId="39DCCEBB" wp14:editId="66F3C14F">
            <wp:extent cx="5943600" cy="2259318"/>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943600" cy="2259318"/>
                    </a:xfrm>
                    <a:prstGeom prst="rect">
                      <a:avLst/>
                    </a:prstGeom>
                    <a:ln/>
                  </pic:spPr>
                </pic:pic>
              </a:graphicData>
            </a:graphic>
          </wp:inline>
        </w:drawing>
      </w:r>
    </w:p>
    <w:p w14:paraId="4F2A62CA"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S7 | </w:t>
      </w:r>
      <w:r w:rsidRPr="00961F99">
        <w:rPr>
          <w:rFonts w:asciiTheme="majorBidi" w:hAnsiTheme="majorBidi" w:cstheme="majorBidi"/>
          <w:sz w:val="19"/>
          <w:szCs w:val="19"/>
        </w:rPr>
        <w:t xml:space="preserve">Regime feature space. Tracts are plotted in the space of the three clustering variables, </w:t>
      </w:r>
      <w:proofErr w:type="spellStart"/>
      <w:r w:rsidRPr="00961F99">
        <w:rPr>
          <w:rFonts w:asciiTheme="majorBidi" w:hAnsiTheme="majorBidi" w:cstheme="majorBidi"/>
          <w:sz w:val="19"/>
          <w:szCs w:val="19"/>
        </w:rPr>
        <w:t>coloured</w:t>
      </w:r>
      <w:proofErr w:type="spellEnd"/>
      <w:r w:rsidRPr="00961F99">
        <w:rPr>
          <w:rFonts w:asciiTheme="majorBidi" w:hAnsiTheme="majorBidi" w:cstheme="majorBidi"/>
          <w:sz w:val="19"/>
          <w:szCs w:val="19"/>
        </w:rPr>
        <w:t xml:space="preserve"> by assigned regime. The components are statistically distinguishable but overlap substantially, which is why assignment is treated as probabilistic throughout and why the regimes are described as empirical typologies rather than as fixed classes.</w:t>
      </w:r>
    </w:p>
    <w:p w14:paraId="281CB5ED"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lastRenderedPageBreak/>
        <w:drawing>
          <wp:inline distT="0" distB="0" distL="0" distR="0" wp14:anchorId="304BEAB0" wp14:editId="6B77267F">
            <wp:extent cx="5943600" cy="1717847"/>
            <wp:effectExtent l="0" t="0" r="0" b="0"/>
            <wp:docPr id="2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5943600" cy="1717847"/>
                    </a:xfrm>
                    <a:prstGeom prst="rect">
                      <a:avLst/>
                    </a:prstGeom>
                    <a:ln/>
                  </pic:spPr>
                </pic:pic>
              </a:graphicData>
            </a:graphic>
          </wp:inline>
        </w:drawing>
      </w:r>
    </w:p>
    <w:p w14:paraId="707C1711" w14:textId="0F61F4B0"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S8 | </w:t>
      </w:r>
      <w:r w:rsidRPr="00961F99">
        <w:rPr>
          <w:rFonts w:asciiTheme="majorBidi" w:hAnsiTheme="majorBidi" w:cstheme="majorBidi"/>
          <w:sz w:val="19"/>
          <w:szCs w:val="19"/>
        </w:rPr>
        <w:t xml:space="preserve">Gaussian mixture model selection and posterior assignment uncertainty. Panel (a) shows the Bayesian and Akaike information criteria across two to six components, evaluated on a random diagnostic sample of 6,000 valid tracts. Panel (b) shows mean silhouette width over the same range. Panel (c) shows the share of tracts in each fitted regime whose maximum posterior probability falls below 0.70. Neither criterion selects the four-component solution: the Bayesian information criterion continues to improve through five components before deteriorating at six, and </w:t>
      </w:r>
      <w:proofErr w:type="gramStart"/>
      <w:r w:rsidRPr="00961F99">
        <w:rPr>
          <w:rFonts w:asciiTheme="majorBidi" w:hAnsiTheme="majorBidi" w:cstheme="majorBidi"/>
          <w:sz w:val="19"/>
          <w:szCs w:val="19"/>
        </w:rPr>
        <w:t>mean</w:t>
      </w:r>
      <w:proofErr w:type="gramEnd"/>
      <w:r w:rsidRPr="00961F99">
        <w:rPr>
          <w:rFonts w:asciiTheme="majorBidi" w:hAnsiTheme="majorBidi" w:cstheme="majorBidi"/>
          <w:sz w:val="19"/>
          <w:szCs w:val="19"/>
        </w:rPr>
        <w:t xml:space="preserve"> silhouette width is highest at three. This is the expected </w:t>
      </w:r>
      <w:r w:rsidR="00673BD8" w:rsidRPr="00961F99">
        <w:rPr>
          <w:rFonts w:asciiTheme="majorBidi" w:hAnsiTheme="majorBidi" w:cstheme="majorBidi"/>
          <w:sz w:val="19"/>
          <w:szCs w:val="19"/>
        </w:rPr>
        <w:t>behavior</w:t>
      </w:r>
      <w:r w:rsidRPr="00961F99">
        <w:rPr>
          <w:rFonts w:asciiTheme="majorBidi" w:hAnsiTheme="majorBidi" w:cstheme="majorBidi"/>
          <w:sz w:val="19"/>
          <w:szCs w:val="19"/>
        </w:rPr>
        <w:t xml:space="preserve"> for a continuous burden space that does not contain a small number of well-separated modes. The four-component solution was retained because it yields an interpretable separation of burden magnitude and insurance state, not because it optimizes a model-selection criterion, and the regimes are therefore presented throughout as empirical typologies rather than as evidence of discrete underlying classes. This is also why </w:t>
      </w:r>
      <w:proofErr w:type="gramStart"/>
      <w:r w:rsidRPr="00961F99">
        <w:rPr>
          <w:rFonts w:asciiTheme="majorBidi" w:hAnsiTheme="majorBidi" w:cstheme="majorBidi"/>
          <w:sz w:val="19"/>
          <w:szCs w:val="19"/>
        </w:rPr>
        <w:t>assignment is</w:t>
      </w:r>
      <w:proofErr w:type="gramEnd"/>
      <w:r w:rsidRPr="00961F99">
        <w:rPr>
          <w:rFonts w:asciiTheme="majorBidi" w:hAnsiTheme="majorBidi" w:cstheme="majorBidi"/>
          <w:sz w:val="19"/>
          <w:szCs w:val="19"/>
        </w:rPr>
        <w:t xml:space="preserve"> treated as probabilistic and why the uncertainty in panel (c) is reported alongside every regime result.</w:t>
      </w:r>
    </w:p>
    <w:p w14:paraId="638DDC70"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B6. Hazard composition within burden regimes</w:t>
      </w:r>
    </w:p>
    <w:p w14:paraId="544E98DE"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Within a given regime the hazard mix driving public shortfall often differs from the </w:t>
      </w:r>
      <w:proofErr w:type="gramStart"/>
      <w:r w:rsidRPr="00961F99">
        <w:rPr>
          <w:rFonts w:asciiTheme="majorBidi" w:hAnsiTheme="majorBidi" w:cstheme="majorBidi"/>
        </w:rPr>
        <w:t>mix</w:t>
      </w:r>
      <w:proofErr w:type="gramEnd"/>
      <w:r w:rsidRPr="00961F99">
        <w:rPr>
          <w:rFonts w:asciiTheme="majorBidi" w:hAnsiTheme="majorBidi" w:cstheme="majorBidi"/>
        </w:rPr>
        <w:t xml:space="preserve"> driving NFIP shortfall, and Table S8 reports both. Inland hazards dominate public shortfall in every regime. The NFIP-side composition is more balanced: within the major burden, substantially insured regime, pluvial and coastal flooding contribute comparable shares of premium-deficit pressure, so the coastal geographic concentration of that regime should not be read as evidence that coastal flooding alone produces the pressure.</w:t>
      </w:r>
    </w:p>
    <w:p w14:paraId="664B50DE"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S8 | </w:t>
      </w:r>
      <w:r w:rsidRPr="00961F99">
        <w:rPr>
          <w:rFonts w:asciiTheme="majorBidi" w:hAnsiTheme="majorBidi" w:cstheme="majorBidi"/>
          <w:sz w:val="19"/>
          <w:szCs w:val="19"/>
        </w:rPr>
        <w:t xml:space="preserve">Hazard composition of public and NFIP shortfall by burden regime. Hazard-specific shortfalls are additive across hazards and therefore sum to slightly more than the non-additive combined-layer totals; within-regime shares are unaffected. Where a </w:t>
      </w:r>
      <w:proofErr w:type="gramStart"/>
      <w:r w:rsidRPr="00961F99">
        <w:rPr>
          <w:rFonts w:asciiTheme="majorBidi" w:hAnsiTheme="majorBidi" w:cstheme="majorBidi"/>
          <w:sz w:val="19"/>
          <w:szCs w:val="19"/>
        </w:rPr>
        <w:t>channel total falls</w:t>
      </w:r>
      <w:proofErr w:type="gramEnd"/>
      <w:r w:rsidRPr="00961F99">
        <w:rPr>
          <w:rFonts w:asciiTheme="majorBidi" w:hAnsiTheme="majorBidi" w:cstheme="majorBidi"/>
          <w:sz w:val="19"/>
          <w:szCs w:val="19"/>
        </w:rPr>
        <w:t xml:space="preserve"> below $10 million the percentage composition is not interpretable and is flagged accordingly; for the minor burden, uninsured regime this is definitional, because tracts without an insured pool cannot generate NFIP shortfall.</w:t>
      </w:r>
    </w:p>
    <w:tbl>
      <w:tblPr>
        <w:tblStyle w:val="a6"/>
        <w:tblW w:w="94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170"/>
        <w:gridCol w:w="1018"/>
        <w:gridCol w:w="1206"/>
        <w:gridCol w:w="1206"/>
        <w:gridCol w:w="1206"/>
        <w:gridCol w:w="1206"/>
        <w:gridCol w:w="1206"/>
      </w:tblGrid>
      <w:tr w:rsidR="00B57608" w:rsidRPr="00961F99" w14:paraId="038BA346" w14:textId="77777777" w:rsidTr="00376A59">
        <w:trPr>
          <w:tblHeader/>
          <w:jc w:val="center"/>
        </w:trPr>
        <w:tc>
          <w:tcPr>
            <w:tcW w:w="1260" w:type="dxa"/>
          </w:tcPr>
          <w:p w14:paraId="726A34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Burden regime</w:t>
            </w:r>
          </w:p>
        </w:tc>
        <w:tc>
          <w:tcPr>
            <w:tcW w:w="1170" w:type="dxa"/>
          </w:tcPr>
          <w:p w14:paraId="6F77B83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Channel</w:t>
            </w:r>
          </w:p>
        </w:tc>
        <w:tc>
          <w:tcPr>
            <w:tcW w:w="1018" w:type="dxa"/>
          </w:tcPr>
          <w:p w14:paraId="5EE314F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Tracts</w:t>
            </w:r>
          </w:p>
        </w:tc>
        <w:tc>
          <w:tcPr>
            <w:tcW w:w="1206" w:type="dxa"/>
          </w:tcPr>
          <w:p w14:paraId="48A8DC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Channel total ($M yr⁻¹)</w:t>
            </w:r>
          </w:p>
        </w:tc>
        <w:tc>
          <w:tcPr>
            <w:tcW w:w="1206" w:type="dxa"/>
          </w:tcPr>
          <w:p w14:paraId="112EEC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Pluvial share</w:t>
            </w:r>
          </w:p>
        </w:tc>
        <w:tc>
          <w:tcPr>
            <w:tcW w:w="1206" w:type="dxa"/>
          </w:tcPr>
          <w:p w14:paraId="502FC9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Fluvial share</w:t>
            </w:r>
          </w:p>
        </w:tc>
        <w:tc>
          <w:tcPr>
            <w:tcW w:w="1206" w:type="dxa"/>
          </w:tcPr>
          <w:p w14:paraId="54452E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Coastal share</w:t>
            </w:r>
          </w:p>
        </w:tc>
        <w:tc>
          <w:tcPr>
            <w:tcW w:w="1206" w:type="dxa"/>
          </w:tcPr>
          <w:p w14:paraId="7D10AB6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Composition interpretable</w:t>
            </w:r>
          </w:p>
        </w:tc>
      </w:tr>
      <w:tr w:rsidR="00B57608" w:rsidRPr="00961F99" w14:paraId="72F90E4B" w14:textId="77777777" w:rsidTr="00376A59">
        <w:trPr>
          <w:jc w:val="center"/>
        </w:trPr>
        <w:tc>
          <w:tcPr>
            <w:tcW w:w="1260" w:type="dxa"/>
          </w:tcPr>
          <w:p w14:paraId="1F0371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Minor burden, uninsured</w:t>
            </w:r>
          </w:p>
        </w:tc>
        <w:tc>
          <w:tcPr>
            <w:tcW w:w="1170" w:type="dxa"/>
          </w:tcPr>
          <w:p w14:paraId="62316FE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Public shortfall</w:t>
            </w:r>
          </w:p>
        </w:tc>
        <w:tc>
          <w:tcPr>
            <w:tcW w:w="1018" w:type="dxa"/>
          </w:tcPr>
          <w:p w14:paraId="1D9E03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17,882</w:t>
            </w:r>
          </w:p>
        </w:tc>
        <w:tc>
          <w:tcPr>
            <w:tcW w:w="1206" w:type="dxa"/>
          </w:tcPr>
          <w:p w14:paraId="51FCDDE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1,983.49</w:t>
            </w:r>
          </w:p>
        </w:tc>
        <w:tc>
          <w:tcPr>
            <w:tcW w:w="1206" w:type="dxa"/>
          </w:tcPr>
          <w:p w14:paraId="6CD987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86.6%</w:t>
            </w:r>
          </w:p>
        </w:tc>
        <w:tc>
          <w:tcPr>
            <w:tcW w:w="1206" w:type="dxa"/>
          </w:tcPr>
          <w:p w14:paraId="703C06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13.1%</w:t>
            </w:r>
          </w:p>
        </w:tc>
        <w:tc>
          <w:tcPr>
            <w:tcW w:w="1206" w:type="dxa"/>
          </w:tcPr>
          <w:p w14:paraId="49CFC27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0.4%</w:t>
            </w:r>
          </w:p>
        </w:tc>
        <w:tc>
          <w:tcPr>
            <w:tcW w:w="1206" w:type="dxa"/>
          </w:tcPr>
          <w:p w14:paraId="426335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Yes</w:t>
            </w:r>
          </w:p>
        </w:tc>
      </w:tr>
      <w:tr w:rsidR="00B57608" w:rsidRPr="00961F99" w14:paraId="27FE3A4B" w14:textId="77777777" w:rsidTr="00376A59">
        <w:trPr>
          <w:jc w:val="center"/>
        </w:trPr>
        <w:tc>
          <w:tcPr>
            <w:tcW w:w="1260" w:type="dxa"/>
          </w:tcPr>
          <w:p w14:paraId="57A64A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Minor burden, uninsured</w:t>
            </w:r>
          </w:p>
        </w:tc>
        <w:tc>
          <w:tcPr>
            <w:tcW w:w="1170" w:type="dxa"/>
          </w:tcPr>
          <w:p w14:paraId="217204D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NFIP shortfall</w:t>
            </w:r>
          </w:p>
        </w:tc>
        <w:tc>
          <w:tcPr>
            <w:tcW w:w="1018" w:type="dxa"/>
          </w:tcPr>
          <w:p w14:paraId="2E2FBA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17,882</w:t>
            </w:r>
          </w:p>
        </w:tc>
        <w:tc>
          <w:tcPr>
            <w:tcW w:w="1206" w:type="dxa"/>
          </w:tcPr>
          <w:p w14:paraId="781EA5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0.00</w:t>
            </w:r>
          </w:p>
        </w:tc>
        <w:tc>
          <w:tcPr>
            <w:tcW w:w="1206" w:type="dxa"/>
          </w:tcPr>
          <w:p w14:paraId="4AB404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95.5%</w:t>
            </w:r>
          </w:p>
        </w:tc>
        <w:tc>
          <w:tcPr>
            <w:tcW w:w="1206" w:type="dxa"/>
          </w:tcPr>
          <w:p w14:paraId="771593C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4.5%</w:t>
            </w:r>
          </w:p>
        </w:tc>
        <w:tc>
          <w:tcPr>
            <w:tcW w:w="1206" w:type="dxa"/>
          </w:tcPr>
          <w:p w14:paraId="11D30D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w:t>
            </w:r>
          </w:p>
        </w:tc>
        <w:tc>
          <w:tcPr>
            <w:tcW w:w="1206" w:type="dxa"/>
          </w:tcPr>
          <w:p w14:paraId="68BFFA9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No (total below $10M)</w:t>
            </w:r>
          </w:p>
        </w:tc>
      </w:tr>
      <w:tr w:rsidR="00B57608" w:rsidRPr="00961F99" w14:paraId="4653EDDB" w14:textId="77777777" w:rsidTr="00376A59">
        <w:trPr>
          <w:jc w:val="center"/>
        </w:trPr>
        <w:tc>
          <w:tcPr>
            <w:tcW w:w="1260" w:type="dxa"/>
          </w:tcPr>
          <w:p w14:paraId="5F0F20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Minor burden, some coverage</w:t>
            </w:r>
          </w:p>
        </w:tc>
        <w:tc>
          <w:tcPr>
            <w:tcW w:w="1170" w:type="dxa"/>
          </w:tcPr>
          <w:p w14:paraId="6254D1E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Public shortfall</w:t>
            </w:r>
          </w:p>
        </w:tc>
        <w:tc>
          <w:tcPr>
            <w:tcW w:w="1018" w:type="dxa"/>
          </w:tcPr>
          <w:p w14:paraId="6B063E0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5,747</w:t>
            </w:r>
          </w:p>
        </w:tc>
        <w:tc>
          <w:tcPr>
            <w:tcW w:w="1206" w:type="dxa"/>
          </w:tcPr>
          <w:p w14:paraId="698741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128.64</w:t>
            </w:r>
          </w:p>
        </w:tc>
        <w:tc>
          <w:tcPr>
            <w:tcW w:w="1206" w:type="dxa"/>
          </w:tcPr>
          <w:p w14:paraId="04D96E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87.8%</w:t>
            </w:r>
          </w:p>
        </w:tc>
        <w:tc>
          <w:tcPr>
            <w:tcW w:w="1206" w:type="dxa"/>
          </w:tcPr>
          <w:p w14:paraId="24680F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8.1%</w:t>
            </w:r>
          </w:p>
        </w:tc>
        <w:tc>
          <w:tcPr>
            <w:tcW w:w="1206" w:type="dxa"/>
          </w:tcPr>
          <w:p w14:paraId="471A2C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4.2%</w:t>
            </w:r>
          </w:p>
        </w:tc>
        <w:tc>
          <w:tcPr>
            <w:tcW w:w="1206" w:type="dxa"/>
          </w:tcPr>
          <w:p w14:paraId="523B41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Yes</w:t>
            </w:r>
          </w:p>
        </w:tc>
      </w:tr>
      <w:tr w:rsidR="00B57608" w:rsidRPr="00961F99" w14:paraId="0FD35E46" w14:textId="77777777" w:rsidTr="00376A59">
        <w:trPr>
          <w:jc w:val="center"/>
        </w:trPr>
        <w:tc>
          <w:tcPr>
            <w:tcW w:w="1260" w:type="dxa"/>
          </w:tcPr>
          <w:p w14:paraId="1CD8BA2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Minor burden, some coverage</w:t>
            </w:r>
          </w:p>
        </w:tc>
        <w:tc>
          <w:tcPr>
            <w:tcW w:w="1170" w:type="dxa"/>
          </w:tcPr>
          <w:p w14:paraId="416980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NFIP shortfall</w:t>
            </w:r>
          </w:p>
        </w:tc>
        <w:tc>
          <w:tcPr>
            <w:tcW w:w="1018" w:type="dxa"/>
          </w:tcPr>
          <w:p w14:paraId="077163F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5,747</w:t>
            </w:r>
          </w:p>
        </w:tc>
        <w:tc>
          <w:tcPr>
            <w:tcW w:w="1206" w:type="dxa"/>
          </w:tcPr>
          <w:p w14:paraId="2413D5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0.19</w:t>
            </w:r>
          </w:p>
        </w:tc>
        <w:tc>
          <w:tcPr>
            <w:tcW w:w="1206" w:type="dxa"/>
          </w:tcPr>
          <w:p w14:paraId="27FE6E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72.8%</w:t>
            </w:r>
          </w:p>
        </w:tc>
        <w:tc>
          <w:tcPr>
            <w:tcW w:w="1206" w:type="dxa"/>
          </w:tcPr>
          <w:p w14:paraId="66DEE1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6.6%</w:t>
            </w:r>
          </w:p>
        </w:tc>
        <w:tc>
          <w:tcPr>
            <w:tcW w:w="1206" w:type="dxa"/>
          </w:tcPr>
          <w:p w14:paraId="0F74410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20.6%</w:t>
            </w:r>
          </w:p>
        </w:tc>
        <w:tc>
          <w:tcPr>
            <w:tcW w:w="1206" w:type="dxa"/>
          </w:tcPr>
          <w:p w14:paraId="79F039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No (total below $10M)</w:t>
            </w:r>
          </w:p>
        </w:tc>
      </w:tr>
      <w:tr w:rsidR="00B57608" w:rsidRPr="00961F99" w14:paraId="7E7CB6D8" w14:textId="77777777" w:rsidTr="00376A59">
        <w:trPr>
          <w:jc w:val="center"/>
        </w:trPr>
        <w:tc>
          <w:tcPr>
            <w:tcW w:w="1260" w:type="dxa"/>
          </w:tcPr>
          <w:p w14:paraId="3AD45D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Major burden, mostly uncovered</w:t>
            </w:r>
          </w:p>
        </w:tc>
        <w:tc>
          <w:tcPr>
            <w:tcW w:w="1170" w:type="dxa"/>
          </w:tcPr>
          <w:p w14:paraId="0013C89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Public shortfall</w:t>
            </w:r>
          </w:p>
        </w:tc>
        <w:tc>
          <w:tcPr>
            <w:tcW w:w="1018" w:type="dxa"/>
          </w:tcPr>
          <w:p w14:paraId="120277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21,197</w:t>
            </w:r>
          </w:p>
        </w:tc>
        <w:tc>
          <w:tcPr>
            <w:tcW w:w="1206" w:type="dxa"/>
          </w:tcPr>
          <w:p w14:paraId="03ABBFF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13,177.61</w:t>
            </w:r>
          </w:p>
        </w:tc>
        <w:tc>
          <w:tcPr>
            <w:tcW w:w="1206" w:type="dxa"/>
          </w:tcPr>
          <w:p w14:paraId="6EF0B0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75.8%</w:t>
            </w:r>
          </w:p>
        </w:tc>
        <w:tc>
          <w:tcPr>
            <w:tcW w:w="1206" w:type="dxa"/>
          </w:tcPr>
          <w:p w14:paraId="22A5A9F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22.1%</w:t>
            </w:r>
          </w:p>
        </w:tc>
        <w:tc>
          <w:tcPr>
            <w:tcW w:w="1206" w:type="dxa"/>
          </w:tcPr>
          <w:p w14:paraId="4876F53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w:t>
            </w:r>
          </w:p>
        </w:tc>
        <w:tc>
          <w:tcPr>
            <w:tcW w:w="1206" w:type="dxa"/>
          </w:tcPr>
          <w:p w14:paraId="16A9786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Yes</w:t>
            </w:r>
          </w:p>
        </w:tc>
      </w:tr>
      <w:tr w:rsidR="00B57608" w:rsidRPr="00961F99" w14:paraId="0E80B696" w14:textId="77777777" w:rsidTr="00376A59">
        <w:trPr>
          <w:jc w:val="center"/>
        </w:trPr>
        <w:tc>
          <w:tcPr>
            <w:tcW w:w="1260" w:type="dxa"/>
          </w:tcPr>
          <w:p w14:paraId="117F7B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Major burden, mostly uncovered</w:t>
            </w:r>
          </w:p>
        </w:tc>
        <w:tc>
          <w:tcPr>
            <w:tcW w:w="1170" w:type="dxa"/>
          </w:tcPr>
          <w:p w14:paraId="62BF059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NFIP shortfall</w:t>
            </w:r>
          </w:p>
        </w:tc>
        <w:tc>
          <w:tcPr>
            <w:tcW w:w="1018" w:type="dxa"/>
          </w:tcPr>
          <w:p w14:paraId="5545DF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21,197</w:t>
            </w:r>
          </w:p>
        </w:tc>
        <w:tc>
          <w:tcPr>
            <w:tcW w:w="1206" w:type="dxa"/>
          </w:tcPr>
          <w:p w14:paraId="748D98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707.08</w:t>
            </w:r>
          </w:p>
        </w:tc>
        <w:tc>
          <w:tcPr>
            <w:tcW w:w="1206" w:type="dxa"/>
          </w:tcPr>
          <w:p w14:paraId="77290A0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72.0%</w:t>
            </w:r>
          </w:p>
        </w:tc>
        <w:tc>
          <w:tcPr>
            <w:tcW w:w="1206" w:type="dxa"/>
          </w:tcPr>
          <w:p w14:paraId="7C73D0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25.2%</w:t>
            </w:r>
          </w:p>
        </w:tc>
        <w:tc>
          <w:tcPr>
            <w:tcW w:w="1206" w:type="dxa"/>
          </w:tcPr>
          <w:p w14:paraId="0209B3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2.8%</w:t>
            </w:r>
          </w:p>
        </w:tc>
        <w:tc>
          <w:tcPr>
            <w:tcW w:w="1206" w:type="dxa"/>
          </w:tcPr>
          <w:p w14:paraId="4934ED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Yes</w:t>
            </w:r>
          </w:p>
        </w:tc>
      </w:tr>
      <w:tr w:rsidR="00B57608" w:rsidRPr="00961F99" w14:paraId="075BECDF" w14:textId="77777777" w:rsidTr="00376A59">
        <w:trPr>
          <w:jc w:val="center"/>
        </w:trPr>
        <w:tc>
          <w:tcPr>
            <w:tcW w:w="1260" w:type="dxa"/>
          </w:tcPr>
          <w:p w14:paraId="7AE95C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Major burden, substantially insured</w:t>
            </w:r>
          </w:p>
        </w:tc>
        <w:tc>
          <w:tcPr>
            <w:tcW w:w="1170" w:type="dxa"/>
          </w:tcPr>
          <w:p w14:paraId="658F7E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Public shortfall</w:t>
            </w:r>
          </w:p>
        </w:tc>
        <w:tc>
          <w:tcPr>
            <w:tcW w:w="1018" w:type="dxa"/>
          </w:tcPr>
          <w:p w14:paraId="4CE8B48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29,414</w:t>
            </w:r>
          </w:p>
        </w:tc>
        <w:tc>
          <w:tcPr>
            <w:tcW w:w="1206" w:type="dxa"/>
          </w:tcPr>
          <w:p w14:paraId="1661942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6,025.33</w:t>
            </w:r>
          </w:p>
        </w:tc>
        <w:tc>
          <w:tcPr>
            <w:tcW w:w="1206" w:type="dxa"/>
          </w:tcPr>
          <w:p w14:paraId="387C729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50.1%</w:t>
            </w:r>
          </w:p>
        </w:tc>
        <w:tc>
          <w:tcPr>
            <w:tcW w:w="1206" w:type="dxa"/>
          </w:tcPr>
          <w:p w14:paraId="19457C2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22.5%</w:t>
            </w:r>
          </w:p>
        </w:tc>
        <w:tc>
          <w:tcPr>
            <w:tcW w:w="1206" w:type="dxa"/>
          </w:tcPr>
          <w:p w14:paraId="19B7AC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27.4%</w:t>
            </w:r>
          </w:p>
        </w:tc>
        <w:tc>
          <w:tcPr>
            <w:tcW w:w="1206" w:type="dxa"/>
          </w:tcPr>
          <w:p w14:paraId="36737B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Yes</w:t>
            </w:r>
          </w:p>
        </w:tc>
      </w:tr>
      <w:tr w:rsidR="00B57608" w:rsidRPr="00961F99" w14:paraId="714249E7" w14:textId="77777777" w:rsidTr="00376A59">
        <w:trPr>
          <w:jc w:val="center"/>
        </w:trPr>
        <w:tc>
          <w:tcPr>
            <w:tcW w:w="1260" w:type="dxa"/>
          </w:tcPr>
          <w:p w14:paraId="6C9ADE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Major burden, substantially insured</w:t>
            </w:r>
          </w:p>
        </w:tc>
        <w:tc>
          <w:tcPr>
            <w:tcW w:w="1170" w:type="dxa"/>
          </w:tcPr>
          <w:p w14:paraId="0C6097B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NFIP shortfall</w:t>
            </w:r>
          </w:p>
        </w:tc>
        <w:tc>
          <w:tcPr>
            <w:tcW w:w="1018" w:type="dxa"/>
          </w:tcPr>
          <w:p w14:paraId="70A8F5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29,414</w:t>
            </w:r>
          </w:p>
        </w:tc>
        <w:tc>
          <w:tcPr>
            <w:tcW w:w="1206" w:type="dxa"/>
          </w:tcPr>
          <w:p w14:paraId="1CECE37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3,004.02</w:t>
            </w:r>
          </w:p>
        </w:tc>
        <w:tc>
          <w:tcPr>
            <w:tcW w:w="1206" w:type="dxa"/>
          </w:tcPr>
          <w:p w14:paraId="46DF57D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45.3%</w:t>
            </w:r>
          </w:p>
        </w:tc>
        <w:tc>
          <w:tcPr>
            <w:tcW w:w="1206" w:type="dxa"/>
          </w:tcPr>
          <w:p w14:paraId="0138FC5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14.0%</w:t>
            </w:r>
          </w:p>
        </w:tc>
        <w:tc>
          <w:tcPr>
            <w:tcW w:w="1206" w:type="dxa"/>
          </w:tcPr>
          <w:p w14:paraId="023562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40.8%</w:t>
            </w:r>
          </w:p>
        </w:tc>
        <w:tc>
          <w:tcPr>
            <w:tcW w:w="1206" w:type="dxa"/>
          </w:tcPr>
          <w:p w14:paraId="550D109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Yes</w:t>
            </w:r>
          </w:p>
        </w:tc>
      </w:tr>
    </w:tbl>
    <w:p w14:paraId="171A1ABB" w14:textId="77777777" w:rsidR="00B57608" w:rsidRPr="00961F99" w:rsidRDefault="00B57608" w:rsidP="00757EC6">
      <w:pPr>
        <w:spacing w:after="40"/>
        <w:jc w:val="both"/>
        <w:rPr>
          <w:rFonts w:asciiTheme="majorBidi" w:hAnsiTheme="majorBidi" w:cstheme="majorBidi"/>
        </w:rPr>
      </w:pPr>
    </w:p>
    <w:p w14:paraId="5F803C7E"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drawing>
          <wp:inline distT="0" distB="0" distL="0" distR="0" wp14:anchorId="550CB7B1" wp14:editId="63EFEE52">
            <wp:extent cx="5943600" cy="2286766"/>
            <wp:effectExtent l="0" t="0" r="0" b="0"/>
            <wp:docPr id="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943600" cy="2286766"/>
                    </a:xfrm>
                    <a:prstGeom prst="rect">
                      <a:avLst/>
                    </a:prstGeom>
                    <a:ln/>
                  </pic:spPr>
                </pic:pic>
              </a:graphicData>
            </a:graphic>
          </wp:inline>
        </w:drawing>
      </w:r>
    </w:p>
    <w:p w14:paraId="559D8F54"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S9 | </w:t>
      </w:r>
      <w:r w:rsidRPr="00961F99">
        <w:rPr>
          <w:rFonts w:asciiTheme="majorBidi" w:hAnsiTheme="majorBidi" w:cstheme="majorBidi"/>
          <w:sz w:val="19"/>
          <w:szCs w:val="19"/>
        </w:rPr>
        <w:t>Hazard composition of public and NFIP shortfall within burden regimes. Bar segments represent within-regime burden composition, not the prevalence of hazards across tracts.</w:t>
      </w:r>
    </w:p>
    <w:p w14:paraId="18907664"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B7. Spatial diagnostic maps</w:t>
      </w:r>
    </w:p>
    <w:p w14:paraId="791A8AE1"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Figures S10 to S12 provide the hazard-specific and combined-layer map panels underlying the national geography reported in the main text. Two cautions apply to all of them. Census tracts are population-based units, so visual area is not proportional to loss contribution and sparsely populated interior tracts occupy far more of the map than their burden warrants; the magnitude maps and the share maps should therefore be read together, because a tract can combine a high uncovered share with a small absolute burden. Alabama, Connecticut and North Dakota appear as </w:t>
      </w:r>
      <w:proofErr w:type="gramStart"/>
      <w:r w:rsidRPr="00961F99">
        <w:rPr>
          <w:rFonts w:asciiTheme="majorBidi" w:hAnsiTheme="majorBidi" w:cstheme="majorBidi"/>
        </w:rPr>
        <w:t>no</w:t>
      </w:r>
      <w:proofErr w:type="gramEnd"/>
      <w:r w:rsidRPr="00961F99">
        <w:rPr>
          <w:rFonts w:asciiTheme="majorBidi" w:hAnsiTheme="majorBidi" w:cstheme="majorBidi"/>
        </w:rPr>
        <w:t>-data areas throughout.</w:t>
      </w:r>
    </w:p>
    <w:p w14:paraId="0A4ECE8E" w14:textId="2B9257EA" w:rsidR="00B57608" w:rsidRPr="00961F99" w:rsidRDefault="00A24097" w:rsidP="00757EC6">
      <w:pPr>
        <w:keepNext/>
        <w:keepLines/>
        <w:jc w:val="both"/>
        <w:rPr>
          <w:rFonts w:asciiTheme="majorBidi" w:hAnsiTheme="majorBidi" w:cstheme="majorBidi"/>
        </w:rPr>
      </w:pPr>
      <w:r w:rsidRPr="00961F99">
        <w:rPr>
          <w:rFonts w:asciiTheme="majorBidi" w:hAnsiTheme="majorBidi" w:cstheme="majorBidi"/>
          <w:noProof/>
        </w:rPr>
        <w:lastRenderedPageBreak/>
        <w:drawing>
          <wp:inline distT="0" distB="0" distL="0" distR="0" wp14:anchorId="44CC7EA6" wp14:editId="776C06A6">
            <wp:extent cx="5943600" cy="3629660"/>
            <wp:effectExtent l="0" t="0" r="0" b="8890"/>
            <wp:docPr id="48801770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8017705" name="Picture 3"/>
                    <pic:cNvPicPr/>
                  </pic:nvPicPr>
                  <pic:blipFill rotWithShape="1">
                    <a:blip r:embed="rId16" cstate="print">
                      <a:extLst>
                        <a:ext uri="{28A0092B-C50C-407E-A947-70E740481C1C}">
                          <a14:useLocalDpi xmlns:a14="http://schemas.microsoft.com/office/drawing/2010/main" val="0"/>
                        </a:ext>
                      </a:extLst>
                    </a:blip>
                    <a:srcRect t="3787"/>
                    <a:stretch>
                      <a:fillRect/>
                    </a:stretch>
                  </pic:blipFill>
                  <pic:spPr bwMode="auto">
                    <a:xfrm>
                      <a:off x="0" y="0"/>
                      <a:ext cx="5943600" cy="3629660"/>
                    </a:xfrm>
                    <a:prstGeom prst="rect">
                      <a:avLst/>
                    </a:prstGeom>
                    <a:ln>
                      <a:noFill/>
                    </a:ln>
                    <a:extLst>
                      <a:ext uri="{53640926-AAD7-44D8-BBD7-CCE9431645EC}">
                        <a14:shadowObscured xmlns:a14="http://schemas.microsoft.com/office/drawing/2010/main"/>
                      </a:ext>
                    </a:extLst>
                  </pic:spPr>
                </pic:pic>
              </a:graphicData>
            </a:graphic>
          </wp:inline>
        </w:drawing>
      </w:r>
    </w:p>
    <w:p w14:paraId="0C56D7F5" w14:textId="77777777" w:rsidR="00B57608" w:rsidRPr="00961F99" w:rsidRDefault="00000000" w:rsidP="00757EC6">
      <w:pPr>
        <w:keepLines/>
        <w:spacing w:before="80" w:after="200"/>
        <w:jc w:val="both"/>
        <w:rPr>
          <w:rFonts w:asciiTheme="majorBidi" w:hAnsiTheme="majorBidi" w:cstheme="majorBidi"/>
        </w:rPr>
      </w:pPr>
      <w:sdt>
        <w:sdtPr>
          <w:rPr>
            <w:rFonts w:asciiTheme="majorBidi" w:hAnsiTheme="majorBidi" w:cstheme="majorBidi"/>
          </w:rPr>
          <w:tag w:val="goog_rdk_1"/>
          <w:id w:val="-876413000"/>
        </w:sdtPr>
        <w:sdtContent/>
      </w:sdt>
      <w:r w:rsidR="003B27C7" w:rsidRPr="00961F99">
        <w:rPr>
          <w:rFonts w:asciiTheme="majorBidi" w:hAnsiTheme="majorBidi" w:cstheme="majorBidi"/>
          <w:b/>
          <w:bCs/>
          <w:sz w:val="19"/>
          <w:szCs w:val="19"/>
        </w:rPr>
        <w:t xml:space="preserve">Supplementary Figure S10 | </w:t>
      </w:r>
      <w:r w:rsidR="003B27C7" w:rsidRPr="00961F99">
        <w:rPr>
          <w:rFonts w:asciiTheme="majorBidi" w:hAnsiTheme="majorBidi" w:cstheme="majorBidi"/>
          <w:sz w:val="19"/>
          <w:szCs w:val="19"/>
        </w:rPr>
        <w:t>Hazard-specific maps of expected annual loss and burden magnitude across the contiguous United States.</w:t>
      </w:r>
    </w:p>
    <w:p w14:paraId="7AA79895" w14:textId="28437969" w:rsidR="00B57608" w:rsidRPr="00961F99" w:rsidRDefault="00A24097" w:rsidP="00757EC6">
      <w:pPr>
        <w:keepNext/>
        <w:keepLines/>
        <w:jc w:val="both"/>
        <w:rPr>
          <w:rFonts w:asciiTheme="majorBidi" w:hAnsiTheme="majorBidi" w:cstheme="majorBidi"/>
        </w:rPr>
      </w:pPr>
      <w:r w:rsidRPr="00961F99">
        <w:rPr>
          <w:rFonts w:asciiTheme="majorBidi" w:hAnsiTheme="majorBidi" w:cstheme="majorBidi"/>
          <w:noProof/>
        </w:rPr>
        <w:drawing>
          <wp:inline distT="0" distB="0" distL="0" distR="0" wp14:anchorId="1FDDD133" wp14:editId="2CE188D4">
            <wp:extent cx="5943600" cy="2496185"/>
            <wp:effectExtent l="0" t="0" r="0" b="0"/>
            <wp:docPr id="158677643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6776432" name="Picture 2"/>
                    <pic:cNvPicPr/>
                  </pic:nvPicPr>
                  <pic:blipFill rotWithShape="1">
                    <a:blip r:embed="rId17" cstate="print">
                      <a:extLst>
                        <a:ext uri="{28A0092B-C50C-407E-A947-70E740481C1C}">
                          <a14:useLocalDpi xmlns:a14="http://schemas.microsoft.com/office/drawing/2010/main" val="0"/>
                        </a:ext>
                      </a:extLst>
                    </a:blip>
                    <a:srcRect t="5414"/>
                    <a:stretch>
                      <a:fillRect/>
                    </a:stretch>
                  </pic:blipFill>
                  <pic:spPr bwMode="auto">
                    <a:xfrm>
                      <a:off x="0" y="0"/>
                      <a:ext cx="5943600" cy="2496185"/>
                    </a:xfrm>
                    <a:prstGeom prst="rect">
                      <a:avLst/>
                    </a:prstGeom>
                    <a:ln>
                      <a:noFill/>
                    </a:ln>
                    <a:extLst>
                      <a:ext uri="{53640926-AAD7-44D8-BBD7-CCE9431645EC}">
                        <a14:shadowObscured xmlns:a14="http://schemas.microsoft.com/office/drawing/2010/main"/>
                      </a:ext>
                    </a:extLst>
                  </pic:spPr>
                </pic:pic>
              </a:graphicData>
            </a:graphic>
          </wp:inline>
        </w:drawing>
      </w:r>
    </w:p>
    <w:p w14:paraId="0A959062"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S11 | </w:t>
      </w:r>
      <w:r w:rsidRPr="00961F99">
        <w:rPr>
          <w:rFonts w:asciiTheme="majorBidi" w:hAnsiTheme="majorBidi" w:cstheme="majorBidi"/>
          <w:sz w:val="19"/>
          <w:szCs w:val="19"/>
        </w:rPr>
        <w:t>Hazard-specific maps of normalized burden shares. Shares are bounded between zero and one and should be interpreted alongside the magnitude maps in Figure S10.</w:t>
      </w:r>
    </w:p>
    <w:p w14:paraId="26D0A3A5" w14:textId="3F957CF9" w:rsidR="00B57608" w:rsidRPr="00961F99" w:rsidRDefault="00A24097" w:rsidP="00757EC6">
      <w:pPr>
        <w:keepNext/>
        <w:keepLines/>
        <w:jc w:val="both"/>
        <w:rPr>
          <w:rFonts w:asciiTheme="majorBidi" w:hAnsiTheme="majorBidi" w:cstheme="majorBidi"/>
        </w:rPr>
      </w:pPr>
      <w:r w:rsidRPr="00961F99">
        <w:rPr>
          <w:rFonts w:asciiTheme="majorBidi" w:hAnsiTheme="majorBidi" w:cstheme="majorBidi"/>
          <w:noProof/>
        </w:rPr>
        <w:lastRenderedPageBreak/>
        <w:drawing>
          <wp:inline distT="0" distB="0" distL="0" distR="0" wp14:anchorId="0058F74E" wp14:editId="7267D93E">
            <wp:extent cx="5943600" cy="3220720"/>
            <wp:effectExtent l="0" t="0" r="0" b="0"/>
            <wp:docPr id="120723945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7239457" name="Picture 1"/>
                    <pic:cNvPicPr/>
                  </pic:nvPicPr>
                  <pic:blipFill rotWithShape="1">
                    <a:blip r:embed="rId18" cstate="print">
                      <a:extLst>
                        <a:ext uri="{28A0092B-C50C-407E-A947-70E740481C1C}">
                          <a14:useLocalDpi xmlns:a14="http://schemas.microsoft.com/office/drawing/2010/main" val="0"/>
                        </a:ext>
                      </a:extLst>
                    </a:blip>
                    <a:srcRect t="4518"/>
                    <a:stretch>
                      <a:fillRect/>
                    </a:stretch>
                  </pic:blipFill>
                  <pic:spPr bwMode="auto">
                    <a:xfrm>
                      <a:off x="0" y="0"/>
                      <a:ext cx="5943600" cy="3220720"/>
                    </a:xfrm>
                    <a:prstGeom prst="rect">
                      <a:avLst/>
                    </a:prstGeom>
                    <a:ln>
                      <a:noFill/>
                    </a:ln>
                    <a:extLst>
                      <a:ext uri="{53640926-AAD7-44D8-BBD7-CCE9431645EC}">
                        <a14:shadowObscured xmlns:a14="http://schemas.microsoft.com/office/drawing/2010/main"/>
                      </a:ext>
                    </a:extLst>
                  </pic:spPr>
                </pic:pic>
              </a:graphicData>
            </a:graphic>
          </wp:inline>
        </w:drawing>
      </w:r>
    </w:p>
    <w:p w14:paraId="2D22B294"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S12 | </w:t>
      </w:r>
      <w:sdt>
        <w:sdtPr>
          <w:rPr>
            <w:rFonts w:asciiTheme="majorBidi" w:hAnsiTheme="majorBidi" w:cstheme="majorBidi"/>
          </w:rPr>
          <w:tag w:val="goog_rdk_2"/>
          <w:id w:val="-239945244"/>
        </w:sdtPr>
        <w:sdtContent/>
      </w:sdt>
      <w:r w:rsidRPr="00961F99">
        <w:rPr>
          <w:rFonts w:asciiTheme="majorBidi" w:hAnsiTheme="majorBidi" w:cstheme="majorBidi"/>
          <w:sz w:val="19"/>
          <w:szCs w:val="19"/>
        </w:rPr>
        <w:t>Combined-hazard diagnostic maps used to interpret the tract-level burden regimes.</w:t>
      </w:r>
    </w:p>
    <w:p w14:paraId="2729B61A"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B8. Variable definitions</w:t>
      </w:r>
    </w:p>
    <w:p w14:paraId="063BD13A"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Table S9 defines every burden metric used in the analysis and records the interpretive cautions that attach to each. Two are </w:t>
      </w:r>
      <w:proofErr w:type="gramStart"/>
      <w:r w:rsidRPr="00961F99">
        <w:rPr>
          <w:rFonts w:asciiTheme="majorBidi" w:hAnsiTheme="majorBidi" w:cstheme="majorBidi"/>
        </w:rPr>
        <w:t>load-bearing</w:t>
      </w:r>
      <w:proofErr w:type="gramEnd"/>
      <w:r w:rsidRPr="00961F99">
        <w:rPr>
          <w:rFonts w:asciiTheme="majorBidi" w:hAnsiTheme="majorBidi" w:cstheme="majorBidi"/>
        </w:rPr>
        <w:t>. Public shortfall names a channel and not a payer of last resort: it falls first on property owners and their communities and reaches public recovery systems only through subsequent demand for assistance. NFIP shortfall is a diagnostic of premium-deficit pressure within the reconstructed portfolio and is not a solvency measure, because administrative costs, reserves, capital requirements and reinsurance lie outside its scope.</w:t>
      </w:r>
    </w:p>
    <w:p w14:paraId="3FD64003"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S9 | </w:t>
      </w:r>
      <w:r w:rsidRPr="00961F99">
        <w:rPr>
          <w:rFonts w:asciiTheme="majorBidi" w:hAnsiTheme="majorBidi" w:cstheme="majorBidi"/>
          <w:sz w:val="19"/>
          <w:szCs w:val="19"/>
        </w:rPr>
        <w:t xml:space="preserve">Variable definitions and interpretation </w:t>
      </w:r>
      <w:proofErr w:type="gramStart"/>
      <w:r w:rsidRPr="00961F99">
        <w:rPr>
          <w:rFonts w:asciiTheme="majorBidi" w:hAnsiTheme="majorBidi" w:cstheme="majorBidi"/>
          <w:sz w:val="19"/>
          <w:szCs w:val="19"/>
        </w:rPr>
        <w:t>notes</w:t>
      </w:r>
      <w:proofErr w:type="gramEnd"/>
      <w:r w:rsidRPr="00961F99">
        <w:rPr>
          <w:rFonts w:asciiTheme="majorBidi" w:hAnsiTheme="majorBidi" w:cstheme="majorBidi"/>
          <w:sz w:val="19"/>
          <w:szCs w:val="19"/>
        </w:rPr>
        <w:t xml:space="preserve"> for the quantities used throughout the main text and this Supplementary Information.</w:t>
      </w:r>
    </w:p>
    <w:tbl>
      <w:tblPr>
        <w:tblStyle w:val="a7"/>
        <w:tblW w:w="93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824"/>
      </w:tblGrid>
      <w:tr w:rsidR="00B57608" w:rsidRPr="00961F99" w14:paraId="47B4E3E3" w14:textId="77777777" w:rsidTr="00376A59">
        <w:trPr>
          <w:tblHeader/>
          <w:jc w:val="center"/>
        </w:trPr>
        <w:tc>
          <w:tcPr>
            <w:tcW w:w="4559" w:type="dxa"/>
          </w:tcPr>
          <w:p w14:paraId="196297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Variable</w:t>
            </w:r>
          </w:p>
        </w:tc>
        <w:tc>
          <w:tcPr>
            <w:tcW w:w="4824" w:type="dxa"/>
          </w:tcPr>
          <w:p w14:paraId="7666256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Definition and interpretation</w:t>
            </w:r>
          </w:p>
        </w:tc>
      </w:tr>
      <w:tr w:rsidR="00B57608" w:rsidRPr="00961F99" w14:paraId="5353EE8E" w14:textId="77777777" w:rsidTr="00376A59">
        <w:trPr>
          <w:jc w:val="center"/>
        </w:trPr>
        <w:tc>
          <w:tcPr>
            <w:tcW w:w="4559" w:type="dxa"/>
          </w:tcPr>
          <w:p w14:paraId="019759C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Expected annual loss (EAL)</w:t>
            </w:r>
          </w:p>
        </w:tc>
        <w:tc>
          <w:tcPr>
            <w:tcW w:w="4824" w:type="dxa"/>
          </w:tcPr>
          <w:p w14:paraId="265CDB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Annualized modeled structure loss from trapezoidal integration of the exceedance-loss curve over the 5- to 500-year range. Structure only; excludes contents, vehicles, business interruption and land.</w:t>
            </w:r>
          </w:p>
        </w:tc>
      </w:tr>
      <w:tr w:rsidR="00B57608" w:rsidRPr="00961F99" w14:paraId="594DF2E2" w14:textId="77777777" w:rsidTr="00376A59">
        <w:trPr>
          <w:jc w:val="center"/>
        </w:trPr>
        <w:tc>
          <w:tcPr>
            <w:tcW w:w="4559" w:type="dxa"/>
          </w:tcPr>
          <w:p w14:paraId="55F3AD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Expected covered payout</w:t>
            </w:r>
          </w:p>
        </w:tc>
        <w:tc>
          <w:tcPr>
            <w:tcW w:w="4824" w:type="dxa"/>
          </w:tcPr>
          <w:p w14:paraId="005F0BA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Annualized portion of modeled loss absorbed within reconstructed coverage after a $1,500 per-event deductible and the building-coverage limit.</w:t>
            </w:r>
          </w:p>
        </w:tc>
      </w:tr>
      <w:tr w:rsidR="00B57608" w:rsidRPr="00961F99" w14:paraId="563DAFF9" w14:textId="77777777" w:rsidTr="00376A59">
        <w:trPr>
          <w:jc w:val="center"/>
        </w:trPr>
        <w:tc>
          <w:tcPr>
            <w:tcW w:w="4559" w:type="dxa"/>
          </w:tcPr>
          <w:p w14:paraId="1E6BA85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Public shortfall</w:t>
            </w:r>
          </w:p>
        </w:tc>
        <w:tc>
          <w:tcPr>
            <w:tcW w:w="4824" w:type="dxa"/>
          </w:tcPr>
          <w:p w14:paraId="2324CF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EAL minus expected covered payout. Contains loss on uninsured buildings, loss absorbed by the deductible, and loss above the coverage limit. Falls first on property owners and communities; not a measure of government expenditure.</w:t>
            </w:r>
          </w:p>
        </w:tc>
      </w:tr>
      <w:tr w:rsidR="00B57608" w:rsidRPr="00961F99" w14:paraId="57519B03" w14:textId="77777777" w:rsidTr="00376A59">
        <w:trPr>
          <w:jc w:val="center"/>
        </w:trPr>
        <w:tc>
          <w:tcPr>
            <w:tcW w:w="4559" w:type="dxa"/>
          </w:tcPr>
          <w:p w14:paraId="1794B9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NFIP shortfall</w:t>
            </w:r>
          </w:p>
        </w:tc>
        <w:tc>
          <w:tcPr>
            <w:tcW w:w="4824" w:type="dxa"/>
          </w:tcPr>
          <w:p w14:paraId="3F9F24B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Sum of positive building-level gaps between expected covered payout and the allocated building-coverage risk premium. A premium-deficit diagnostic, not a solvency estimate; positive gaps are not netted against surpluses.</w:t>
            </w:r>
          </w:p>
        </w:tc>
      </w:tr>
      <w:tr w:rsidR="00B57608" w:rsidRPr="00961F99" w14:paraId="3EC1F31E" w14:textId="77777777" w:rsidTr="00376A59">
        <w:trPr>
          <w:jc w:val="center"/>
        </w:trPr>
        <w:tc>
          <w:tcPr>
            <w:tcW w:w="4559" w:type="dxa"/>
          </w:tcPr>
          <w:p w14:paraId="70B4A3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Premium-funded payout</w:t>
            </w:r>
          </w:p>
        </w:tc>
        <w:tc>
          <w:tcPr>
            <w:tcW w:w="4824" w:type="dxa"/>
          </w:tcPr>
          <w:p w14:paraId="5D025D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The portion of expected covered payout supported by the allocated risk-premium base. EAL decomposes exactly into this quantity plus the two shortfall channels.</w:t>
            </w:r>
          </w:p>
        </w:tc>
      </w:tr>
      <w:tr w:rsidR="00B57608" w:rsidRPr="00961F99" w14:paraId="06E15F89" w14:textId="77777777" w:rsidTr="00376A59">
        <w:trPr>
          <w:jc w:val="center"/>
        </w:trPr>
        <w:tc>
          <w:tcPr>
            <w:tcW w:w="4559" w:type="dxa"/>
          </w:tcPr>
          <w:p w14:paraId="31989C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Allocated written policy cost</w:t>
            </w:r>
          </w:p>
        </w:tc>
        <w:tc>
          <w:tcPr>
            <w:tcW w:w="4824" w:type="dxa"/>
          </w:tcPr>
          <w:p w14:paraId="46C4CC6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Sum of the annual policy cost of all policy records assigned to a building. $4.53B nationally.</w:t>
            </w:r>
          </w:p>
        </w:tc>
      </w:tr>
      <w:tr w:rsidR="00B57608" w:rsidRPr="00961F99" w14:paraId="64D871A0" w14:textId="77777777" w:rsidTr="00376A59">
        <w:trPr>
          <w:jc w:val="center"/>
        </w:trPr>
        <w:tc>
          <w:tcPr>
            <w:tcW w:w="4559" w:type="dxa"/>
          </w:tcPr>
          <w:p w14:paraId="0F1ACA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lastRenderedPageBreak/>
              <w:t>Building-coverage risk-premium base</w:t>
            </w:r>
          </w:p>
        </w:tc>
        <w:tc>
          <w:tcPr>
            <w:tcW w:w="4824" w:type="dxa"/>
          </w:tcPr>
          <w:p w14:paraId="11D2F3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Allocated written policy cost multiplied by the state-level premium share of policy cost (0.8174 nationally) and the building share of combined coverage (0.8100 nationally). $2.99B nationally.</w:t>
            </w:r>
          </w:p>
        </w:tc>
      </w:tr>
      <w:tr w:rsidR="00B57608" w:rsidRPr="00961F99" w14:paraId="1B5CB02D" w14:textId="77777777" w:rsidTr="00376A59">
        <w:trPr>
          <w:jc w:val="center"/>
        </w:trPr>
        <w:tc>
          <w:tcPr>
            <w:tcW w:w="4559" w:type="dxa"/>
          </w:tcPr>
          <w:p w14:paraId="5E8BEB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Public loss absorption (PLA)</w:t>
            </w:r>
          </w:p>
        </w:tc>
        <w:tc>
          <w:tcPr>
            <w:tcW w:w="4824" w:type="dxa"/>
          </w:tcPr>
          <w:p w14:paraId="38DD42E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Tract public shortfall divided by tract EAL. Bounded between zero and one.</w:t>
            </w:r>
          </w:p>
        </w:tc>
      </w:tr>
      <w:tr w:rsidR="00B57608" w:rsidRPr="00961F99" w14:paraId="2E11FD4C" w14:textId="77777777" w:rsidTr="00376A59">
        <w:trPr>
          <w:jc w:val="center"/>
        </w:trPr>
        <w:tc>
          <w:tcPr>
            <w:tcW w:w="4559" w:type="dxa"/>
          </w:tcPr>
          <w:p w14:paraId="4DDF65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Premium-deficit pressure (PDP)</w:t>
            </w:r>
          </w:p>
        </w:tc>
        <w:tc>
          <w:tcPr>
            <w:tcW w:w="4824" w:type="dxa"/>
          </w:tcPr>
          <w:p w14:paraId="0E42A7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Tract NFIP shortfall divided by tract allocated written policy cost. A continuous relative indicator; not a break-even threshold or an actuarial loss ratio, and not on the same premium basis as the building-level shortfall numerator.</w:t>
            </w:r>
          </w:p>
        </w:tc>
      </w:tr>
      <w:tr w:rsidR="00B57608" w:rsidRPr="00961F99" w14:paraId="249704DC" w14:textId="77777777" w:rsidTr="00376A59">
        <w:trPr>
          <w:jc w:val="center"/>
        </w:trPr>
        <w:tc>
          <w:tcPr>
            <w:tcW w:w="4559" w:type="dxa"/>
          </w:tcPr>
          <w:p w14:paraId="032F06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Total shortfall burden (TBA)</w:t>
            </w:r>
          </w:p>
        </w:tc>
        <w:tc>
          <w:tcPr>
            <w:tcW w:w="4824" w:type="dxa"/>
          </w:tcPr>
          <w:p w14:paraId="3E1772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Public shortfall plus NFIP shortfall for a tract.</w:t>
            </w:r>
          </w:p>
        </w:tc>
      </w:tr>
      <w:tr w:rsidR="00B57608" w:rsidRPr="00961F99" w14:paraId="414864DA" w14:textId="77777777" w:rsidTr="00376A59">
        <w:trPr>
          <w:jc w:val="center"/>
        </w:trPr>
        <w:tc>
          <w:tcPr>
            <w:tcW w:w="4559" w:type="dxa"/>
          </w:tcPr>
          <w:p w14:paraId="50A224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Concentration ratio</w:t>
            </w:r>
          </w:p>
        </w:tc>
        <w:tc>
          <w:tcPr>
            <w:tcW w:w="4824" w:type="dxa"/>
          </w:tcPr>
          <w:p w14:paraId="7756355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 regime's share of national burden among classified tracts divided by its share of classified tracts. One denotes proportional burden.</w:t>
            </w:r>
          </w:p>
        </w:tc>
      </w:tr>
      <w:tr w:rsidR="00B57608" w:rsidRPr="00961F99" w14:paraId="0E59BF23" w14:textId="77777777" w:rsidTr="00376A59">
        <w:trPr>
          <w:jc w:val="center"/>
        </w:trPr>
        <w:tc>
          <w:tcPr>
            <w:tcW w:w="4559" w:type="dxa"/>
          </w:tcPr>
          <w:p w14:paraId="1151E5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Combined hazard layer</w:t>
            </w:r>
          </w:p>
        </w:tc>
        <w:tc>
          <w:tcPr>
            <w:tcW w:w="4824" w:type="dxa"/>
          </w:tcPr>
          <w:p w14:paraId="0DEE69B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Maximum hazard-specific depth at each return period. Non-additive: not the sum of the pluvial, fluvial and coastal layers, and not a compound-event simulation.</w:t>
            </w:r>
          </w:p>
        </w:tc>
      </w:tr>
      <w:tr w:rsidR="00B57608" w:rsidRPr="00961F99" w14:paraId="7357723E" w14:textId="77777777" w:rsidTr="00376A59">
        <w:trPr>
          <w:jc w:val="center"/>
        </w:trPr>
        <w:tc>
          <w:tcPr>
            <w:tcW w:w="4559" w:type="dxa"/>
          </w:tcPr>
          <w:p w14:paraId="240663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Exposed buildings</w:t>
            </w:r>
          </w:p>
        </w:tc>
        <w:tc>
          <w:tcPr>
            <w:tcW w:w="4824" w:type="dxa"/>
          </w:tcPr>
          <w:p w14:paraId="2429D18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Buildings with positive EAL for the hazard layer under analysis. Buildings inside the hazard domain with zero modeled loss remain in the dataset and may carry policies.</w:t>
            </w:r>
          </w:p>
        </w:tc>
      </w:tr>
      <w:tr w:rsidR="00B57608" w:rsidRPr="00961F99" w14:paraId="4B322042" w14:textId="77777777" w:rsidTr="00376A59">
        <w:trPr>
          <w:jc w:val="center"/>
        </w:trPr>
        <w:tc>
          <w:tcPr>
            <w:tcW w:w="4559" w:type="dxa"/>
          </w:tcPr>
          <w:p w14:paraId="7CC6A4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SFHA-like zones</w:t>
            </w:r>
          </w:p>
        </w:tc>
        <w:tc>
          <w:tcPr>
            <w:tcW w:w="4824" w:type="dxa"/>
          </w:tcPr>
          <w:p w14:paraId="6BA8F0F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FEMA flood zones whose designation begins with A or V. All other and missing designations, including areas without digitized coverage, are treated as outside the SFHA.</w:t>
            </w:r>
          </w:p>
        </w:tc>
      </w:tr>
    </w:tbl>
    <w:p w14:paraId="5D0C51AD" w14:textId="77777777" w:rsidR="00B57608" w:rsidRPr="00961F99" w:rsidRDefault="00B57608" w:rsidP="00757EC6">
      <w:pPr>
        <w:spacing w:after="40"/>
        <w:jc w:val="both"/>
        <w:rPr>
          <w:rFonts w:asciiTheme="majorBidi" w:hAnsiTheme="majorBidi" w:cstheme="majorBidi"/>
        </w:rPr>
      </w:pPr>
    </w:p>
    <w:p w14:paraId="3CA6418D"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B9. Processing audit</w:t>
      </w:r>
    </w:p>
    <w:p w14:paraId="512D80AF"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Table S10 records the complete processing audit: the record counts carried through each stage of the workflow, the spatial units, the column provenance used for coverage, premium and flood-zone status, and the parameters and thresholds that define the central specification. Table S11 reports the tier-level outcome of the policy allocator.</w:t>
      </w:r>
    </w:p>
    <w:p w14:paraId="59AE97D5"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S10 | </w:t>
      </w:r>
      <w:r w:rsidRPr="00961F99">
        <w:rPr>
          <w:rFonts w:asciiTheme="majorBidi" w:hAnsiTheme="majorBidi" w:cstheme="majorBidi"/>
          <w:sz w:val="19"/>
          <w:szCs w:val="19"/>
        </w:rPr>
        <w:t>Input data, processing audit and central-specification parameters. Every threshold and rule required to reproduce the reported quantities from the processed building inventory is listed here or in the referenced reference tables.</w:t>
      </w:r>
    </w:p>
    <w:tbl>
      <w:tblPr>
        <w:tblStyle w:val="a8"/>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39"/>
        <w:gridCol w:w="4621"/>
      </w:tblGrid>
      <w:tr w:rsidR="00B57608" w:rsidRPr="00961F99" w14:paraId="34B568A2" w14:textId="77777777" w:rsidTr="00376A59">
        <w:trPr>
          <w:tblHeader/>
          <w:jc w:val="center"/>
        </w:trPr>
        <w:tc>
          <w:tcPr>
            <w:tcW w:w="4739" w:type="dxa"/>
          </w:tcPr>
          <w:p w14:paraId="1A03B3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Item</w:t>
            </w:r>
          </w:p>
        </w:tc>
        <w:tc>
          <w:tcPr>
            <w:tcW w:w="4621" w:type="dxa"/>
          </w:tcPr>
          <w:p w14:paraId="1B0BF4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Value</w:t>
            </w:r>
          </w:p>
        </w:tc>
      </w:tr>
      <w:tr w:rsidR="00B57608" w:rsidRPr="00961F99" w14:paraId="317FD6B6" w14:textId="77777777" w:rsidTr="00376A59">
        <w:trPr>
          <w:jc w:val="center"/>
        </w:trPr>
        <w:tc>
          <w:tcPr>
            <w:tcW w:w="4739" w:type="dxa"/>
          </w:tcPr>
          <w:p w14:paraId="2E7BF1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Building records processed (CONUS, modeled inundation)</w:t>
            </w:r>
          </w:p>
        </w:tc>
        <w:tc>
          <w:tcPr>
            <w:tcW w:w="4621" w:type="dxa"/>
          </w:tcPr>
          <w:p w14:paraId="63D9B1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12,932,146</w:t>
            </w:r>
          </w:p>
        </w:tc>
      </w:tr>
      <w:tr w:rsidR="00B57608" w:rsidRPr="00961F99" w14:paraId="62995F7B" w14:textId="77777777" w:rsidTr="00376A59">
        <w:trPr>
          <w:jc w:val="center"/>
        </w:trPr>
        <w:tc>
          <w:tcPr>
            <w:tcW w:w="4739" w:type="dxa"/>
          </w:tcPr>
          <w:p w14:paraId="105CD5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Buildings with positive combined-hazard EAL</w:t>
            </w:r>
          </w:p>
        </w:tc>
        <w:tc>
          <w:tcPr>
            <w:tcW w:w="4621" w:type="dxa"/>
          </w:tcPr>
          <w:p w14:paraId="5479E02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7,506,151</w:t>
            </w:r>
          </w:p>
        </w:tc>
      </w:tr>
      <w:tr w:rsidR="00B57608" w:rsidRPr="00961F99" w14:paraId="1B1E174D" w14:textId="77777777" w:rsidTr="00376A59">
        <w:trPr>
          <w:jc w:val="center"/>
        </w:trPr>
        <w:tc>
          <w:tcPr>
            <w:tcW w:w="4739" w:type="dxa"/>
          </w:tcPr>
          <w:p w14:paraId="30F0E2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Buildings with positive pluvial EAL</w:t>
            </w:r>
          </w:p>
        </w:tc>
        <w:tc>
          <w:tcPr>
            <w:tcW w:w="4621" w:type="dxa"/>
          </w:tcPr>
          <w:p w14:paraId="2434DD6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4,890,253</w:t>
            </w:r>
          </w:p>
        </w:tc>
      </w:tr>
      <w:tr w:rsidR="00B57608" w:rsidRPr="00961F99" w14:paraId="40418A26" w14:textId="77777777" w:rsidTr="00376A59">
        <w:trPr>
          <w:jc w:val="center"/>
        </w:trPr>
        <w:tc>
          <w:tcPr>
            <w:tcW w:w="4739" w:type="dxa"/>
          </w:tcPr>
          <w:p w14:paraId="6C70B3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Buildings with positive fluvial EAL</w:t>
            </w:r>
          </w:p>
        </w:tc>
        <w:tc>
          <w:tcPr>
            <w:tcW w:w="4621" w:type="dxa"/>
          </w:tcPr>
          <w:p w14:paraId="3AB1561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1,472,944</w:t>
            </w:r>
          </w:p>
        </w:tc>
      </w:tr>
      <w:tr w:rsidR="00B57608" w:rsidRPr="00961F99" w14:paraId="44EB333A" w14:textId="77777777" w:rsidTr="00376A59">
        <w:trPr>
          <w:jc w:val="center"/>
        </w:trPr>
        <w:tc>
          <w:tcPr>
            <w:tcW w:w="4739" w:type="dxa"/>
          </w:tcPr>
          <w:p w14:paraId="2D5DB80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Buildings with positive coastal EAL</w:t>
            </w:r>
          </w:p>
        </w:tc>
        <w:tc>
          <w:tcPr>
            <w:tcW w:w="4621" w:type="dxa"/>
          </w:tcPr>
          <w:p w14:paraId="7F6AF2A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1,624,810</w:t>
            </w:r>
          </w:p>
        </w:tc>
      </w:tr>
      <w:tr w:rsidR="00B57608" w:rsidRPr="00961F99" w14:paraId="634736C1" w14:textId="77777777" w:rsidTr="00376A59">
        <w:trPr>
          <w:jc w:val="center"/>
        </w:trPr>
        <w:tc>
          <w:tcPr>
            <w:tcW w:w="4739" w:type="dxa"/>
          </w:tcPr>
          <w:p w14:paraId="0E1914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Buildings with reconstructed NFIP coverage</w:t>
            </w:r>
          </w:p>
        </w:tc>
        <w:tc>
          <w:tcPr>
            <w:tcW w:w="4621" w:type="dxa"/>
          </w:tcPr>
          <w:p w14:paraId="732165B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3,300,588 (25.5% of processed)</w:t>
            </w:r>
          </w:p>
        </w:tc>
      </w:tr>
      <w:tr w:rsidR="00B57608" w:rsidRPr="00961F99" w14:paraId="028C60FD" w14:textId="77777777" w:rsidTr="00376A59">
        <w:trPr>
          <w:jc w:val="center"/>
        </w:trPr>
        <w:tc>
          <w:tcPr>
            <w:tcW w:w="4739" w:type="dxa"/>
          </w:tcPr>
          <w:p w14:paraId="3E0C62E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Insured exposed buildings (coverage and positive combined EAL)</w:t>
            </w:r>
          </w:p>
        </w:tc>
        <w:tc>
          <w:tcPr>
            <w:tcW w:w="4621" w:type="dxa"/>
          </w:tcPr>
          <w:p w14:paraId="7C3B1B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1,866,757</w:t>
            </w:r>
          </w:p>
        </w:tc>
      </w:tr>
      <w:tr w:rsidR="00B57608" w:rsidRPr="00961F99" w14:paraId="44C28619" w14:textId="77777777" w:rsidTr="00376A59">
        <w:trPr>
          <w:jc w:val="center"/>
        </w:trPr>
        <w:tc>
          <w:tcPr>
            <w:tcW w:w="4739" w:type="dxa"/>
          </w:tcPr>
          <w:p w14:paraId="5E716C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Policy records allocated</w:t>
            </w:r>
          </w:p>
        </w:tc>
        <w:tc>
          <w:tcPr>
            <w:tcW w:w="4621" w:type="dxa"/>
          </w:tcPr>
          <w:p w14:paraId="40602D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3,412,456</w:t>
            </w:r>
          </w:p>
        </w:tc>
      </w:tr>
      <w:tr w:rsidR="00B57608" w:rsidRPr="00961F99" w14:paraId="1BD56104" w14:textId="77777777" w:rsidTr="00376A59">
        <w:trPr>
          <w:jc w:val="center"/>
        </w:trPr>
        <w:tc>
          <w:tcPr>
            <w:tcW w:w="4739" w:type="dxa"/>
          </w:tcPr>
          <w:p w14:paraId="759F51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Reconstructed building coverage in force</w:t>
            </w:r>
          </w:p>
        </w:tc>
        <w:tc>
          <w:tcPr>
            <w:tcW w:w="4621" w:type="dxa"/>
          </w:tcPr>
          <w:p w14:paraId="7C030B4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$740.7 billion</w:t>
            </w:r>
          </w:p>
        </w:tc>
      </w:tr>
      <w:tr w:rsidR="00B57608" w:rsidRPr="00961F99" w14:paraId="67198EAF" w14:textId="77777777" w:rsidTr="00376A59">
        <w:trPr>
          <w:jc w:val="center"/>
        </w:trPr>
        <w:tc>
          <w:tcPr>
            <w:tcW w:w="4739" w:type="dxa"/>
          </w:tcPr>
          <w:p w14:paraId="63F79A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Allocated written policy cost</w:t>
            </w:r>
          </w:p>
        </w:tc>
        <w:tc>
          <w:tcPr>
            <w:tcW w:w="4621" w:type="dxa"/>
          </w:tcPr>
          <w:p w14:paraId="2CEBA4A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$4.53 billion yr⁻¹</w:t>
            </w:r>
          </w:p>
        </w:tc>
      </w:tr>
      <w:tr w:rsidR="00B57608" w:rsidRPr="00961F99" w14:paraId="1876EDC3" w14:textId="77777777" w:rsidTr="00376A59">
        <w:trPr>
          <w:jc w:val="center"/>
        </w:trPr>
        <w:tc>
          <w:tcPr>
            <w:tcW w:w="4739" w:type="dxa"/>
          </w:tcPr>
          <w:p w14:paraId="5A83C9D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Building-coverage risk-premium base</w:t>
            </w:r>
          </w:p>
        </w:tc>
        <w:tc>
          <w:tcPr>
            <w:tcW w:w="4621" w:type="dxa"/>
          </w:tcPr>
          <w:p w14:paraId="0CE3C1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$2.99 billion yr⁻¹</w:t>
            </w:r>
          </w:p>
        </w:tc>
      </w:tr>
      <w:tr w:rsidR="00B57608" w:rsidRPr="00961F99" w14:paraId="5EACCEA0" w14:textId="77777777" w:rsidTr="00376A59">
        <w:trPr>
          <w:jc w:val="center"/>
        </w:trPr>
        <w:tc>
          <w:tcPr>
            <w:tcW w:w="4739" w:type="dxa"/>
          </w:tcPr>
          <w:p w14:paraId="258C02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Census tracts, building-level dataset</w:t>
            </w:r>
          </w:p>
        </w:tc>
        <w:tc>
          <w:tcPr>
            <w:tcW w:w="4621" w:type="dxa"/>
          </w:tcPr>
          <w:p w14:paraId="07478B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76,659</w:t>
            </w:r>
          </w:p>
        </w:tc>
      </w:tr>
      <w:tr w:rsidR="00B57608" w:rsidRPr="00961F99" w14:paraId="62C46E8C" w14:textId="77777777" w:rsidTr="00376A59">
        <w:trPr>
          <w:jc w:val="center"/>
        </w:trPr>
        <w:tc>
          <w:tcPr>
            <w:tcW w:w="4739" w:type="dxa"/>
          </w:tcPr>
          <w:p w14:paraId="267FB6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Census tracts, spatial layer</w:t>
            </w:r>
          </w:p>
        </w:tc>
        <w:tc>
          <w:tcPr>
            <w:tcW w:w="4621" w:type="dxa"/>
          </w:tcPr>
          <w:p w14:paraId="0C8844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83,954</w:t>
            </w:r>
          </w:p>
        </w:tc>
      </w:tr>
      <w:tr w:rsidR="00B57608" w:rsidRPr="00961F99" w14:paraId="39F5580D" w14:textId="77777777" w:rsidTr="00376A59">
        <w:trPr>
          <w:jc w:val="center"/>
        </w:trPr>
        <w:tc>
          <w:tcPr>
            <w:tcW w:w="4739" w:type="dxa"/>
          </w:tcPr>
          <w:p w14:paraId="24D1D7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Census tracts classified into burden regimes</w:t>
            </w:r>
          </w:p>
        </w:tc>
        <w:tc>
          <w:tcPr>
            <w:tcW w:w="4621" w:type="dxa"/>
          </w:tcPr>
          <w:p w14:paraId="213CF0F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74,240</w:t>
            </w:r>
          </w:p>
        </w:tc>
      </w:tr>
      <w:tr w:rsidR="00B57608" w:rsidRPr="00961F99" w14:paraId="4035F900" w14:textId="77777777" w:rsidTr="00376A59">
        <w:trPr>
          <w:jc w:val="center"/>
        </w:trPr>
        <w:tc>
          <w:tcPr>
            <w:tcW w:w="4739" w:type="dxa"/>
          </w:tcPr>
          <w:p w14:paraId="143FAB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States absent from the processed inventory</w:t>
            </w:r>
          </w:p>
        </w:tc>
        <w:tc>
          <w:tcPr>
            <w:tcW w:w="4621" w:type="dxa"/>
          </w:tcPr>
          <w:p w14:paraId="699625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Alabama, Connecticut, North Dakota</w:t>
            </w:r>
          </w:p>
        </w:tc>
      </w:tr>
      <w:tr w:rsidR="00B57608" w:rsidRPr="00961F99" w14:paraId="3B341509" w14:textId="77777777" w:rsidTr="00376A59">
        <w:trPr>
          <w:jc w:val="center"/>
        </w:trPr>
        <w:tc>
          <w:tcPr>
            <w:tcW w:w="4739" w:type="dxa"/>
          </w:tcPr>
          <w:p w14:paraId="719E5D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Hazard model</w:t>
            </w:r>
          </w:p>
        </w:tc>
        <w:tc>
          <w:tcPr>
            <w:tcW w:w="4621" w:type="dxa"/>
          </w:tcPr>
          <w:p w14:paraId="637C86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Fathom U.S. flood model, defended layers, 30 m resolution</w:t>
            </w:r>
          </w:p>
        </w:tc>
      </w:tr>
      <w:tr w:rsidR="00B57608" w:rsidRPr="00961F99" w14:paraId="7B0A9585" w14:textId="77777777" w:rsidTr="00376A59">
        <w:trPr>
          <w:jc w:val="center"/>
        </w:trPr>
        <w:tc>
          <w:tcPr>
            <w:tcW w:w="4739" w:type="dxa"/>
          </w:tcPr>
          <w:p w14:paraId="5817C5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Return periods</w:t>
            </w:r>
          </w:p>
        </w:tc>
        <w:tc>
          <w:tcPr>
            <w:tcW w:w="4621" w:type="dxa"/>
          </w:tcPr>
          <w:p w14:paraId="2311C0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 10, 100 and 500 years; depths in feet; maximum 32.808 ft</w:t>
            </w:r>
          </w:p>
        </w:tc>
      </w:tr>
      <w:tr w:rsidR="00B57608" w:rsidRPr="00961F99" w14:paraId="3EBB5D7B" w14:textId="77777777" w:rsidTr="00376A59">
        <w:trPr>
          <w:jc w:val="center"/>
        </w:trPr>
        <w:tc>
          <w:tcPr>
            <w:tcW w:w="4739" w:type="dxa"/>
          </w:tcPr>
          <w:p w14:paraId="601709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Annualization</w:t>
            </w:r>
          </w:p>
        </w:tc>
        <w:tc>
          <w:tcPr>
            <w:tcW w:w="4621" w:type="dxa"/>
          </w:tcPr>
          <w:p w14:paraId="6EE0BC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Depths interpolated in log-return-period space onto a 33-point grid spanning 5–500 yr; trapezoidal integration over annual exceedance probability; 500-yr loss carried in the tail</w:t>
            </w:r>
          </w:p>
        </w:tc>
      </w:tr>
      <w:tr w:rsidR="00B57608" w:rsidRPr="00961F99" w14:paraId="7852CD64" w14:textId="77777777" w:rsidTr="00376A59">
        <w:trPr>
          <w:jc w:val="center"/>
        </w:trPr>
        <w:tc>
          <w:tcPr>
            <w:tcW w:w="4739" w:type="dxa"/>
          </w:tcPr>
          <w:p w14:paraId="34FE0BD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First-floor height</w:t>
            </w:r>
          </w:p>
        </w:tc>
        <w:tc>
          <w:tcPr>
            <w:tcW w:w="4621" w:type="dxa"/>
          </w:tcPr>
          <w:p w14:paraId="11189D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 xml:space="preserve">Surveyed Elevation Certificates; county × occupancy × zone-family stratum medians (min 100 </w:t>
            </w:r>
            <w:proofErr w:type="spellStart"/>
            <w:r w:rsidRPr="00961F99">
              <w:rPr>
                <w:rFonts w:asciiTheme="majorBidi" w:hAnsiTheme="majorBidi" w:cstheme="majorBidi"/>
                <w:sz w:val="16"/>
                <w:szCs w:val="16"/>
              </w:rPr>
              <w:t>obs</w:t>
            </w:r>
            <w:proofErr w:type="spellEnd"/>
            <w:r w:rsidRPr="00961F99">
              <w:rPr>
                <w:rFonts w:asciiTheme="majorBidi" w:hAnsiTheme="majorBidi" w:cstheme="majorBidi"/>
                <w:sz w:val="16"/>
                <w:szCs w:val="16"/>
              </w:rPr>
              <w:t>) with state and national fallbacks; 2,378,132 distinct records</w:t>
            </w:r>
          </w:p>
        </w:tc>
      </w:tr>
      <w:tr w:rsidR="00B57608" w:rsidRPr="00961F99" w14:paraId="7228B92B" w14:textId="77777777" w:rsidTr="00376A59">
        <w:trPr>
          <w:jc w:val="center"/>
        </w:trPr>
        <w:tc>
          <w:tcPr>
            <w:tcW w:w="4739" w:type="dxa"/>
          </w:tcPr>
          <w:p w14:paraId="1B9E73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lastRenderedPageBreak/>
              <w:t>Below-grade pathway</w:t>
            </w:r>
          </w:p>
        </w:tc>
        <w:tc>
          <w:tcPr>
            <w:tcW w:w="4621" w:type="dxa"/>
          </w:tcPr>
          <w:p w14:paraId="28CD97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 xml:space="preserve">USACE EGM 04-01 with-basement minus without-basement, by </w:t>
            </w:r>
            <w:proofErr w:type="spellStart"/>
            <w:r w:rsidRPr="00961F99">
              <w:rPr>
                <w:rFonts w:asciiTheme="majorBidi" w:hAnsiTheme="majorBidi" w:cstheme="majorBidi"/>
                <w:sz w:val="16"/>
                <w:szCs w:val="16"/>
              </w:rPr>
              <w:t>storey</w:t>
            </w:r>
            <w:proofErr w:type="spellEnd"/>
            <w:r w:rsidRPr="00961F99">
              <w:rPr>
                <w:rFonts w:asciiTheme="majorBidi" w:hAnsiTheme="majorBidi" w:cstheme="majorBidi"/>
                <w:sz w:val="16"/>
                <w:szCs w:val="16"/>
              </w:rPr>
              <w:t xml:space="preserve"> class; Bernoulli assignment, seed 12345; 3,110,951 buildings (24.1%)</w:t>
            </w:r>
          </w:p>
        </w:tc>
      </w:tr>
      <w:tr w:rsidR="00B57608" w:rsidRPr="00961F99" w14:paraId="36A180EF" w14:textId="77777777" w:rsidTr="00376A59">
        <w:trPr>
          <w:jc w:val="center"/>
        </w:trPr>
        <w:tc>
          <w:tcPr>
            <w:tcW w:w="4739" w:type="dxa"/>
          </w:tcPr>
          <w:p w14:paraId="1F54929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Elevated-enclosure pathway</w:t>
            </w:r>
          </w:p>
        </w:tc>
        <w:tc>
          <w:tcPr>
            <w:tcW w:w="4621" w:type="dxa"/>
          </w:tcPr>
          <w:p w14:paraId="0A88A152" w14:textId="77777777" w:rsidR="00B57608" w:rsidRPr="00961F99" w:rsidRDefault="00000000" w:rsidP="00757EC6">
            <w:pPr>
              <w:spacing w:after="20"/>
              <w:jc w:val="both"/>
              <w:rPr>
                <w:rFonts w:asciiTheme="majorBidi" w:hAnsiTheme="majorBidi" w:cstheme="majorBidi"/>
              </w:rPr>
            </w:pPr>
            <w:sdt>
              <w:sdtPr>
                <w:rPr>
                  <w:rFonts w:asciiTheme="majorBidi" w:hAnsiTheme="majorBidi" w:cstheme="majorBidi"/>
                </w:rPr>
                <w:tag w:val="goog_rdk_3"/>
                <w:id w:val="-1295317391"/>
              </w:sdtPr>
              <w:sdtContent>
                <w:r w:rsidR="003B27C7" w:rsidRPr="00961F99">
                  <w:rPr>
                    <w:rFonts w:asciiTheme="majorBidi" w:eastAsia="Gungsuh" w:hAnsiTheme="majorBidi" w:cstheme="majorBidi"/>
                    <w:sz w:val="16"/>
                    <w:szCs w:val="16"/>
                  </w:rPr>
                  <w:t>0.10 of structure value, active at first-floor height ≥ 4 ft, filling progressively</w:t>
                </w:r>
              </w:sdtContent>
            </w:sdt>
          </w:p>
        </w:tc>
      </w:tr>
      <w:tr w:rsidR="00B57608" w:rsidRPr="00961F99" w14:paraId="2A6DA120" w14:textId="77777777" w:rsidTr="00376A59">
        <w:trPr>
          <w:jc w:val="center"/>
        </w:trPr>
        <w:tc>
          <w:tcPr>
            <w:tcW w:w="4739" w:type="dxa"/>
          </w:tcPr>
          <w:p w14:paraId="6CDC28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Deductible</w:t>
            </w:r>
          </w:p>
        </w:tc>
        <w:tc>
          <w:tcPr>
            <w:tcW w:w="4621" w:type="dxa"/>
          </w:tcPr>
          <w:p w14:paraId="5518908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$1,500 per event, applied before the coverage limit</w:t>
            </w:r>
          </w:p>
        </w:tc>
      </w:tr>
      <w:tr w:rsidR="00B57608" w:rsidRPr="00961F99" w14:paraId="3B12A70A" w14:textId="77777777" w:rsidTr="00376A59">
        <w:trPr>
          <w:jc w:val="center"/>
        </w:trPr>
        <w:tc>
          <w:tcPr>
            <w:tcW w:w="4739" w:type="dxa"/>
          </w:tcPr>
          <w:p w14:paraId="4ACB1B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Coverage amounts</w:t>
            </w:r>
          </w:p>
        </w:tc>
        <w:tc>
          <w:tcPr>
            <w:tcW w:w="4621" w:type="dxa"/>
          </w:tcPr>
          <w:p w14:paraId="6CF62C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Observed policy values; statutory $250k/$500k limits embedded</w:t>
            </w:r>
          </w:p>
        </w:tc>
      </w:tr>
      <w:tr w:rsidR="00B57608" w:rsidRPr="00961F99" w14:paraId="410EFE80" w14:textId="77777777" w:rsidTr="00376A59">
        <w:trPr>
          <w:jc w:val="center"/>
        </w:trPr>
        <w:tc>
          <w:tcPr>
            <w:tcW w:w="4739" w:type="dxa"/>
          </w:tcPr>
          <w:p w14:paraId="559EFDE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Allocation caps</w:t>
            </w:r>
          </w:p>
        </w:tc>
        <w:tc>
          <w:tcPr>
            <w:tcW w:w="4621" w:type="dxa"/>
          </w:tcPr>
          <w:p w14:paraId="4F7E7302" w14:textId="77777777" w:rsidR="00B57608" w:rsidRPr="00961F99" w:rsidRDefault="00000000" w:rsidP="00757EC6">
            <w:pPr>
              <w:spacing w:after="20"/>
              <w:jc w:val="both"/>
              <w:rPr>
                <w:rFonts w:asciiTheme="majorBidi" w:hAnsiTheme="majorBidi" w:cstheme="majorBidi"/>
              </w:rPr>
            </w:pPr>
            <w:sdt>
              <w:sdtPr>
                <w:rPr>
                  <w:rFonts w:asciiTheme="majorBidi" w:hAnsiTheme="majorBidi" w:cstheme="majorBidi"/>
                </w:rPr>
                <w:tag w:val="goog_rdk_4"/>
                <w:id w:val="1322216186"/>
              </w:sdtPr>
              <w:sdtContent>
                <w:r w:rsidR="003B27C7" w:rsidRPr="00961F99">
                  <w:rPr>
                    <w:rFonts w:asciiTheme="majorBidi" w:eastAsia="Gungsuh" w:hAnsiTheme="majorBidi" w:cstheme="majorBidi"/>
                    <w:sz w:val="16"/>
                    <w:szCs w:val="16"/>
                  </w:rPr>
                  <w:t>Coverage ≤ 1.10 × replacement value; prototype-specific policy-count cap scaled by gross floor area</w:t>
                </w:r>
              </w:sdtContent>
            </w:sdt>
          </w:p>
        </w:tc>
      </w:tr>
      <w:tr w:rsidR="00B57608" w:rsidRPr="00961F99" w14:paraId="48F2F555" w14:textId="77777777" w:rsidTr="00376A59">
        <w:trPr>
          <w:jc w:val="center"/>
        </w:trPr>
        <w:tc>
          <w:tcPr>
            <w:tcW w:w="4739" w:type="dxa"/>
          </w:tcPr>
          <w:p w14:paraId="7746481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SFHA definition</w:t>
            </w:r>
          </w:p>
        </w:tc>
        <w:tc>
          <w:tcPr>
            <w:tcW w:w="4621" w:type="dxa"/>
          </w:tcPr>
          <w:p w14:paraId="5E499C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Flood zones beginning with A or V; all else and missing treated as X</w:t>
            </w:r>
          </w:p>
        </w:tc>
      </w:tr>
      <w:tr w:rsidR="00B57608" w:rsidRPr="00961F99" w14:paraId="4B40FE84" w14:textId="77777777" w:rsidTr="00376A59">
        <w:trPr>
          <w:jc w:val="center"/>
        </w:trPr>
        <w:tc>
          <w:tcPr>
            <w:tcW w:w="4739" w:type="dxa"/>
          </w:tcPr>
          <w:p w14:paraId="2BBA9A5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Burden regimes</w:t>
            </w:r>
          </w:p>
        </w:tc>
        <w:tc>
          <w:tcPr>
            <w:tcW w:w="4621" w:type="dxa"/>
          </w:tcPr>
          <w:p w14:paraId="30BFDAF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 xml:space="preserve">Four-component Gaussian mixture, full covariance, </w:t>
            </w:r>
            <w:proofErr w:type="spellStart"/>
            <w:proofErr w:type="gramStart"/>
            <w:r w:rsidRPr="00961F99">
              <w:rPr>
                <w:rFonts w:asciiTheme="majorBidi" w:hAnsiTheme="majorBidi" w:cstheme="majorBidi"/>
                <w:sz w:val="16"/>
                <w:szCs w:val="16"/>
              </w:rPr>
              <w:t>RobustScaler</w:t>
            </w:r>
            <w:proofErr w:type="spellEnd"/>
            <w:r w:rsidRPr="00961F99">
              <w:rPr>
                <w:rFonts w:asciiTheme="majorBidi" w:hAnsiTheme="majorBidi" w:cstheme="majorBidi"/>
                <w:sz w:val="16"/>
                <w:szCs w:val="16"/>
              </w:rPr>
              <w:t>(</w:t>
            </w:r>
            <w:proofErr w:type="gramEnd"/>
            <w:r w:rsidRPr="00961F99">
              <w:rPr>
                <w:rFonts w:asciiTheme="majorBidi" w:hAnsiTheme="majorBidi" w:cstheme="majorBidi"/>
                <w:sz w:val="16"/>
                <w:szCs w:val="16"/>
              </w:rPr>
              <w:t>10–90), seed 42, fitted on 20,000 tracts, predicted for 74,240</w:t>
            </w:r>
          </w:p>
        </w:tc>
      </w:tr>
      <w:tr w:rsidR="00B57608" w:rsidRPr="00961F99" w14:paraId="1D90B014" w14:textId="77777777" w:rsidTr="00376A59">
        <w:trPr>
          <w:jc w:val="center"/>
        </w:trPr>
        <w:tc>
          <w:tcPr>
            <w:tcW w:w="4739" w:type="dxa"/>
          </w:tcPr>
          <w:p w14:paraId="1770E9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Column provenance</w:t>
            </w:r>
          </w:p>
        </w:tc>
        <w:tc>
          <w:tcPr>
            <w:tcW w:w="4621" w:type="dxa"/>
          </w:tcPr>
          <w:p w14:paraId="61B2A5D4" w14:textId="77777777" w:rsidR="00B57608" w:rsidRPr="00961F99" w:rsidRDefault="003B27C7" w:rsidP="00757EC6">
            <w:pPr>
              <w:spacing w:after="20"/>
              <w:jc w:val="both"/>
              <w:rPr>
                <w:rFonts w:asciiTheme="majorBidi" w:hAnsiTheme="majorBidi" w:cstheme="majorBidi"/>
              </w:rPr>
            </w:pPr>
            <w:proofErr w:type="spellStart"/>
            <w:r w:rsidRPr="00961F99">
              <w:rPr>
                <w:rFonts w:asciiTheme="majorBidi" w:hAnsiTheme="majorBidi" w:cstheme="majorBidi"/>
                <w:sz w:val="16"/>
                <w:szCs w:val="16"/>
              </w:rPr>
              <w:t>coverage_total</w:t>
            </w:r>
            <w:proofErr w:type="spellEnd"/>
            <w:r w:rsidRPr="00961F99">
              <w:rPr>
                <w:rFonts w:asciiTheme="majorBidi" w:hAnsiTheme="majorBidi" w:cstheme="majorBidi"/>
                <w:sz w:val="16"/>
                <w:szCs w:val="16"/>
              </w:rPr>
              <w:t xml:space="preserve"> (coverage); </w:t>
            </w:r>
            <w:proofErr w:type="spellStart"/>
            <w:r w:rsidRPr="00961F99">
              <w:rPr>
                <w:rFonts w:asciiTheme="majorBidi" w:hAnsiTheme="majorBidi" w:cstheme="majorBidi"/>
                <w:sz w:val="16"/>
                <w:szCs w:val="16"/>
              </w:rPr>
              <w:t>premium_act</w:t>
            </w:r>
            <w:proofErr w:type="spellEnd"/>
            <w:r w:rsidRPr="00961F99">
              <w:rPr>
                <w:rFonts w:asciiTheme="majorBidi" w:hAnsiTheme="majorBidi" w:cstheme="majorBidi"/>
                <w:sz w:val="16"/>
                <w:szCs w:val="16"/>
              </w:rPr>
              <w:t xml:space="preserve"> (written policy cost); </w:t>
            </w:r>
            <w:proofErr w:type="spellStart"/>
            <w:r w:rsidRPr="00961F99">
              <w:rPr>
                <w:rFonts w:asciiTheme="majorBidi" w:hAnsiTheme="majorBidi" w:cstheme="majorBidi"/>
                <w:sz w:val="16"/>
                <w:szCs w:val="16"/>
              </w:rPr>
              <w:t>flood_zone</w:t>
            </w:r>
            <w:proofErr w:type="spellEnd"/>
            <w:r w:rsidRPr="00961F99">
              <w:rPr>
                <w:rFonts w:asciiTheme="majorBidi" w:hAnsiTheme="majorBidi" w:cstheme="majorBidi"/>
                <w:sz w:val="16"/>
                <w:szCs w:val="16"/>
              </w:rPr>
              <w:t xml:space="preserve"> (zone status)</w:t>
            </w:r>
          </w:p>
        </w:tc>
      </w:tr>
      <w:tr w:rsidR="00B57608" w:rsidRPr="00961F99" w14:paraId="3A12DA11" w14:textId="77777777" w:rsidTr="00376A59">
        <w:trPr>
          <w:jc w:val="center"/>
        </w:trPr>
        <w:tc>
          <w:tcPr>
            <w:tcW w:w="4739" w:type="dxa"/>
          </w:tcPr>
          <w:p w14:paraId="52BF9E9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Accounting-identity residual</w:t>
            </w:r>
          </w:p>
        </w:tc>
        <w:tc>
          <w:tcPr>
            <w:tcW w:w="4621" w:type="dxa"/>
          </w:tcPr>
          <w:p w14:paraId="1C350B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$0.000000 per building (maximum)</w:t>
            </w:r>
          </w:p>
        </w:tc>
      </w:tr>
      <w:tr w:rsidR="00B57608" w:rsidRPr="00961F99" w14:paraId="0174C70E" w14:textId="77777777" w:rsidTr="00376A59">
        <w:trPr>
          <w:jc w:val="center"/>
        </w:trPr>
        <w:tc>
          <w:tcPr>
            <w:tcW w:w="4739" w:type="dxa"/>
          </w:tcPr>
          <w:p w14:paraId="00449E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Structure replacement-value basis</w:t>
            </w:r>
          </w:p>
        </w:tc>
        <w:tc>
          <w:tcPr>
            <w:tcW w:w="4621" w:type="dxa"/>
          </w:tcPr>
          <w:p w14:paraId="6374588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$6.138 trillion</w:t>
            </w:r>
          </w:p>
        </w:tc>
      </w:tr>
      <w:tr w:rsidR="00B57608" w:rsidRPr="00961F99" w14:paraId="38C885A8" w14:textId="77777777" w:rsidTr="00376A59">
        <w:trPr>
          <w:jc w:val="center"/>
        </w:trPr>
        <w:tc>
          <w:tcPr>
            <w:tcW w:w="4739" w:type="dxa"/>
          </w:tcPr>
          <w:p w14:paraId="780512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Implied annual damage rate</w:t>
            </w:r>
          </w:p>
        </w:tc>
        <w:tc>
          <w:tcPr>
            <w:tcW w:w="4621" w:type="dxa"/>
          </w:tcPr>
          <w:p w14:paraId="75AAE96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0.418% of structure replacement value</w:t>
            </w:r>
          </w:p>
        </w:tc>
      </w:tr>
    </w:tbl>
    <w:p w14:paraId="7FBC6042" w14:textId="77777777" w:rsidR="00B57608" w:rsidRPr="00961F99" w:rsidRDefault="00B57608" w:rsidP="00757EC6">
      <w:pPr>
        <w:spacing w:after="40"/>
        <w:jc w:val="both"/>
        <w:rPr>
          <w:rFonts w:asciiTheme="majorBidi" w:hAnsiTheme="majorBidi" w:cstheme="majorBidi"/>
        </w:rPr>
      </w:pPr>
    </w:p>
    <w:p w14:paraId="78C5C932"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S11 | </w:t>
      </w:r>
      <w:r w:rsidRPr="00961F99">
        <w:rPr>
          <w:rFonts w:asciiTheme="majorBidi" w:hAnsiTheme="majorBidi" w:cstheme="majorBidi"/>
          <w:sz w:val="19"/>
          <w:szCs w:val="19"/>
        </w:rPr>
        <w:t>Policy-allocation outcome by tier, aggregated over the 738 processed tiles that recorded tier diagnostics; the total of 3,412,441 assignments corresponds to the 3,412,456 policy records carried into the analysis. Fewer than one policy in a thousand could be matched by footprint containment, because coordinates in the redacted policy files are spatially generalized. Deterministic within-tract and rated-zone passes placed 69.2% of policies and the stochastic tiers the remaining 30.7%, which is why the reconstruction is treated as reliable at tract scale and weak at the scale of an individual building.</w:t>
      </w:r>
    </w:p>
    <w:tbl>
      <w:tblPr>
        <w:tblStyle w:val="a9"/>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7"/>
        <w:gridCol w:w="2412"/>
        <w:gridCol w:w="2412"/>
        <w:gridCol w:w="2209"/>
      </w:tblGrid>
      <w:tr w:rsidR="00B57608" w:rsidRPr="00961F99" w14:paraId="7119DD43" w14:textId="77777777" w:rsidTr="00376A59">
        <w:trPr>
          <w:tblHeader/>
          <w:jc w:val="center"/>
        </w:trPr>
        <w:tc>
          <w:tcPr>
            <w:tcW w:w="2327" w:type="dxa"/>
          </w:tcPr>
          <w:p w14:paraId="56C481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Tier</w:t>
            </w:r>
          </w:p>
        </w:tc>
        <w:tc>
          <w:tcPr>
            <w:tcW w:w="2412" w:type="dxa"/>
          </w:tcPr>
          <w:p w14:paraId="4BB701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Assignment rule</w:t>
            </w:r>
          </w:p>
        </w:tc>
        <w:tc>
          <w:tcPr>
            <w:tcW w:w="2412" w:type="dxa"/>
          </w:tcPr>
          <w:p w14:paraId="46C0B1B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Policies assigned</w:t>
            </w:r>
          </w:p>
        </w:tc>
        <w:tc>
          <w:tcPr>
            <w:tcW w:w="2209" w:type="dxa"/>
          </w:tcPr>
          <w:p w14:paraId="696F62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Share of allocated policies</w:t>
            </w:r>
          </w:p>
        </w:tc>
      </w:tr>
      <w:tr w:rsidR="00B57608" w:rsidRPr="00961F99" w14:paraId="22198625" w14:textId="77777777" w:rsidTr="00376A59">
        <w:trPr>
          <w:jc w:val="center"/>
        </w:trPr>
        <w:tc>
          <w:tcPr>
            <w:tcW w:w="2327" w:type="dxa"/>
          </w:tcPr>
          <w:p w14:paraId="084A38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0</w:t>
            </w:r>
          </w:p>
        </w:tc>
        <w:tc>
          <w:tcPr>
            <w:tcW w:w="2412" w:type="dxa"/>
          </w:tcPr>
          <w:p w14:paraId="225D7C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Buffered footprint match, 10 m buffer</w:t>
            </w:r>
          </w:p>
        </w:tc>
        <w:tc>
          <w:tcPr>
            <w:tcW w:w="2412" w:type="dxa"/>
          </w:tcPr>
          <w:p w14:paraId="777713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155</w:t>
            </w:r>
          </w:p>
        </w:tc>
        <w:tc>
          <w:tcPr>
            <w:tcW w:w="2209" w:type="dxa"/>
          </w:tcPr>
          <w:p w14:paraId="2E3AD5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w:t>
            </w:r>
          </w:p>
        </w:tc>
      </w:tr>
      <w:tr w:rsidR="00B57608" w:rsidRPr="00961F99" w14:paraId="72791333" w14:textId="77777777" w:rsidTr="00376A59">
        <w:trPr>
          <w:jc w:val="center"/>
        </w:trPr>
        <w:tc>
          <w:tcPr>
            <w:tcW w:w="2327" w:type="dxa"/>
          </w:tcPr>
          <w:p w14:paraId="483BF5F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1</w:t>
            </w:r>
          </w:p>
        </w:tc>
        <w:tc>
          <w:tcPr>
            <w:tcW w:w="2412" w:type="dxa"/>
          </w:tcPr>
          <w:p w14:paraId="3F58956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Strict footprint containment, residential status consistent</w:t>
            </w:r>
          </w:p>
        </w:tc>
        <w:tc>
          <w:tcPr>
            <w:tcW w:w="2412" w:type="dxa"/>
          </w:tcPr>
          <w:p w14:paraId="44681D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w:t>
            </w:r>
          </w:p>
        </w:tc>
        <w:tc>
          <w:tcPr>
            <w:tcW w:w="2209" w:type="dxa"/>
          </w:tcPr>
          <w:p w14:paraId="69335C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w:t>
            </w:r>
          </w:p>
        </w:tc>
      </w:tr>
      <w:tr w:rsidR="00B57608" w:rsidRPr="00961F99" w14:paraId="2F9B40E4" w14:textId="77777777" w:rsidTr="00376A59">
        <w:trPr>
          <w:jc w:val="center"/>
        </w:trPr>
        <w:tc>
          <w:tcPr>
            <w:tcW w:w="2327" w:type="dxa"/>
          </w:tcPr>
          <w:p w14:paraId="29E27E3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2</w:t>
            </w:r>
          </w:p>
        </w:tc>
        <w:tc>
          <w:tcPr>
            <w:tcW w:w="2412" w:type="dxa"/>
          </w:tcPr>
          <w:p w14:paraId="7111ED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Nearest eligible building centroid within 200 m</w:t>
            </w:r>
          </w:p>
        </w:tc>
        <w:tc>
          <w:tcPr>
            <w:tcW w:w="2412" w:type="dxa"/>
          </w:tcPr>
          <w:p w14:paraId="57E2BD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1,462</w:t>
            </w:r>
          </w:p>
        </w:tc>
        <w:tc>
          <w:tcPr>
            <w:tcW w:w="2209" w:type="dxa"/>
          </w:tcPr>
          <w:p w14:paraId="308313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w:t>
            </w:r>
          </w:p>
        </w:tc>
      </w:tr>
      <w:tr w:rsidR="00B57608" w:rsidRPr="00961F99" w14:paraId="6CF73784" w14:textId="77777777" w:rsidTr="00376A59">
        <w:trPr>
          <w:jc w:val="center"/>
        </w:trPr>
        <w:tc>
          <w:tcPr>
            <w:tcW w:w="2327" w:type="dxa"/>
          </w:tcPr>
          <w:p w14:paraId="7215451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3a</w:t>
            </w:r>
          </w:p>
        </w:tc>
        <w:tc>
          <w:tcPr>
            <w:tcW w:w="2412" w:type="dxa"/>
          </w:tcPr>
          <w:p w14:paraId="3509650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 xml:space="preserve">Within tract and rated zone; type and </w:t>
            </w:r>
            <w:proofErr w:type="spellStart"/>
            <w:r w:rsidRPr="00961F99">
              <w:rPr>
                <w:rFonts w:asciiTheme="majorBidi" w:hAnsiTheme="majorBidi" w:cstheme="majorBidi"/>
                <w:sz w:val="16"/>
                <w:szCs w:val="16"/>
              </w:rPr>
              <w:t>storey</w:t>
            </w:r>
            <w:proofErr w:type="spellEnd"/>
            <w:r w:rsidRPr="00961F99">
              <w:rPr>
                <w:rFonts w:asciiTheme="majorBidi" w:hAnsiTheme="majorBidi" w:cstheme="majorBidi"/>
                <w:sz w:val="16"/>
                <w:szCs w:val="16"/>
              </w:rPr>
              <w:t xml:space="preserve"> class required</w:t>
            </w:r>
          </w:p>
        </w:tc>
        <w:tc>
          <w:tcPr>
            <w:tcW w:w="2412" w:type="dxa"/>
          </w:tcPr>
          <w:p w14:paraId="447531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1,642,100</w:t>
            </w:r>
          </w:p>
        </w:tc>
        <w:tc>
          <w:tcPr>
            <w:tcW w:w="2209" w:type="dxa"/>
          </w:tcPr>
          <w:p w14:paraId="5EF80C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48.1%</w:t>
            </w:r>
          </w:p>
        </w:tc>
      </w:tr>
      <w:tr w:rsidR="00B57608" w:rsidRPr="00961F99" w14:paraId="610BEEC4" w14:textId="77777777" w:rsidTr="00376A59">
        <w:trPr>
          <w:jc w:val="center"/>
        </w:trPr>
        <w:tc>
          <w:tcPr>
            <w:tcW w:w="2327" w:type="dxa"/>
          </w:tcPr>
          <w:p w14:paraId="6319ACC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3b</w:t>
            </w:r>
          </w:p>
        </w:tc>
        <w:tc>
          <w:tcPr>
            <w:tcW w:w="2412" w:type="dxa"/>
          </w:tcPr>
          <w:p w14:paraId="6B052D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Within tract and rated zone; building type required</w:t>
            </w:r>
          </w:p>
        </w:tc>
        <w:tc>
          <w:tcPr>
            <w:tcW w:w="2412" w:type="dxa"/>
          </w:tcPr>
          <w:p w14:paraId="40BDA1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26,904</w:t>
            </w:r>
          </w:p>
        </w:tc>
        <w:tc>
          <w:tcPr>
            <w:tcW w:w="2209" w:type="dxa"/>
          </w:tcPr>
          <w:p w14:paraId="45FB9EE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w:t>
            </w:r>
          </w:p>
        </w:tc>
      </w:tr>
      <w:tr w:rsidR="00B57608" w:rsidRPr="00961F99" w14:paraId="1ABC0D5F" w14:textId="77777777" w:rsidTr="00376A59">
        <w:trPr>
          <w:jc w:val="center"/>
        </w:trPr>
        <w:tc>
          <w:tcPr>
            <w:tcW w:w="2327" w:type="dxa"/>
          </w:tcPr>
          <w:p w14:paraId="21D3AF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3c</w:t>
            </w:r>
          </w:p>
        </w:tc>
        <w:tc>
          <w:tcPr>
            <w:tcW w:w="2412" w:type="dxa"/>
          </w:tcPr>
          <w:p w14:paraId="510BC96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 xml:space="preserve">Within tract and rated zone; no </w:t>
            </w:r>
            <w:proofErr w:type="gramStart"/>
            <w:r w:rsidRPr="00961F99">
              <w:rPr>
                <w:rFonts w:asciiTheme="majorBidi" w:hAnsiTheme="majorBidi" w:cstheme="majorBidi"/>
                <w:sz w:val="16"/>
                <w:szCs w:val="16"/>
              </w:rPr>
              <w:t>type</w:t>
            </w:r>
            <w:proofErr w:type="gramEnd"/>
            <w:r w:rsidRPr="00961F99">
              <w:rPr>
                <w:rFonts w:asciiTheme="majorBidi" w:hAnsiTheme="majorBidi" w:cstheme="majorBidi"/>
                <w:sz w:val="16"/>
                <w:szCs w:val="16"/>
              </w:rPr>
              <w:t xml:space="preserve"> requirement</w:t>
            </w:r>
          </w:p>
        </w:tc>
        <w:tc>
          <w:tcPr>
            <w:tcW w:w="2412" w:type="dxa"/>
          </w:tcPr>
          <w:p w14:paraId="4C393E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693,099</w:t>
            </w:r>
          </w:p>
        </w:tc>
        <w:tc>
          <w:tcPr>
            <w:tcW w:w="2209" w:type="dxa"/>
          </w:tcPr>
          <w:p w14:paraId="4B1C60D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20.3%</w:t>
            </w:r>
          </w:p>
        </w:tc>
      </w:tr>
      <w:tr w:rsidR="00B57608" w:rsidRPr="00961F99" w14:paraId="09BE118C" w14:textId="77777777" w:rsidTr="00376A59">
        <w:trPr>
          <w:jc w:val="center"/>
        </w:trPr>
        <w:tc>
          <w:tcPr>
            <w:tcW w:w="2327" w:type="dxa"/>
          </w:tcPr>
          <w:p w14:paraId="3B59B34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4a</w:t>
            </w:r>
          </w:p>
        </w:tc>
        <w:tc>
          <w:tcPr>
            <w:tcW w:w="2412" w:type="dxa"/>
          </w:tcPr>
          <w:p w14:paraId="7B3E91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Stochastic risk-distance, up to 512 candidates; type required</w:t>
            </w:r>
          </w:p>
        </w:tc>
        <w:tc>
          <w:tcPr>
            <w:tcW w:w="2412" w:type="dxa"/>
          </w:tcPr>
          <w:p w14:paraId="2A6EAF8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258,714</w:t>
            </w:r>
          </w:p>
        </w:tc>
        <w:tc>
          <w:tcPr>
            <w:tcW w:w="2209" w:type="dxa"/>
          </w:tcPr>
          <w:p w14:paraId="73511C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w:t>
            </w:r>
          </w:p>
        </w:tc>
      </w:tr>
      <w:tr w:rsidR="00B57608" w:rsidRPr="00961F99" w14:paraId="6EE6AC63" w14:textId="77777777" w:rsidTr="00376A59">
        <w:trPr>
          <w:jc w:val="center"/>
        </w:trPr>
        <w:tc>
          <w:tcPr>
            <w:tcW w:w="2327" w:type="dxa"/>
          </w:tcPr>
          <w:p w14:paraId="5BB3D55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4b</w:t>
            </w:r>
          </w:p>
        </w:tc>
        <w:tc>
          <w:tcPr>
            <w:tcW w:w="2412" w:type="dxa"/>
          </w:tcPr>
          <w:p w14:paraId="1D0C4E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Stochastic risk-distance, up to 512 candidates; type relaxed</w:t>
            </w:r>
          </w:p>
        </w:tc>
        <w:tc>
          <w:tcPr>
            <w:tcW w:w="2412" w:type="dxa"/>
          </w:tcPr>
          <w:p w14:paraId="7C232A2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302,730</w:t>
            </w:r>
          </w:p>
        </w:tc>
        <w:tc>
          <w:tcPr>
            <w:tcW w:w="2209" w:type="dxa"/>
          </w:tcPr>
          <w:p w14:paraId="6C14A4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8.9%</w:t>
            </w:r>
          </w:p>
        </w:tc>
      </w:tr>
      <w:tr w:rsidR="00B57608" w:rsidRPr="00961F99" w14:paraId="279ABF35" w14:textId="77777777" w:rsidTr="00376A59">
        <w:trPr>
          <w:jc w:val="center"/>
        </w:trPr>
        <w:tc>
          <w:tcPr>
            <w:tcW w:w="2327" w:type="dxa"/>
          </w:tcPr>
          <w:p w14:paraId="227043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5a</w:t>
            </w:r>
          </w:p>
        </w:tc>
        <w:tc>
          <w:tcPr>
            <w:tcW w:w="2412" w:type="dxa"/>
          </w:tcPr>
          <w:p w14:paraId="47CE273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Within-tract highest-risk fallback; type required</w:t>
            </w:r>
          </w:p>
        </w:tc>
        <w:tc>
          <w:tcPr>
            <w:tcW w:w="2412" w:type="dxa"/>
          </w:tcPr>
          <w:p w14:paraId="4AC3F56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260,166</w:t>
            </w:r>
          </w:p>
        </w:tc>
        <w:tc>
          <w:tcPr>
            <w:tcW w:w="2209" w:type="dxa"/>
          </w:tcPr>
          <w:p w14:paraId="5AA92F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w:t>
            </w:r>
          </w:p>
        </w:tc>
      </w:tr>
      <w:tr w:rsidR="00B57608" w:rsidRPr="00961F99" w14:paraId="5C0AF62B" w14:textId="77777777" w:rsidTr="00376A59">
        <w:trPr>
          <w:jc w:val="center"/>
        </w:trPr>
        <w:tc>
          <w:tcPr>
            <w:tcW w:w="2327" w:type="dxa"/>
          </w:tcPr>
          <w:p w14:paraId="76A62C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Tier 5b</w:t>
            </w:r>
          </w:p>
        </w:tc>
        <w:tc>
          <w:tcPr>
            <w:tcW w:w="2412" w:type="dxa"/>
          </w:tcPr>
          <w:p w14:paraId="601522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Within-tract highest-risk fallback; type relaxed</w:t>
            </w:r>
          </w:p>
        </w:tc>
        <w:tc>
          <w:tcPr>
            <w:tcW w:w="2412" w:type="dxa"/>
          </w:tcPr>
          <w:p w14:paraId="25D7D7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227,111</w:t>
            </w:r>
          </w:p>
        </w:tc>
        <w:tc>
          <w:tcPr>
            <w:tcW w:w="2209" w:type="dxa"/>
          </w:tcPr>
          <w:p w14:paraId="64779E9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6.7%</w:t>
            </w:r>
          </w:p>
        </w:tc>
      </w:tr>
    </w:tbl>
    <w:p w14:paraId="2B92B321" w14:textId="77777777" w:rsidR="00B57608" w:rsidRPr="00961F99" w:rsidRDefault="00B57608" w:rsidP="00757EC6">
      <w:pPr>
        <w:spacing w:after="40"/>
        <w:jc w:val="both"/>
        <w:rPr>
          <w:rFonts w:asciiTheme="majorBidi" w:hAnsiTheme="majorBidi" w:cstheme="majorBidi"/>
        </w:rPr>
      </w:pPr>
    </w:p>
    <w:p w14:paraId="35EEB4DB"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br w:type="page"/>
      </w:r>
    </w:p>
    <w:p w14:paraId="219D146C" w14:textId="77777777" w:rsidR="00B57608" w:rsidRPr="00961F99" w:rsidRDefault="003B27C7" w:rsidP="00757EC6">
      <w:pPr>
        <w:pStyle w:val="Heading1"/>
        <w:spacing w:before="280" w:after="80"/>
        <w:jc w:val="both"/>
        <w:rPr>
          <w:rFonts w:asciiTheme="majorBidi" w:eastAsia="Times New Roman" w:hAnsiTheme="majorBidi" w:cstheme="majorBidi"/>
        </w:rPr>
      </w:pPr>
      <w:r w:rsidRPr="00961F99">
        <w:rPr>
          <w:rFonts w:asciiTheme="majorBidi" w:eastAsia="Times New Roman" w:hAnsiTheme="majorBidi" w:cstheme="majorBidi"/>
        </w:rPr>
        <w:lastRenderedPageBreak/>
        <w:t>Part C. Validation and benchmarking</w:t>
      </w:r>
    </w:p>
    <w:p w14:paraId="22252510"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No parameter in the loss model is fitted to an external loss total, so every comparison in this Part is an out-of-sample check rather than a validation of a calibrated quantity. The comparisons are grouped by what they test: the level of modeled loss, the insured slice, and the hazard composition.</w:t>
      </w:r>
    </w:p>
    <w:p w14:paraId="060BA8A3"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C1. Benchmarking the national loss level</w:t>
      </w:r>
    </w:p>
    <w:p w14:paraId="0851362E"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Table S12 places the central </w:t>
      </w:r>
      <w:proofErr w:type="gramStart"/>
      <w:r w:rsidRPr="00961F99">
        <w:rPr>
          <w:rFonts w:asciiTheme="majorBidi" w:hAnsiTheme="majorBidi" w:cstheme="majorBidi"/>
        </w:rPr>
        <w:t>combined-hazard</w:t>
      </w:r>
      <w:proofErr w:type="gramEnd"/>
      <w:r w:rsidRPr="00961F99">
        <w:rPr>
          <w:rFonts w:asciiTheme="majorBidi" w:hAnsiTheme="majorBidi" w:cstheme="majorBidi"/>
        </w:rPr>
        <w:t xml:space="preserve"> estimate alongside published national estimates. The comparison that matters most is scope. Our $25.67B is a structure-only quantity covering all building types; it excludes contents, vehicles, business interruption and land. The closest scope match in the literature is the First Street residential estimate of $20.0–20.3 billion, which is explicitly building-only and covers one-to-four-unit residential structures alone; our all-building total sitting modestly above that residential-only figure is the expected ordering. A single-family, structure-focused Federal Reserve analysis places residential average annual loss at $24.4 billion, and an all-property estimate under a closely related hazard framework reports $32.1 billion. Our estimate falls between the residential-only and all-property figures, which is where a structure-only all-building estimate should fall.</w:t>
      </w:r>
    </w:p>
    <w:p w14:paraId="2E9848B2"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Two comparisons run the other way and are reported for completeness. Catastrophe models calibrated to NFIP claims experience produce lower figures, with a single-family building-only estimate above $7 billion; the difference reflects the known gap between the academic high-resolution modelling family used here and models tuned to realized insured experience. FEMA's National Risk Index, following its December 2025 revision that renamed the riverine category to inland flooding and folded pluvial flooding into it, reports a substantially higher inland building-value expected annual loss than any academic estimate including ours. Both bounds are stated rather than reconciled, because reconciling them would require access to the proprietary vulnerability functions behind each.</w:t>
      </w:r>
    </w:p>
    <w:p w14:paraId="2329A12B"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S12 | </w:t>
      </w:r>
      <w:r w:rsidRPr="00961F99">
        <w:rPr>
          <w:rFonts w:asciiTheme="majorBidi" w:hAnsiTheme="majorBidi" w:cstheme="majorBidi"/>
          <w:sz w:val="19"/>
          <w:szCs w:val="19"/>
        </w:rPr>
        <w:t xml:space="preserve">Published national estimates of average annual flood loss alongside the central estimate of this study. Estimates differ in the building population covered, in whether contents are included, in dollar year, and in hazard-model lineage; the scope column records the differences that matter for the comparison. None of these estimates </w:t>
      </w:r>
      <w:proofErr w:type="gramStart"/>
      <w:r w:rsidRPr="00961F99">
        <w:rPr>
          <w:rFonts w:asciiTheme="majorBidi" w:hAnsiTheme="majorBidi" w:cstheme="majorBidi"/>
          <w:sz w:val="19"/>
          <w:szCs w:val="19"/>
        </w:rPr>
        <w:t>was</w:t>
      </w:r>
      <w:proofErr w:type="gramEnd"/>
      <w:r w:rsidRPr="00961F99">
        <w:rPr>
          <w:rFonts w:asciiTheme="majorBidi" w:hAnsiTheme="majorBidi" w:cstheme="majorBidi"/>
          <w:sz w:val="19"/>
          <w:szCs w:val="19"/>
        </w:rPr>
        <w:t xml:space="preserve"> used to calibrate any parameter in this study.</w:t>
      </w:r>
    </w:p>
    <w:tbl>
      <w:tblPr>
        <w:tblStyle w:val="aa"/>
        <w:tblW w:w="94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2"/>
        <w:gridCol w:w="2083"/>
        <w:gridCol w:w="2741"/>
        <w:gridCol w:w="2209"/>
      </w:tblGrid>
      <w:tr w:rsidR="00B57608" w:rsidRPr="00961F99" w14:paraId="0CACB916" w14:textId="77777777" w:rsidTr="00376A59">
        <w:trPr>
          <w:tblHeader/>
          <w:jc w:val="center"/>
        </w:trPr>
        <w:tc>
          <w:tcPr>
            <w:tcW w:w="2412" w:type="dxa"/>
          </w:tcPr>
          <w:p w14:paraId="0F18B3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Source</w:t>
            </w:r>
          </w:p>
        </w:tc>
        <w:tc>
          <w:tcPr>
            <w:tcW w:w="2083" w:type="dxa"/>
          </w:tcPr>
          <w:p w14:paraId="41AD2C9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Average annual loss ($B yr⁻¹)</w:t>
            </w:r>
          </w:p>
        </w:tc>
        <w:tc>
          <w:tcPr>
            <w:tcW w:w="2741" w:type="dxa"/>
          </w:tcPr>
          <w:p w14:paraId="2B95A8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Scope</w:t>
            </w:r>
          </w:p>
        </w:tc>
        <w:tc>
          <w:tcPr>
            <w:tcW w:w="2209" w:type="dxa"/>
          </w:tcPr>
          <w:p w14:paraId="275BED5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Note</w:t>
            </w:r>
          </w:p>
        </w:tc>
      </w:tr>
      <w:tr w:rsidR="00B57608" w:rsidRPr="00961F99" w14:paraId="6B446DA7" w14:textId="77777777" w:rsidTr="00376A59">
        <w:trPr>
          <w:jc w:val="center"/>
        </w:trPr>
        <w:tc>
          <w:tcPr>
            <w:tcW w:w="2412" w:type="dxa"/>
          </w:tcPr>
          <w:p w14:paraId="594547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This study, central specification</w:t>
            </w:r>
          </w:p>
        </w:tc>
        <w:tc>
          <w:tcPr>
            <w:tcW w:w="2083" w:type="dxa"/>
          </w:tcPr>
          <w:p w14:paraId="51CF10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25.67</w:t>
            </w:r>
          </w:p>
        </w:tc>
        <w:tc>
          <w:tcPr>
            <w:tcW w:w="2741" w:type="dxa"/>
          </w:tcPr>
          <w:p w14:paraId="0FBF938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All buildings, CONUS, structure only</w:t>
            </w:r>
          </w:p>
        </w:tc>
        <w:tc>
          <w:tcPr>
            <w:tcW w:w="2209" w:type="dxa"/>
          </w:tcPr>
          <w:p w14:paraId="438BF50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Surveyed first-floor heights; no fitted parameters</w:t>
            </w:r>
          </w:p>
        </w:tc>
      </w:tr>
      <w:tr w:rsidR="00B57608" w:rsidRPr="00961F99" w14:paraId="022E1B7C" w14:textId="77777777" w:rsidTr="00376A59">
        <w:trPr>
          <w:jc w:val="center"/>
        </w:trPr>
        <w:tc>
          <w:tcPr>
            <w:tcW w:w="2412" w:type="dxa"/>
          </w:tcPr>
          <w:p w14:paraId="3B2F84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Wing et al. 2022, Nature Climate Change</w:t>
            </w:r>
          </w:p>
        </w:tc>
        <w:tc>
          <w:tcPr>
            <w:tcW w:w="2083" w:type="dxa"/>
          </w:tcPr>
          <w:p w14:paraId="28FBCF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32.1 (30.5–33.8)</w:t>
            </w:r>
          </w:p>
        </w:tc>
        <w:tc>
          <w:tcPr>
            <w:tcW w:w="2741" w:type="dxa"/>
          </w:tcPr>
          <w:p w14:paraId="5F427B9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All buildings, CONUS</w:t>
            </w:r>
          </w:p>
        </w:tc>
        <w:tc>
          <w:tcPr>
            <w:tcW w:w="2209" w:type="dxa"/>
          </w:tcPr>
          <w:p w14:paraId="148D0CB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Same hazard-model lineage; broader valuation basis</w:t>
            </w:r>
          </w:p>
        </w:tc>
      </w:tr>
      <w:tr w:rsidR="00B57608" w:rsidRPr="00961F99" w14:paraId="16E90B25" w14:textId="77777777" w:rsidTr="00376A59">
        <w:trPr>
          <w:jc w:val="center"/>
        </w:trPr>
        <w:tc>
          <w:tcPr>
            <w:tcW w:w="2412" w:type="dxa"/>
          </w:tcPr>
          <w:p w14:paraId="3DE10457" w14:textId="77777777" w:rsidR="00B57608" w:rsidRPr="00961F99" w:rsidRDefault="003B27C7" w:rsidP="00757EC6">
            <w:pPr>
              <w:spacing w:after="20"/>
              <w:jc w:val="both"/>
              <w:rPr>
                <w:rFonts w:asciiTheme="majorBidi" w:hAnsiTheme="majorBidi" w:cstheme="majorBidi"/>
              </w:rPr>
            </w:pPr>
            <w:proofErr w:type="spellStart"/>
            <w:r w:rsidRPr="00961F99">
              <w:rPr>
                <w:rFonts w:asciiTheme="majorBidi" w:hAnsiTheme="majorBidi" w:cstheme="majorBidi"/>
                <w:sz w:val="16"/>
                <w:szCs w:val="16"/>
              </w:rPr>
              <w:t>Amornsiripanitch</w:t>
            </w:r>
            <w:proofErr w:type="spellEnd"/>
            <w:r w:rsidRPr="00961F99">
              <w:rPr>
                <w:rFonts w:asciiTheme="majorBidi" w:hAnsiTheme="majorBidi" w:cstheme="majorBidi"/>
                <w:sz w:val="16"/>
                <w:szCs w:val="16"/>
              </w:rPr>
              <w:t xml:space="preserve"> et al. 2025, Nature Climate Change</w:t>
            </w:r>
          </w:p>
        </w:tc>
        <w:tc>
          <w:tcPr>
            <w:tcW w:w="2083" w:type="dxa"/>
          </w:tcPr>
          <w:p w14:paraId="7C7062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24.4</w:t>
            </w:r>
          </w:p>
        </w:tc>
        <w:tc>
          <w:tcPr>
            <w:tcW w:w="2741" w:type="dxa"/>
          </w:tcPr>
          <w:p w14:paraId="7E7E261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Single-family residences, 2023 USD</w:t>
            </w:r>
          </w:p>
        </w:tc>
        <w:tc>
          <w:tcPr>
            <w:tcW w:w="2209" w:type="dxa"/>
          </w:tcPr>
          <w:p w14:paraId="4887A59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70% of expected loss uninsured</w:t>
            </w:r>
          </w:p>
        </w:tc>
      </w:tr>
      <w:tr w:rsidR="00B57608" w:rsidRPr="00961F99" w14:paraId="78A689B2" w14:textId="77777777" w:rsidTr="00376A59">
        <w:trPr>
          <w:jc w:val="center"/>
        </w:trPr>
        <w:tc>
          <w:tcPr>
            <w:tcW w:w="2412" w:type="dxa"/>
          </w:tcPr>
          <w:p w14:paraId="055D4A2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First Street Foundation 2021</w:t>
            </w:r>
          </w:p>
        </w:tc>
        <w:tc>
          <w:tcPr>
            <w:tcW w:w="2083" w:type="dxa"/>
          </w:tcPr>
          <w:p w14:paraId="66F1BCF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20.0–20.3</w:t>
            </w:r>
          </w:p>
        </w:tc>
        <w:tc>
          <w:tcPr>
            <w:tcW w:w="2741" w:type="dxa"/>
          </w:tcPr>
          <w:p w14:paraId="62EB159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Residential 1–4 units, structure only</w:t>
            </w:r>
          </w:p>
        </w:tc>
        <w:tc>
          <w:tcPr>
            <w:tcW w:w="2209" w:type="dxa"/>
          </w:tcPr>
          <w:p w14:paraId="6FA71A3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Closest scope match to this study</w:t>
            </w:r>
          </w:p>
        </w:tc>
      </w:tr>
      <w:tr w:rsidR="00B57608" w:rsidRPr="00961F99" w14:paraId="7B4348DA" w14:textId="77777777" w:rsidTr="00376A59">
        <w:trPr>
          <w:jc w:val="center"/>
        </w:trPr>
        <w:tc>
          <w:tcPr>
            <w:tcW w:w="2412" w:type="dxa"/>
          </w:tcPr>
          <w:p w14:paraId="27FD757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Society of Actuaries / Milliman 2020</w:t>
            </w:r>
          </w:p>
        </w:tc>
        <w:tc>
          <w:tcPr>
            <w:tcW w:w="2083" w:type="dxa"/>
          </w:tcPr>
          <w:p w14:paraId="41901D3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&gt; 7</w:t>
            </w:r>
          </w:p>
        </w:tc>
        <w:tc>
          <w:tcPr>
            <w:tcW w:w="2741" w:type="dxa"/>
          </w:tcPr>
          <w:p w14:paraId="50BC94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Single-family residences, building only</w:t>
            </w:r>
          </w:p>
        </w:tc>
        <w:tc>
          <w:tcPr>
            <w:tcW w:w="2209" w:type="dxa"/>
          </w:tcPr>
          <w:p w14:paraId="6DA5588F" w14:textId="77777777" w:rsidR="00B57608" w:rsidRPr="00961F99" w:rsidRDefault="003B27C7" w:rsidP="00757EC6">
            <w:pPr>
              <w:spacing w:after="20"/>
              <w:jc w:val="both"/>
              <w:rPr>
                <w:rFonts w:asciiTheme="majorBidi" w:hAnsiTheme="majorBidi" w:cstheme="majorBidi"/>
              </w:rPr>
            </w:pPr>
            <w:proofErr w:type="spellStart"/>
            <w:r w:rsidRPr="00961F99">
              <w:rPr>
                <w:rFonts w:asciiTheme="majorBidi" w:hAnsiTheme="majorBidi" w:cstheme="majorBidi"/>
                <w:sz w:val="16"/>
                <w:szCs w:val="16"/>
              </w:rPr>
              <w:t>KatRisk</w:t>
            </w:r>
            <w:proofErr w:type="spellEnd"/>
            <w:r w:rsidRPr="00961F99">
              <w:rPr>
                <w:rFonts w:asciiTheme="majorBidi" w:hAnsiTheme="majorBidi" w:cstheme="majorBidi"/>
                <w:sz w:val="16"/>
                <w:szCs w:val="16"/>
              </w:rPr>
              <w:t xml:space="preserve"> model calibrated to NFIP experience</w:t>
            </w:r>
          </w:p>
        </w:tc>
      </w:tr>
      <w:tr w:rsidR="00B57608" w:rsidRPr="00961F99" w14:paraId="3E6A0AA3" w14:textId="77777777" w:rsidTr="00376A59">
        <w:trPr>
          <w:jc w:val="center"/>
        </w:trPr>
        <w:tc>
          <w:tcPr>
            <w:tcW w:w="2412" w:type="dxa"/>
          </w:tcPr>
          <w:p w14:paraId="5F4ECA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FEMA National Risk Index v1.20, Dec 2025</w:t>
            </w:r>
          </w:p>
        </w:tc>
        <w:tc>
          <w:tcPr>
            <w:tcW w:w="2083" w:type="dxa"/>
          </w:tcPr>
          <w:p w14:paraId="6CB7D15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63.0 inland; 0.9 coastal</w:t>
            </w:r>
          </w:p>
        </w:tc>
        <w:tc>
          <w:tcPr>
            <w:tcW w:w="2741" w:type="dxa"/>
          </w:tcPr>
          <w:p w14:paraId="62E612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All buildings, building-value EAL</w:t>
            </w:r>
          </w:p>
        </w:tc>
        <w:tc>
          <w:tcPr>
            <w:tcW w:w="2209" w:type="dxa"/>
          </w:tcPr>
          <w:p w14:paraId="2F71DE4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Riverine renamed inland flooding and now includes pluvial</w:t>
            </w:r>
          </w:p>
        </w:tc>
      </w:tr>
      <w:tr w:rsidR="00B57608" w:rsidRPr="00961F99" w14:paraId="1C80AA8A" w14:textId="77777777" w:rsidTr="00376A59">
        <w:trPr>
          <w:jc w:val="center"/>
        </w:trPr>
        <w:tc>
          <w:tcPr>
            <w:tcW w:w="2412" w:type="dxa"/>
          </w:tcPr>
          <w:p w14:paraId="0526E0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NOAA billion-dollar disasters, 1980–2024</w:t>
            </w:r>
          </w:p>
        </w:tc>
        <w:tc>
          <w:tcPr>
            <w:tcW w:w="2083" w:type="dxa"/>
          </w:tcPr>
          <w:p w14:paraId="3F8B5DFC" w14:textId="77777777" w:rsidR="00B57608" w:rsidRPr="00961F99" w:rsidRDefault="00000000" w:rsidP="00757EC6">
            <w:pPr>
              <w:spacing w:after="20"/>
              <w:jc w:val="both"/>
              <w:rPr>
                <w:rFonts w:asciiTheme="majorBidi" w:hAnsiTheme="majorBidi" w:cstheme="majorBidi"/>
              </w:rPr>
            </w:pPr>
            <w:sdt>
              <w:sdtPr>
                <w:rPr>
                  <w:rFonts w:asciiTheme="majorBidi" w:hAnsiTheme="majorBidi" w:cstheme="majorBidi"/>
                </w:rPr>
                <w:tag w:val="goog_rdk_5"/>
                <w:id w:val="148011915"/>
              </w:sdtPr>
              <w:sdtContent>
                <w:r w:rsidR="003B27C7" w:rsidRPr="00961F99">
                  <w:rPr>
                    <w:rFonts w:asciiTheme="majorBidi" w:eastAsia="Gungsuh" w:hAnsiTheme="majorBidi" w:cstheme="majorBidi"/>
                    <w:sz w:val="16"/>
                    <w:szCs w:val="16"/>
                  </w:rPr>
                  <w:t>≈ 4.5</w:t>
                </w:r>
              </w:sdtContent>
            </w:sdt>
          </w:p>
        </w:tc>
        <w:tc>
          <w:tcPr>
            <w:tcW w:w="2741" w:type="dxa"/>
          </w:tcPr>
          <w:p w14:paraId="60A15E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Realized losses, billion-dollar events only</w:t>
            </w:r>
          </w:p>
        </w:tc>
        <w:tc>
          <w:tcPr>
            <w:tcW w:w="2209" w:type="dxa"/>
          </w:tcPr>
          <w:p w14:paraId="29C2429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Excludes tropical-cyclone flooding; a floor, not a ceiling</w:t>
            </w:r>
          </w:p>
        </w:tc>
      </w:tr>
    </w:tbl>
    <w:p w14:paraId="0F1B3F43" w14:textId="77777777" w:rsidR="00B57608" w:rsidRPr="00961F99" w:rsidRDefault="00B57608" w:rsidP="00757EC6">
      <w:pPr>
        <w:spacing w:after="40"/>
        <w:jc w:val="both"/>
        <w:rPr>
          <w:rFonts w:asciiTheme="majorBidi" w:hAnsiTheme="majorBidi" w:cstheme="majorBidi"/>
        </w:rPr>
      </w:pPr>
    </w:p>
    <w:p w14:paraId="235699A0"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lastRenderedPageBreak/>
        <w:t>C2. Benchmarking the insured slice</w:t>
      </w:r>
    </w:p>
    <w:p w14:paraId="4C505003" w14:textId="3871D50E"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The insured portion of the reconstruction admits a more direct comparison, because an independent federal measurement of the same portfolio exists. Expected covered payout on the reconstructed portfolio is $4.80 billion per year. The Congressional Budget Office, </w:t>
      </w:r>
      <w:r w:rsidR="00673BD8" w:rsidRPr="00961F99">
        <w:rPr>
          <w:rFonts w:asciiTheme="majorBidi" w:hAnsiTheme="majorBidi" w:cstheme="majorBidi"/>
        </w:rPr>
        <w:t>analyzing</w:t>
      </w:r>
      <w:r w:rsidRPr="00961F99">
        <w:rPr>
          <w:rFonts w:asciiTheme="majorBidi" w:hAnsiTheme="majorBidi" w:cstheme="majorBidi"/>
        </w:rPr>
        <w:t xml:space="preserve"> the actual NFIP book, estimated approximately $3.7 billion in expected annual claims covering both building and contents coverage in 2016–2017 dollars; adjusting that figure for inflation alone brings it close to our building-only estimate, and the two are of the same order on different accounting bases. The aggregate net gap between expected payout and the risk-premium base is $1.81 billion per year, against the Congressional Budget Office's estimate of a $1.4 billion national one-year shortfall under a different program-accounting framework; that estimate rises to approximately $1.8 billion when expressed in 2024 dollars. The geography also agrees: the federal analysis found its shortfall concentrated in coastal counties, and NFIP shortfall in our reconstruction concentrates along the Gulf and Atlantic coasts.</w:t>
      </w:r>
    </w:p>
    <w:p w14:paraId="401A6878"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Participation is consistent with the survey literature once the denominator is matched. Our combined-hazard insured share of 24.9% is computed over buildings with positive modeled expected loss, a substantially riskier population than the national building stock. Published take-up estimates of roughly 30% inside Special Flood Hazard Areas, of the order of 1–4% outside them or across all homeowners nationally, and of roughly 50–60% in high-participation coastal counties, bracket our hazard-specific shares of 59.0% coastal, 20.0% fluvial and 15.7% pluvial. The share of the coverage gap that lies outside mapped Special Flood Hazard Areas provides the closest external agreement available: an independent national analysis of single-family residences places 69% of the coverage gap outside those zones, against 70.9% in our broader building-scale reconstruction, from an entirely different modelling chain.</w:t>
      </w:r>
    </w:p>
    <w:p w14:paraId="50269437"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C3. The hazard composition of loss</w:t>
      </w:r>
    </w:p>
    <w:p w14:paraId="24A296DA" w14:textId="77777777" w:rsidR="00C30397" w:rsidRPr="00961F99" w:rsidRDefault="00C30397" w:rsidP="00757EC6">
      <w:pPr>
        <w:jc w:val="both"/>
        <w:rPr>
          <w:rFonts w:asciiTheme="majorBidi" w:hAnsiTheme="majorBidi" w:cstheme="majorBidi"/>
        </w:rPr>
      </w:pPr>
      <w:r w:rsidRPr="00961F99">
        <w:rPr>
          <w:rFonts w:asciiTheme="majorBidi" w:hAnsiTheme="majorBidi" w:cstheme="majorBidi"/>
        </w:rPr>
        <w:t xml:space="preserve">The aggregate benchmarks above do not provide a like-for-like comparison of pluvial, fluvial and coastal loss components. The claims literature nonetheless supports pluvial dominance from an independent direction. Analyses of NFIP claims outside Special Flood Hazard Areas attribute 87.1% of </w:t>
      </w:r>
      <w:proofErr w:type="spellStart"/>
      <w:r w:rsidRPr="00961F99">
        <w:rPr>
          <w:rFonts w:asciiTheme="majorBidi" w:hAnsiTheme="majorBidi" w:cstheme="majorBidi"/>
        </w:rPr>
        <w:t>analysable</w:t>
      </w:r>
      <w:proofErr w:type="spellEnd"/>
      <w:r w:rsidRPr="00961F99">
        <w:rPr>
          <w:rFonts w:asciiTheme="majorBidi" w:hAnsiTheme="majorBidi" w:cstheme="majorBidi"/>
        </w:rPr>
        <w:t xml:space="preserve"> claims to pluvial flooding, and a separate claims analysis attributes 74% of tropical-cyclone-related and 60% of non-tropical-cyclone flood claims to pluvial processes. Federal practice is converging </w:t>
      </w:r>
      <w:proofErr w:type="gramStart"/>
      <w:r w:rsidRPr="00961F99">
        <w:rPr>
          <w:rFonts w:asciiTheme="majorBidi" w:hAnsiTheme="majorBidi" w:cstheme="majorBidi"/>
        </w:rPr>
        <w:t>on</w:t>
      </w:r>
      <w:proofErr w:type="gramEnd"/>
      <w:r w:rsidRPr="00961F99">
        <w:rPr>
          <w:rFonts w:asciiTheme="majorBidi" w:hAnsiTheme="majorBidi" w:cstheme="majorBidi"/>
        </w:rPr>
        <w:t xml:space="preserve"> the same conclusion: the December 2025 revision of the National Risk Index folded pluvial flooding into a broader inland-flooding hazard precisely because the previous riverine-only category did not represent it. This classification change provides context for interpreting inland risk, rather than an additional finding of the present reconstruction.</w:t>
      </w:r>
    </w:p>
    <w:p w14:paraId="53646A2D" w14:textId="77777777" w:rsidR="00C30397" w:rsidRPr="00961F99" w:rsidRDefault="00C30397" w:rsidP="00757EC6">
      <w:pPr>
        <w:jc w:val="both"/>
        <w:rPr>
          <w:rFonts w:asciiTheme="majorBidi" w:hAnsiTheme="majorBidi" w:cstheme="majorBidi"/>
        </w:rPr>
      </w:pPr>
      <w:r w:rsidRPr="00961F99">
        <w:rPr>
          <w:rFonts w:asciiTheme="majorBidi" w:hAnsiTheme="majorBidi" w:cstheme="majorBidi"/>
        </w:rPr>
        <w:t>Two qualifications attach to the composition. The pluvial–fluvial boundary is model-defined, as set out in Section A2.1, so the pluvial total includes some small-channel fluvial loss. And the below-grade pathway, which contributes roughly two fifths of national expected annual loss, is concentrated in inland divisions where basements are prevalent, so it amplifies the inland share; Table S14 bounds that contribution by exclusion.</w:t>
      </w:r>
    </w:p>
    <w:p w14:paraId="72BF7DFA"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C4. Aggregation scale and hazard-model error</w:t>
      </w:r>
    </w:p>
    <w:p w14:paraId="3750C4C0"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The reliability of the tract-level comparisons rests on the aggregation argument set out in Section A2.2. Table S13 reports the area distribution of the census tracts used, which establishes that the aggregation units are large relative to the scale at which </w:t>
      </w:r>
      <w:proofErr w:type="gramStart"/>
      <w:r w:rsidRPr="00961F99">
        <w:rPr>
          <w:rFonts w:asciiTheme="majorBidi" w:hAnsiTheme="majorBidi" w:cstheme="majorBidi"/>
        </w:rPr>
        <w:t>published evaluations of models</w:t>
      </w:r>
      <w:proofErr w:type="gramEnd"/>
      <w:r w:rsidRPr="00961F99">
        <w:rPr>
          <w:rFonts w:asciiTheme="majorBidi" w:hAnsiTheme="majorBidi" w:cstheme="majorBidi"/>
        </w:rPr>
        <w:t xml:space="preserve"> in this family report that flooded-fraction errors fall to a few per cent. This does not eliminate hazard uncertainty; it means that the tract-scale </w:t>
      </w:r>
      <w:r w:rsidRPr="00961F99">
        <w:rPr>
          <w:rFonts w:asciiTheme="majorBidi" w:hAnsiTheme="majorBidi" w:cstheme="majorBidi"/>
        </w:rPr>
        <w:lastRenderedPageBreak/>
        <w:t>quantities carrying the analysis are far better constrained than any individual building-scale prediction, and it is the reason results are presented as tract-level geography and channel shares rather than as building-level attributions.</w:t>
      </w:r>
    </w:p>
    <w:p w14:paraId="3098C701"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S13 | </w:t>
      </w:r>
      <w:r w:rsidRPr="00961F99">
        <w:rPr>
          <w:rFonts w:asciiTheme="majorBidi" w:hAnsiTheme="majorBidi" w:cstheme="majorBidi"/>
          <w:sz w:val="19"/>
          <w:szCs w:val="19"/>
        </w:rPr>
        <w:t>Area distribution of the census tracts used as the aggregation unit, computed on an equal-area projection. Tract areas are strongly right-skewed because tracts are population-based units: dense urban tracts are small while rural tracts are very large.</w:t>
      </w:r>
    </w:p>
    <w:tbl>
      <w:tblPr>
        <w:tblStyle w:val="ab"/>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4"/>
        <w:gridCol w:w="4531"/>
      </w:tblGrid>
      <w:tr w:rsidR="00B57608" w:rsidRPr="00961F99" w14:paraId="7DD7B38E" w14:textId="77777777" w:rsidTr="00376A59">
        <w:trPr>
          <w:tblHeader/>
          <w:jc w:val="center"/>
        </w:trPr>
        <w:tc>
          <w:tcPr>
            <w:tcW w:w="4824" w:type="dxa"/>
          </w:tcPr>
          <w:p w14:paraId="70172F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Statistic</w:t>
            </w:r>
          </w:p>
        </w:tc>
        <w:tc>
          <w:tcPr>
            <w:tcW w:w="4531" w:type="dxa"/>
          </w:tcPr>
          <w:p w14:paraId="447CAB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Value</w:t>
            </w:r>
          </w:p>
        </w:tc>
      </w:tr>
      <w:tr w:rsidR="00B57608" w:rsidRPr="00961F99" w14:paraId="15CB9840" w14:textId="77777777" w:rsidTr="00376A59">
        <w:trPr>
          <w:jc w:val="center"/>
        </w:trPr>
        <w:tc>
          <w:tcPr>
            <w:tcW w:w="4824" w:type="dxa"/>
          </w:tcPr>
          <w:p w14:paraId="571057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Census tracts in the spatial layer</w:t>
            </w:r>
          </w:p>
        </w:tc>
        <w:tc>
          <w:tcPr>
            <w:tcW w:w="4531" w:type="dxa"/>
          </w:tcPr>
          <w:p w14:paraId="29073D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83,954</w:t>
            </w:r>
          </w:p>
        </w:tc>
      </w:tr>
      <w:tr w:rsidR="00B57608" w:rsidRPr="00961F99" w14:paraId="00F2DDB2" w14:textId="77777777" w:rsidTr="00376A59">
        <w:trPr>
          <w:jc w:val="center"/>
        </w:trPr>
        <w:tc>
          <w:tcPr>
            <w:tcW w:w="4824" w:type="dxa"/>
          </w:tcPr>
          <w:p w14:paraId="3E9C7E1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Mean tract area (km²)</w:t>
            </w:r>
          </w:p>
        </w:tc>
        <w:tc>
          <w:tcPr>
            <w:tcW w:w="4531" w:type="dxa"/>
          </w:tcPr>
          <w:p w14:paraId="149DB3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117.0</w:t>
            </w:r>
          </w:p>
        </w:tc>
      </w:tr>
      <w:tr w:rsidR="00B57608" w:rsidRPr="00961F99" w14:paraId="4FE96A80" w14:textId="77777777" w:rsidTr="00376A59">
        <w:trPr>
          <w:jc w:val="center"/>
        </w:trPr>
        <w:tc>
          <w:tcPr>
            <w:tcW w:w="4824" w:type="dxa"/>
          </w:tcPr>
          <w:p w14:paraId="002FAC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Median tract area (km²)</w:t>
            </w:r>
          </w:p>
        </w:tc>
        <w:tc>
          <w:tcPr>
            <w:tcW w:w="4531" w:type="dxa"/>
          </w:tcPr>
          <w:p w14:paraId="3FFFB5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4.90</w:t>
            </w:r>
          </w:p>
        </w:tc>
      </w:tr>
      <w:tr w:rsidR="00B57608" w:rsidRPr="00961F99" w14:paraId="00584B6C" w14:textId="77777777" w:rsidTr="00376A59">
        <w:trPr>
          <w:jc w:val="center"/>
        </w:trPr>
        <w:tc>
          <w:tcPr>
            <w:tcW w:w="4824" w:type="dxa"/>
          </w:tcPr>
          <w:p w14:paraId="48A78A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5th percentile (km²)</w:t>
            </w:r>
          </w:p>
        </w:tc>
        <w:tc>
          <w:tcPr>
            <w:tcW w:w="4531" w:type="dxa"/>
          </w:tcPr>
          <w:p w14:paraId="5E871C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0.42</w:t>
            </w:r>
          </w:p>
        </w:tc>
      </w:tr>
      <w:tr w:rsidR="00B57608" w:rsidRPr="00961F99" w14:paraId="42FCCE47" w14:textId="77777777" w:rsidTr="00376A59">
        <w:trPr>
          <w:jc w:val="center"/>
        </w:trPr>
        <w:tc>
          <w:tcPr>
            <w:tcW w:w="4824" w:type="dxa"/>
          </w:tcPr>
          <w:p w14:paraId="565218B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25th percentile (km²)</w:t>
            </w:r>
          </w:p>
        </w:tc>
        <w:tc>
          <w:tcPr>
            <w:tcW w:w="4531" w:type="dxa"/>
          </w:tcPr>
          <w:p w14:paraId="268B245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1.81</w:t>
            </w:r>
          </w:p>
        </w:tc>
      </w:tr>
      <w:tr w:rsidR="00B57608" w:rsidRPr="00961F99" w14:paraId="41279CBB" w14:textId="77777777" w:rsidTr="00376A59">
        <w:trPr>
          <w:jc w:val="center"/>
        </w:trPr>
        <w:tc>
          <w:tcPr>
            <w:tcW w:w="4824" w:type="dxa"/>
          </w:tcPr>
          <w:p w14:paraId="778262F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75th percentile (km²)</w:t>
            </w:r>
          </w:p>
        </w:tc>
        <w:tc>
          <w:tcPr>
            <w:tcW w:w="4531" w:type="dxa"/>
          </w:tcPr>
          <w:p w14:paraId="601C85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32.1</w:t>
            </w:r>
          </w:p>
        </w:tc>
      </w:tr>
      <w:tr w:rsidR="00B57608" w:rsidRPr="00961F99" w14:paraId="2DBA3E01" w14:textId="77777777" w:rsidTr="00376A59">
        <w:trPr>
          <w:jc w:val="center"/>
        </w:trPr>
        <w:tc>
          <w:tcPr>
            <w:tcW w:w="4824" w:type="dxa"/>
          </w:tcPr>
          <w:p w14:paraId="27B4873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95th percentile (km²)</w:t>
            </w:r>
          </w:p>
        </w:tc>
        <w:tc>
          <w:tcPr>
            <w:tcW w:w="4531" w:type="dxa"/>
          </w:tcPr>
          <w:p w14:paraId="53B3A47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378.6</w:t>
            </w:r>
          </w:p>
        </w:tc>
      </w:tr>
      <w:tr w:rsidR="00B57608" w:rsidRPr="00961F99" w14:paraId="3C5CD204" w14:textId="77777777" w:rsidTr="00376A59">
        <w:trPr>
          <w:jc w:val="center"/>
        </w:trPr>
        <w:tc>
          <w:tcPr>
            <w:tcW w:w="4824" w:type="dxa"/>
          </w:tcPr>
          <w:p w14:paraId="5CE98A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Share of tracts larger than 1 km²</w:t>
            </w:r>
          </w:p>
        </w:tc>
        <w:tc>
          <w:tcPr>
            <w:tcW w:w="4531" w:type="dxa"/>
          </w:tcPr>
          <w:p w14:paraId="0663C3D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87.3%</w:t>
            </w:r>
          </w:p>
        </w:tc>
      </w:tr>
    </w:tbl>
    <w:p w14:paraId="4FF1C529" w14:textId="77777777" w:rsidR="00B57608" w:rsidRPr="00961F99" w:rsidRDefault="00B57608" w:rsidP="00757EC6">
      <w:pPr>
        <w:spacing w:after="40"/>
        <w:jc w:val="both"/>
        <w:rPr>
          <w:rFonts w:asciiTheme="majorBidi" w:hAnsiTheme="majorBidi" w:cstheme="majorBidi"/>
        </w:rPr>
      </w:pPr>
    </w:p>
    <w:p w14:paraId="09258A58"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br w:type="page"/>
      </w:r>
    </w:p>
    <w:p w14:paraId="0038FA49" w14:textId="77777777" w:rsidR="00B57608" w:rsidRPr="00961F99" w:rsidRDefault="003B27C7" w:rsidP="00757EC6">
      <w:pPr>
        <w:pStyle w:val="Heading1"/>
        <w:spacing w:before="280" w:after="80"/>
        <w:jc w:val="both"/>
        <w:rPr>
          <w:rFonts w:asciiTheme="majorBidi" w:eastAsia="Times New Roman" w:hAnsiTheme="majorBidi" w:cstheme="majorBidi"/>
        </w:rPr>
      </w:pPr>
      <w:r w:rsidRPr="00961F99">
        <w:rPr>
          <w:rFonts w:asciiTheme="majorBidi" w:eastAsia="Times New Roman" w:hAnsiTheme="majorBidi" w:cstheme="majorBidi"/>
        </w:rPr>
        <w:lastRenderedPageBreak/>
        <w:t>Part D. Sensitivity and robustness</w:t>
      </w:r>
    </w:p>
    <w:p w14:paraId="24E66B5C"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Every quantity in this Part varies one element of the central specification at a time and recomputes the full loss chain. The resulting range is a specification envelope, not a confidence interval: it describes how far the national estimate moves under defensible alternative choices, and it makes no probabilistic statement about which choice is correct. The consistent finding across the whole Part is that absolute loss levels are sensitive to several choices while the allocation between burden channels is not.</w:t>
      </w:r>
    </w:p>
    <w:p w14:paraId="36B15BAD"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D1. Robustness of the reallocation profile</w:t>
      </w:r>
    </w:p>
    <w:p w14:paraId="4D16C700"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The reallocation profile in the main text is a smooth fit to binned means. Figure S13 reports the underlying bin means with 95% confidence intervals, so that the rise and the upper-tail reversal can be judged against the sampling variability of the bins rather than against the smoothed curve alone. The rise through the middle of the distribution is well resolved. The reversal in the upper tail rests on comparatively few buildings, so the precise position of the threshold is less certain than the existence of the reversal; the mechanism behind it is quantified directly in Section D8 and Table S23.</w:t>
      </w:r>
    </w:p>
    <w:p w14:paraId="7DDD2BF4"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drawing>
          <wp:inline distT="0" distB="0" distL="0" distR="0" wp14:anchorId="2FA9118D" wp14:editId="7633004D">
            <wp:extent cx="5942965" cy="4276454"/>
            <wp:effectExtent l="0" t="0" r="635" b="0"/>
            <wp:docPr id="2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19"/>
                    <a:srcRect t="6067"/>
                    <a:stretch>
                      <a:fillRect/>
                    </a:stretch>
                  </pic:blipFill>
                  <pic:spPr bwMode="auto">
                    <a:xfrm>
                      <a:off x="0" y="0"/>
                      <a:ext cx="5943600" cy="4276911"/>
                    </a:xfrm>
                    <a:prstGeom prst="rect">
                      <a:avLst/>
                    </a:prstGeom>
                    <a:ln>
                      <a:noFill/>
                    </a:ln>
                    <a:extLst>
                      <a:ext uri="{53640926-AAD7-44D8-BBD7-CCE9431645EC}">
                        <a14:shadowObscured xmlns:a14="http://schemas.microsoft.com/office/drawing/2010/main"/>
                      </a:ext>
                    </a:extLst>
                  </pic:spPr>
                </pic:pic>
              </a:graphicData>
            </a:graphic>
          </wp:inline>
        </w:drawing>
      </w:r>
    </w:p>
    <w:p w14:paraId="28EC317E"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Supplementary Figure S13 | Mean building-level NFIP-shortfall share within logarithmically spaced expected-annual-loss bins, with 95% confidence intervals and the reallocation threshold marked.</w:t>
      </w:r>
      <w:r w:rsidRPr="00961F99">
        <w:rPr>
          <w:rFonts w:asciiTheme="majorBidi" w:hAnsiTheme="majorBidi" w:cstheme="majorBidi"/>
          <w:sz w:val="19"/>
          <w:szCs w:val="19"/>
        </w:rPr>
        <w:t xml:space="preserve"> This is the unsmoothed companion to the reallocation panel of main-text Figure 4. The decline beyond the threshold is the aggregate signature of statutory-limit censoring quantified in Table S23, while Table S25 decomposes the corresponding residual loss across expected-loss bins.</w:t>
      </w:r>
    </w:p>
    <w:p w14:paraId="08338060"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lastRenderedPageBreak/>
        <w:t>D2. Specification grid</w:t>
      </w:r>
    </w:p>
    <w:p w14:paraId="3AD08EEF"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S14 | </w:t>
      </w:r>
      <w:r w:rsidRPr="00961F99">
        <w:rPr>
          <w:rFonts w:asciiTheme="majorBidi" w:hAnsiTheme="majorBidi" w:cstheme="majorBidi"/>
          <w:sz w:val="19"/>
          <w:szCs w:val="19"/>
        </w:rPr>
        <w:t>Specification grid for the combined hazard layer. Each row varies one element of the central specification and recomputes the full loss chain: the first-floor height scenario (stratum quartiles), the return-period floor, the below-grade and enclosure pathways, the integration rule, the premium-base definition, the basement-assignment seed, and a pluvial drainage bound that removes the first 0.2 m of pluvial depth.</w:t>
      </w:r>
    </w:p>
    <w:tbl>
      <w:tblPr>
        <w:tblStyle w:val="ac"/>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3"/>
        <w:gridCol w:w="1608"/>
        <w:gridCol w:w="1608"/>
        <w:gridCol w:w="1608"/>
        <w:gridCol w:w="1608"/>
        <w:gridCol w:w="1495"/>
      </w:tblGrid>
      <w:tr w:rsidR="00B57608" w:rsidRPr="00961F99" w14:paraId="28A41824" w14:textId="77777777" w:rsidTr="00376A59">
        <w:trPr>
          <w:tblHeader/>
          <w:jc w:val="center"/>
        </w:trPr>
        <w:tc>
          <w:tcPr>
            <w:tcW w:w="1523" w:type="dxa"/>
          </w:tcPr>
          <w:p w14:paraId="6E0839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Specification</w:t>
            </w:r>
          </w:p>
        </w:tc>
        <w:tc>
          <w:tcPr>
            <w:tcW w:w="1608" w:type="dxa"/>
          </w:tcPr>
          <w:p w14:paraId="4C8618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EAL ($B yr⁻¹)</w:t>
            </w:r>
          </w:p>
        </w:tc>
        <w:tc>
          <w:tcPr>
            <w:tcW w:w="1608" w:type="dxa"/>
          </w:tcPr>
          <w:p w14:paraId="4F6177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Expected payout ($B yr⁻¹)</w:t>
            </w:r>
          </w:p>
        </w:tc>
        <w:tc>
          <w:tcPr>
            <w:tcW w:w="1608" w:type="dxa"/>
          </w:tcPr>
          <w:p w14:paraId="692FBA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Public shortfall ($B yr⁻¹)</w:t>
            </w:r>
          </w:p>
        </w:tc>
        <w:tc>
          <w:tcPr>
            <w:tcW w:w="1608" w:type="dxa"/>
          </w:tcPr>
          <w:p w14:paraId="670E32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NFIP shortfall ($B yr⁻¹)</w:t>
            </w:r>
          </w:p>
        </w:tc>
        <w:tc>
          <w:tcPr>
            <w:tcW w:w="1495" w:type="dxa"/>
          </w:tcPr>
          <w:p w14:paraId="26AF28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Public share of EAL</w:t>
            </w:r>
          </w:p>
        </w:tc>
      </w:tr>
      <w:tr w:rsidR="00B57608" w:rsidRPr="00961F99" w14:paraId="28A23C54" w14:textId="77777777" w:rsidTr="00376A59">
        <w:trPr>
          <w:jc w:val="center"/>
        </w:trPr>
        <w:tc>
          <w:tcPr>
            <w:tcW w:w="1523" w:type="dxa"/>
          </w:tcPr>
          <w:p w14:paraId="3A3EEAD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central</w:t>
            </w:r>
          </w:p>
        </w:tc>
        <w:tc>
          <w:tcPr>
            <w:tcW w:w="1608" w:type="dxa"/>
          </w:tcPr>
          <w:p w14:paraId="1AC49B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25.67</w:t>
            </w:r>
          </w:p>
        </w:tc>
        <w:tc>
          <w:tcPr>
            <w:tcW w:w="1608" w:type="dxa"/>
          </w:tcPr>
          <w:p w14:paraId="039C51F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4.80</w:t>
            </w:r>
          </w:p>
        </w:tc>
        <w:tc>
          <w:tcPr>
            <w:tcW w:w="1608" w:type="dxa"/>
          </w:tcPr>
          <w:p w14:paraId="1F0235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20.87</w:t>
            </w:r>
          </w:p>
        </w:tc>
        <w:tc>
          <w:tcPr>
            <w:tcW w:w="1608" w:type="dxa"/>
          </w:tcPr>
          <w:p w14:paraId="32CCFF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3.59</w:t>
            </w:r>
          </w:p>
        </w:tc>
        <w:tc>
          <w:tcPr>
            <w:tcW w:w="1495" w:type="dxa"/>
          </w:tcPr>
          <w:p w14:paraId="7D650C9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81.3%</w:t>
            </w:r>
          </w:p>
        </w:tc>
      </w:tr>
      <w:tr w:rsidR="00B57608" w:rsidRPr="00961F99" w14:paraId="34EA58AA" w14:textId="77777777" w:rsidTr="00376A59">
        <w:trPr>
          <w:jc w:val="center"/>
        </w:trPr>
        <w:tc>
          <w:tcPr>
            <w:tcW w:w="1523" w:type="dxa"/>
          </w:tcPr>
          <w:p w14:paraId="72F133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first-floor low scenario (stratum q25)</w:t>
            </w:r>
          </w:p>
        </w:tc>
        <w:tc>
          <w:tcPr>
            <w:tcW w:w="1608" w:type="dxa"/>
          </w:tcPr>
          <w:p w14:paraId="2A40D0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38.93</w:t>
            </w:r>
          </w:p>
        </w:tc>
        <w:tc>
          <w:tcPr>
            <w:tcW w:w="1608" w:type="dxa"/>
          </w:tcPr>
          <w:p w14:paraId="1395D50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7.22</w:t>
            </w:r>
          </w:p>
        </w:tc>
        <w:tc>
          <w:tcPr>
            <w:tcW w:w="1608" w:type="dxa"/>
          </w:tcPr>
          <w:p w14:paraId="761A67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31.71</w:t>
            </w:r>
          </w:p>
        </w:tc>
        <w:tc>
          <w:tcPr>
            <w:tcW w:w="1608" w:type="dxa"/>
          </w:tcPr>
          <w:p w14:paraId="6E13B4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5.66</w:t>
            </w:r>
          </w:p>
        </w:tc>
        <w:tc>
          <w:tcPr>
            <w:tcW w:w="1495" w:type="dxa"/>
          </w:tcPr>
          <w:p w14:paraId="04EDE15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81.4%</w:t>
            </w:r>
          </w:p>
        </w:tc>
      </w:tr>
      <w:tr w:rsidR="00B57608" w:rsidRPr="00961F99" w14:paraId="2F09686D" w14:textId="77777777" w:rsidTr="00376A59">
        <w:trPr>
          <w:jc w:val="center"/>
        </w:trPr>
        <w:tc>
          <w:tcPr>
            <w:tcW w:w="1523" w:type="dxa"/>
          </w:tcPr>
          <w:p w14:paraId="1D5842F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first-floor high scenario (stratum q75)</w:t>
            </w:r>
          </w:p>
        </w:tc>
        <w:tc>
          <w:tcPr>
            <w:tcW w:w="1608" w:type="dxa"/>
          </w:tcPr>
          <w:p w14:paraId="5E0E6D2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15.35</w:t>
            </w:r>
          </w:p>
        </w:tc>
        <w:tc>
          <w:tcPr>
            <w:tcW w:w="1608" w:type="dxa"/>
          </w:tcPr>
          <w:p w14:paraId="6A7D4B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2.84</w:t>
            </w:r>
          </w:p>
        </w:tc>
        <w:tc>
          <w:tcPr>
            <w:tcW w:w="1608" w:type="dxa"/>
          </w:tcPr>
          <w:p w14:paraId="63C936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12.52</w:t>
            </w:r>
          </w:p>
        </w:tc>
        <w:tc>
          <w:tcPr>
            <w:tcW w:w="1608" w:type="dxa"/>
          </w:tcPr>
          <w:p w14:paraId="3933D62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1.92</w:t>
            </w:r>
          </w:p>
        </w:tc>
        <w:tc>
          <w:tcPr>
            <w:tcW w:w="1495" w:type="dxa"/>
          </w:tcPr>
          <w:p w14:paraId="14AC3F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81.5%</w:t>
            </w:r>
          </w:p>
        </w:tc>
      </w:tr>
      <w:tr w:rsidR="00B57608" w:rsidRPr="00961F99" w14:paraId="2F849613" w14:textId="77777777" w:rsidTr="00376A59">
        <w:trPr>
          <w:jc w:val="center"/>
        </w:trPr>
        <w:tc>
          <w:tcPr>
            <w:tcW w:w="1523" w:type="dxa"/>
          </w:tcPr>
          <w:p w14:paraId="16F7E9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RP floor T&gt;=10</w:t>
            </w:r>
          </w:p>
        </w:tc>
        <w:tc>
          <w:tcPr>
            <w:tcW w:w="1608" w:type="dxa"/>
          </w:tcPr>
          <w:p w14:paraId="3FD12CE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21.86</w:t>
            </w:r>
          </w:p>
        </w:tc>
        <w:tc>
          <w:tcPr>
            <w:tcW w:w="1608" w:type="dxa"/>
          </w:tcPr>
          <w:p w14:paraId="56B43BB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4.28</w:t>
            </w:r>
          </w:p>
        </w:tc>
        <w:tc>
          <w:tcPr>
            <w:tcW w:w="1608" w:type="dxa"/>
          </w:tcPr>
          <w:p w14:paraId="5B638BE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17.57</w:t>
            </w:r>
          </w:p>
        </w:tc>
        <w:tc>
          <w:tcPr>
            <w:tcW w:w="1608" w:type="dxa"/>
          </w:tcPr>
          <w:p w14:paraId="14FA43F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3.08</w:t>
            </w:r>
          </w:p>
        </w:tc>
        <w:tc>
          <w:tcPr>
            <w:tcW w:w="1495" w:type="dxa"/>
          </w:tcPr>
          <w:p w14:paraId="600EB6B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80.4%</w:t>
            </w:r>
          </w:p>
        </w:tc>
      </w:tr>
      <w:tr w:rsidR="00B57608" w:rsidRPr="00961F99" w14:paraId="166A3B13" w14:textId="77777777" w:rsidTr="00376A59">
        <w:trPr>
          <w:jc w:val="center"/>
        </w:trPr>
        <w:tc>
          <w:tcPr>
            <w:tcW w:w="1523" w:type="dxa"/>
          </w:tcPr>
          <w:p w14:paraId="0C7E199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below-grade pathway off</w:t>
            </w:r>
          </w:p>
        </w:tc>
        <w:tc>
          <w:tcPr>
            <w:tcW w:w="1608" w:type="dxa"/>
          </w:tcPr>
          <w:p w14:paraId="5CA882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15.22</w:t>
            </w:r>
          </w:p>
        </w:tc>
        <w:tc>
          <w:tcPr>
            <w:tcW w:w="1608" w:type="dxa"/>
          </w:tcPr>
          <w:p w14:paraId="47A947D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2.82</w:t>
            </w:r>
          </w:p>
        </w:tc>
        <w:tc>
          <w:tcPr>
            <w:tcW w:w="1608" w:type="dxa"/>
          </w:tcPr>
          <w:p w14:paraId="4435D0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12.40</w:t>
            </w:r>
          </w:p>
        </w:tc>
        <w:tc>
          <w:tcPr>
            <w:tcW w:w="1608" w:type="dxa"/>
          </w:tcPr>
          <w:p w14:paraId="5F9296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1.84</w:t>
            </w:r>
          </w:p>
        </w:tc>
        <w:tc>
          <w:tcPr>
            <w:tcW w:w="1495" w:type="dxa"/>
          </w:tcPr>
          <w:p w14:paraId="15AFDA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81.5%</w:t>
            </w:r>
          </w:p>
        </w:tc>
      </w:tr>
      <w:tr w:rsidR="00B57608" w:rsidRPr="00961F99" w14:paraId="083F9B17" w14:textId="77777777" w:rsidTr="00376A59">
        <w:trPr>
          <w:jc w:val="center"/>
        </w:trPr>
        <w:tc>
          <w:tcPr>
            <w:tcW w:w="1523" w:type="dxa"/>
          </w:tcPr>
          <w:p w14:paraId="046915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enclosure pathway off</w:t>
            </w:r>
          </w:p>
        </w:tc>
        <w:tc>
          <w:tcPr>
            <w:tcW w:w="1608" w:type="dxa"/>
          </w:tcPr>
          <w:p w14:paraId="4E745C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25.21</w:t>
            </w:r>
          </w:p>
        </w:tc>
        <w:tc>
          <w:tcPr>
            <w:tcW w:w="1608" w:type="dxa"/>
          </w:tcPr>
          <w:p w14:paraId="610922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4.54</w:t>
            </w:r>
          </w:p>
        </w:tc>
        <w:tc>
          <w:tcPr>
            <w:tcW w:w="1608" w:type="dxa"/>
          </w:tcPr>
          <w:p w14:paraId="367F33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20.67</w:t>
            </w:r>
          </w:p>
        </w:tc>
        <w:tc>
          <w:tcPr>
            <w:tcW w:w="1608" w:type="dxa"/>
          </w:tcPr>
          <w:p w14:paraId="48F5B1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3.43</w:t>
            </w:r>
          </w:p>
        </w:tc>
        <w:tc>
          <w:tcPr>
            <w:tcW w:w="1495" w:type="dxa"/>
          </w:tcPr>
          <w:p w14:paraId="14B1E8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82.0%</w:t>
            </w:r>
          </w:p>
        </w:tc>
      </w:tr>
      <w:tr w:rsidR="00B57608" w:rsidRPr="00961F99" w14:paraId="36D8F929" w14:textId="77777777" w:rsidTr="00376A59">
        <w:trPr>
          <w:jc w:val="center"/>
        </w:trPr>
        <w:tc>
          <w:tcPr>
            <w:tcW w:w="1523" w:type="dxa"/>
          </w:tcPr>
          <w:p w14:paraId="0B2D804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 xml:space="preserve">integration: </w:t>
            </w:r>
            <w:proofErr w:type="gramStart"/>
            <w:r w:rsidRPr="00961F99">
              <w:rPr>
                <w:rFonts w:asciiTheme="majorBidi" w:hAnsiTheme="majorBidi" w:cstheme="majorBidi"/>
                <w:sz w:val="16"/>
                <w:szCs w:val="16"/>
              </w:rPr>
              <w:t>left-step</w:t>
            </w:r>
            <w:proofErr w:type="gramEnd"/>
            <w:r w:rsidRPr="00961F99">
              <w:rPr>
                <w:rFonts w:asciiTheme="majorBidi" w:hAnsiTheme="majorBidi" w:cstheme="majorBidi"/>
                <w:sz w:val="16"/>
                <w:szCs w:val="16"/>
              </w:rPr>
              <w:t xml:space="preserve"> (lower bound)</w:t>
            </w:r>
          </w:p>
        </w:tc>
        <w:tc>
          <w:tcPr>
            <w:tcW w:w="1608" w:type="dxa"/>
          </w:tcPr>
          <w:p w14:paraId="6B9FAD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10.55</w:t>
            </w:r>
          </w:p>
        </w:tc>
        <w:tc>
          <w:tcPr>
            <w:tcW w:w="1608" w:type="dxa"/>
          </w:tcPr>
          <w:p w14:paraId="67C6D2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1.70</w:t>
            </w:r>
          </w:p>
        </w:tc>
        <w:tc>
          <w:tcPr>
            <w:tcW w:w="1608" w:type="dxa"/>
          </w:tcPr>
          <w:p w14:paraId="5181DAE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8.85</w:t>
            </w:r>
          </w:p>
        </w:tc>
        <w:tc>
          <w:tcPr>
            <w:tcW w:w="1608" w:type="dxa"/>
          </w:tcPr>
          <w:p w14:paraId="7DB8DA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0.92</w:t>
            </w:r>
          </w:p>
        </w:tc>
        <w:tc>
          <w:tcPr>
            <w:tcW w:w="1495" w:type="dxa"/>
          </w:tcPr>
          <w:p w14:paraId="37AE5A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83.9%</w:t>
            </w:r>
          </w:p>
        </w:tc>
      </w:tr>
      <w:tr w:rsidR="00B57608" w:rsidRPr="00961F99" w14:paraId="73CDB8B8" w14:textId="77777777" w:rsidTr="00376A59">
        <w:trPr>
          <w:jc w:val="center"/>
        </w:trPr>
        <w:tc>
          <w:tcPr>
            <w:tcW w:w="1523" w:type="dxa"/>
          </w:tcPr>
          <w:p w14:paraId="3CDB65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integration: upper-Riemann (upper bound)</w:t>
            </w:r>
          </w:p>
        </w:tc>
        <w:tc>
          <w:tcPr>
            <w:tcW w:w="1608" w:type="dxa"/>
          </w:tcPr>
          <w:p w14:paraId="47DA3D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47.07</w:t>
            </w:r>
          </w:p>
        </w:tc>
        <w:tc>
          <w:tcPr>
            <w:tcW w:w="1608" w:type="dxa"/>
          </w:tcPr>
          <w:p w14:paraId="1A68DDE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9.35</w:t>
            </w:r>
          </w:p>
        </w:tc>
        <w:tc>
          <w:tcPr>
            <w:tcW w:w="1608" w:type="dxa"/>
          </w:tcPr>
          <w:p w14:paraId="4416C85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37.72</w:t>
            </w:r>
          </w:p>
        </w:tc>
        <w:tc>
          <w:tcPr>
            <w:tcW w:w="1608" w:type="dxa"/>
          </w:tcPr>
          <w:p w14:paraId="39111D2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7.80</w:t>
            </w:r>
          </w:p>
        </w:tc>
        <w:tc>
          <w:tcPr>
            <w:tcW w:w="1495" w:type="dxa"/>
          </w:tcPr>
          <w:p w14:paraId="60994A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80.1%</w:t>
            </w:r>
          </w:p>
        </w:tc>
      </w:tr>
      <w:tr w:rsidR="00B57608" w:rsidRPr="00961F99" w14:paraId="0CBEE6FF" w14:textId="77777777" w:rsidTr="00376A59">
        <w:trPr>
          <w:jc w:val="center"/>
        </w:trPr>
        <w:tc>
          <w:tcPr>
            <w:tcW w:w="1523" w:type="dxa"/>
          </w:tcPr>
          <w:p w14:paraId="36345F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premium base: total policy cost</w:t>
            </w:r>
          </w:p>
        </w:tc>
        <w:tc>
          <w:tcPr>
            <w:tcW w:w="1608" w:type="dxa"/>
          </w:tcPr>
          <w:p w14:paraId="1235518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25.67</w:t>
            </w:r>
          </w:p>
        </w:tc>
        <w:tc>
          <w:tcPr>
            <w:tcW w:w="1608" w:type="dxa"/>
          </w:tcPr>
          <w:p w14:paraId="2285FA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4.80</w:t>
            </w:r>
          </w:p>
        </w:tc>
        <w:tc>
          <w:tcPr>
            <w:tcW w:w="1608" w:type="dxa"/>
          </w:tcPr>
          <w:p w14:paraId="08E59CB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20.87</w:t>
            </w:r>
          </w:p>
        </w:tc>
        <w:tc>
          <w:tcPr>
            <w:tcW w:w="1608" w:type="dxa"/>
          </w:tcPr>
          <w:p w14:paraId="6BB8EB6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3.26</w:t>
            </w:r>
          </w:p>
        </w:tc>
        <w:tc>
          <w:tcPr>
            <w:tcW w:w="1495" w:type="dxa"/>
          </w:tcPr>
          <w:p w14:paraId="302B6B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81.3%</w:t>
            </w:r>
          </w:p>
        </w:tc>
      </w:tr>
      <w:tr w:rsidR="00B57608" w:rsidRPr="00961F99" w14:paraId="6016436C" w14:textId="77777777" w:rsidTr="00376A59">
        <w:trPr>
          <w:jc w:val="center"/>
        </w:trPr>
        <w:tc>
          <w:tcPr>
            <w:tcW w:w="1523" w:type="dxa"/>
          </w:tcPr>
          <w:p w14:paraId="12B08F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basement assignment: alternative seed</w:t>
            </w:r>
          </w:p>
        </w:tc>
        <w:tc>
          <w:tcPr>
            <w:tcW w:w="1608" w:type="dxa"/>
          </w:tcPr>
          <w:p w14:paraId="1A8079B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25.67</w:t>
            </w:r>
          </w:p>
        </w:tc>
        <w:tc>
          <w:tcPr>
            <w:tcW w:w="1608" w:type="dxa"/>
          </w:tcPr>
          <w:p w14:paraId="4DCABC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4.81</w:t>
            </w:r>
          </w:p>
        </w:tc>
        <w:tc>
          <w:tcPr>
            <w:tcW w:w="1608" w:type="dxa"/>
          </w:tcPr>
          <w:p w14:paraId="75AB4B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20.87</w:t>
            </w:r>
          </w:p>
        </w:tc>
        <w:tc>
          <w:tcPr>
            <w:tcW w:w="1608" w:type="dxa"/>
          </w:tcPr>
          <w:p w14:paraId="47815B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3.60</w:t>
            </w:r>
          </w:p>
        </w:tc>
        <w:tc>
          <w:tcPr>
            <w:tcW w:w="1495" w:type="dxa"/>
          </w:tcPr>
          <w:p w14:paraId="48AE41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81.3%</w:t>
            </w:r>
          </w:p>
        </w:tc>
      </w:tr>
      <w:tr w:rsidR="00B57608" w:rsidRPr="00961F99" w14:paraId="0EAC80DD" w14:textId="77777777" w:rsidTr="00376A59">
        <w:trPr>
          <w:jc w:val="center"/>
        </w:trPr>
        <w:tc>
          <w:tcPr>
            <w:tcW w:w="1523" w:type="dxa"/>
          </w:tcPr>
          <w:p w14:paraId="512567B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pluvial drainage bound (-0.2 m PD)</w:t>
            </w:r>
          </w:p>
        </w:tc>
        <w:tc>
          <w:tcPr>
            <w:tcW w:w="1608" w:type="dxa"/>
          </w:tcPr>
          <w:p w14:paraId="2308BD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19.76</w:t>
            </w:r>
          </w:p>
        </w:tc>
        <w:tc>
          <w:tcPr>
            <w:tcW w:w="1608" w:type="dxa"/>
          </w:tcPr>
          <w:p w14:paraId="215633A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3.95</w:t>
            </w:r>
          </w:p>
        </w:tc>
        <w:tc>
          <w:tcPr>
            <w:tcW w:w="1608" w:type="dxa"/>
          </w:tcPr>
          <w:p w14:paraId="0307E8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15.81</w:t>
            </w:r>
          </w:p>
        </w:tc>
        <w:tc>
          <w:tcPr>
            <w:tcW w:w="1608" w:type="dxa"/>
          </w:tcPr>
          <w:p w14:paraId="617532D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2.88</w:t>
            </w:r>
          </w:p>
        </w:tc>
        <w:tc>
          <w:tcPr>
            <w:tcW w:w="1495" w:type="dxa"/>
          </w:tcPr>
          <w:p w14:paraId="682C830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80.0%</w:t>
            </w:r>
          </w:p>
        </w:tc>
      </w:tr>
    </w:tbl>
    <w:p w14:paraId="0AD84A6C" w14:textId="77777777" w:rsidR="00B57608" w:rsidRPr="00961F99" w:rsidRDefault="00B57608" w:rsidP="00757EC6">
      <w:pPr>
        <w:spacing w:after="40"/>
        <w:jc w:val="both"/>
        <w:rPr>
          <w:rFonts w:asciiTheme="majorBidi" w:hAnsiTheme="majorBidi" w:cstheme="majorBidi"/>
        </w:rPr>
      </w:pPr>
    </w:p>
    <w:p w14:paraId="26ABC430"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Across the eleven specifications the national expected annual loss spans $10.55B to $47.07B, a range of more than a factor of four, while the public share of expected annual loss spans only 80.0% to 83.9%. The two integration rows are deliberate bounds rather than plausible alternatives: left-step integration over the raw layers bounds the estimate from below and upper-Riemann integration from above, and the central trapezoidal rule sits between them. The first-floor quartile rows generate the widest range among the substantive choices, which is why the surveyed Elevation Certificate evidence in Section A6 carries so much of the analysis. The below-grade exclusion row is the bound on the pathway discussed in Section A7.</w:t>
      </w:r>
    </w:p>
    <w:p w14:paraId="26922CB2"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lastRenderedPageBreak/>
        <w:drawing>
          <wp:inline distT="0" distB="0" distL="0" distR="0" wp14:anchorId="6EC0D64D" wp14:editId="67AC4D18">
            <wp:extent cx="5942917" cy="2908300"/>
            <wp:effectExtent l="0" t="0" r="1270" b="6350"/>
            <wp:docPr id="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20"/>
                    <a:srcRect t="8947"/>
                    <a:stretch>
                      <a:fillRect/>
                    </a:stretch>
                  </pic:blipFill>
                  <pic:spPr bwMode="auto">
                    <a:xfrm>
                      <a:off x="0" y="0"/>
                      <a:ext cx="5943600" cy="2908634"/>
                    </a:xfrm>
                    <a:prstGeom prst="rect">
                      <a:avLst/>
                    </a:prstGeom>
                    <a:ln>
                      <a:noFill/>
                    </a:ln>
                    <a:extLst>
                      <a:ext uri="{53640926-AAD7-44D8-BBD7-CCE9431645EC}">
                        <a14:shadowObscured xmlns:a14="http://schemas.microsoft.com/office/drawing/2010/main"/>
                      </a:ext>
                    </a:extLst>
                  </pic:spPr>
                </pic:pic>
              </a:graphicData>
            </a:graphic>
          </wp:inline>
        </w:drawing>
      </w:r>
    </w:p>
    <w:p w14:paraId="50C97889"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S14 | </w:t>
      </w:r>
      <w:r w:rsidRPr="00961F99">
        <w:rPr>
          <w:rFonts w:asciiTheme="majorBidi" w:hAnsiTheme="majorBidi" w:cstheme="majorBidi"/>
          <w:sz w:val="19"/>
          <w:szCs w:val="19"/>
        </w:rPr>
        <w:t>Integration-rule sensitivity of the annualized burden estimates, showing how the choice of quadrature over the four modeled return periods bounds the national totals.</w:t>
      </w:r>
    </w:p>
    <w:p w14:paraId="5C2211BC"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S15 | </w:t>
      </w:r>
      <w:r w:rsidRPr="00961F99">
        <w:rPr>
          <w:rFonts w:asciiTheme="majorBidi" w:hAnsiTheme="majorBidi" w:cstheme="majorBidi"/>
          <w:sz w:val="19"/>
          <w:szCs w:val="19"/>
        </w:rPr>
        <w:t>Per-hazard resolution of the principal specification choices. Because the paper's central claims are hazard-specific, the sensitivity analysis is resolved by hazard layer as well as in aggregate. The hazard ordering of expected annual loss and the contrast in channel shares between the inland layers and the coastal layer persist under every specification tested.</w:t>
      </w:r>
    </w:p>
    <w:tbl>
      <w:tblPr>
        <w:tblStyle w:val="ad"/>
        <w:tblW w:w="93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8"/>
        <w:gridCol w:w="1378"/>
        <w:gridCol w:w="1378"/>
        <w:gridCol w:w="1378"/>
        <w:gridCol w:w="1378"/>
        <w:gridCol w:w="1378"/>
        <w:gridCol w:w="1378"/>
      </w:tblGrid>
      <w:tr w:rsidR="00B57608" w:rsidRPr="00961F99" w14:paraId="5A1C4A4E" w14:textId="77777777" w:rsidTr="00376A59">
        <w:trPr>
          <w:tblHeader/>
          <w:jc w:val="center"/>
        </w:trPr>
        <w:tc>
          <w:tcPr>
            <w:tcW w:w="1118" w:type="dxa"/>
          </w:tcPr>
          <w:p w14:paraId="220F3DB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Specification</w:t>
            </w:r>
          </w:p>
        </w:tc>
        <w:tc>
          <w:tcPr>
            <w:tcW w:w="1378" w:type="dxa"/>
          </w:tcPr>
          <w:p w14:paraId="3DBEE5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Hazard layer</w:t>
            </w:r>
          </w:p>
        </w:tc>
        <w:tc>
          <w:tcPr>
            <w:tcW w:w="1378" w:type="dxa"/>
          </w:tcPr>
          <w:p w14:paraId="5F69DC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EAL ($B yr⁻¹)</w:t>
            </w:r>
          </w:p>
        </w:tc>
        <w:tc>
          <w:tcPr>
            <w:tcW w:w="1378" w:type="dxa"/>
          </w:tcPr>
          <w:p w14:paraId="7B4DBF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Expected payout ($B yr⁻¹)</w:t>
            </w:r>
          </w:p>
        </w:tc>
        <w:tc>
          <w:tcPr>
            <w:tcW w:w="1378" w:type="dxa"/>
          </w:tcPr>
          <w:p w14:paraId="70C6C24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Public shortfall ($B yr⁻¹)</w:t>
            </w:r>
          </w:p>
        </w:tc>
        <w:tc>
          <w:tcPr>
            <w:tcW w:w="1378" w:type="dxa"/>
          </w:tcPr>
          <w:p w14:paraId="1418DA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NFIP shortfall ($B yr⁻¹)</w:t>
            </w:r>
          </w:p>
        </w:tc>
        <w:tc>
          <w:tcPr>
            <w:tcW w:w="1378" w:type="dxa"/>
          </w:tcPr>
          <w:p w14:paraId="18784C8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Public share of EAL</w:t>
            </w:r>
          </w:p>
        </w:tc>
      </w:tr>
      <w:tr w:rsidR="00B57608" w:rsidRPr="00961F99" w14:paraId="69BEA8B3" w14:textId="77777777" w:rsidTr="00376A59">
        <w:trPr>
          <w:jc w:val="center"/>
        </w:trPr>
        <w:tc>
          <w:tcPr>
            <w:tcW w:w="1118" w:type="dxa"/>
          </w:tcPr>
          <w:p w14:paraId="0A5B70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Central specification</w:t>
            </w:r>
          </w:p>
        </w:tc>
        <w:tc>
          <w:tcPr>
            <w:tcW w:w="1378" w:type="dxa"/>
          </w:tcPr>
          <w:p w14:paraId="710404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378" w:type="dxa"/>
          </w:tcPr>
          <w:p w14:paraId="421A5A6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17.11</w:t>
            </w:r>
          </w:p>
        </w:tc>
        <w:tc>
          <w:tcPr>
            <w:tcW w:w="1378" w:type="dxa"/>
          </w:tcPr>
          <w:p w14:paraId="080BED2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2.26</w:t>
            </w:r>
          </w:p>
        </w:tc>
        <w:tc>
          <w:tcPr>
            <w:tcW w:w="1378" w:type="dxa"/>
          </w:tcPr>
          <w:p w14:paraId="4C94C3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14.84</w:t>
            </w:r>
          </w:p>
        </w:tc>
        <w:tc>
          <w:tcPr>
            <w:tcW w:w="1378" w:type="dxa"/>
          </w:tcPr>
          <w:p w14:paraId="0210C4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1.87</w:t>
            </w:r>
          </w:p>
        </w:tc>
        <w:tc>
          <w:tcPr>
            <w:tcW w:w="1378" w:type="dxa"/>
          </w:tcPr>
          <w:p w14:paraId="585902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86.8%</w:t>
            </w:r>
          </w:p>
        </w:tc>
      </w:tr>
      <w:tr w:rsidR="00B57608" w:rsidRPr="00961F99" w14:paraId="0CE7B94E" w14:textId="77777777" w:rsidTr="00376A59">
        <w:trPr>
          <w:jc w:val="center"/>
        </w:trPr>
        <w:tc>
          <w:tcPr>
            <w:tcW w:w="1118" w:type="dxa"/>
          </w:tcPr>
          <w:p w14:paraId="525AC6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Central specification</w:t>
            </w:r>
          </w:p>
        </w:tc>
        <w:tc>
          <w:tcPr>
            <w:tcW w:w="1378" w:type="dxa"/>
          </w:tcPr>
          <w:p w14:paraId="7F6E9C9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378" w:type="dxa"/>
          </w:tcPr>
          <w:p w14:paraId="5179980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5.32</w:t>
            </w:r>
          </w:p>
        </w:tc>
        <w:tc>
          <w:tcPr>
            <w:tcW w:w="1378" w:type="dxa"/>
          </w:tcPr>
          <w:p w14:paraId="40CA42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0.78</w:t>
            </w:r>
          </w:p>
        </w:tc>
        <w:tc>
          <w:tcPr>
            <w:tcW w:w="1378" w:type="dxa"/>
          </w:tcPr>
          <w:p w14:paraId="2A6BA8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4.53</w:t>
            </w:r>
          </w:p>
        </w:tc>
        <w:tc>
          <w:tcPr>
            <w:tcW w:w="1378" w:type="dxa"/>
          </w:tcPr>
          <w:p w14:paraId="7F32F4E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0.60</w:t>
            </w:r>
          </w:p>
        </w:tc>
        <w:tc>
          <w:tcPr>
            <w:tcW w:w="1378" w:type="dxa"/>
          </w:tcPr>
          <w:p w14:paraId="60EA05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85.3%</w:t>
            </w:r>
          </w:p>
        </w:tc>
      </w:tr>
      <w:tr w:rsidR="00B57608" w:rsidRPr="00961F99" w14:paraId="63767228" w14:textId="77777777" w:rsidTr="00376A59">
        <w:trPr>
          <w:jc w:val="center"/>
        </w:trPr>
        <w:tc>
          <w:tcPr>
            <w:tcW w:w="1118" w:type="dxa"/>
          </w:tcPr>
          <w:p w14:paraId="30BC8C7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Central specification</w:t>
            </w:r>
          </w:p>
        </w:tc>
        <w:tc>
          <w:tcPr>
            <w:tcW w:w="1378" w:type="dxa"/>
          </w:tcPr>
          <w:p w14:paraId="4C64EA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378" w:type="dxa"/>
          </w:tcPr>
          <w:p w14:paraId="5687D8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3.88</w:t>
            </w:r>
          </w:p>
        </w:tc>
        <w:tc>
          <w:tcPr>
            <w:tcW w:w="1378" w:type="dxa"/>
          </w:tcPr>
          <w:p w14:paraId="347F06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1.94</w:t>
            </w:r>
          </w:p>
        </w:tc>
        <w:tc>
          <w:tcPr>
            <w:tcW w:w="1378" w:type="dxa"/>
          </w:tcPr>
          <w:p w14:paraId="081DF0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1.94</w:t>
            </w:r>
          </w:p>
        </w:tc>
        <w:tc>
          <w:tcPr>
            <w:tcW w:w="1378" w:type="dxa"/>
          </w:tcPr>
          <w:p w14:paraId="7FA50E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1.24</w:t>
            </w:r>
          </w:p>
        </w:tc>
        <w:tc>
          <w:tcPr>
            <w:tcW w:w="1378" w:type="dxa"/>
          </w:tcPr>
          <w:p w14:paraId="7A171B1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50.0%</w:t>
            </w:r>
          </w:p>
        </w:tc>
      </w:tr>
      <w:tr w:rsidR="00B57608" w:rsidRPr="00961F99" w14:paraId="15ADA3E5" w14:textId="77777777" w:rsidTr="00376A59">
        <w:trPr>
          <w:jc w:val="center"/>
        </w:trPr>
        <w:tc>
          <w:tcPr>
            <w:tcW w:w="1118" w:type="dxa"/>
          </w:tcPr>
          <w:p w14:paraId="520642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Central specification</w:t>
            </w:r>
          </w:p>
        </w:tc>
        <w:tc>
          <w:tcPr>
            <w:tcW w:w="1378" w:type="dxa"/>
          </w:tcPr>
          <w:p w14:paraId="553887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378" w:type="dxa"/>
          </w:tcPr>
          <w:p w14:paraId="74B9740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25.67</w:t>
            </w:r>
          </w:p>
        </w:tc>
        <w:tc>
          <w:tcPr>
            <w:tcW w:w="1378" w:type="dxa"/>
          </w:tcPr>
          <w:p w14:paraId="09A500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4.80</w:t>
            </w:r>
          </w:p>
        </w:tc>
        <w:tc>
          <w:tcPr>
            <w:tcW w:w="1378" w:type="dxa"/>
          </w:tcPr>
          <w:p w14:paraId="1A0814B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20.87</w:t>
            </w:r>
          </w:p>
        </w:tc>
        <w:tc>
          <w:tcPr>
            <w:tcW w:w="1378" w:type="dxa"/>
          </w:tcPr>
          <w:p w14:paraId="4310369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3.59</w:t>
            </w:r>
          </w:p>
        </w:tc>
        <w:tc>
          <w:tcPr>
            <w:tcW w:w="1378" w:type="dxa"/>
          </w:tcPr>
          <w:p w14:paraId="600AB42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81.3%</w:t>
            </w:r>
          </w:p>
        </w:tc>
      </w:tr>
      <w:tr w:rsidR="00B57608" w:rsidRPr="00961F99" w14:paraId="671F2D96" w14:textId="77777777" w:rsidTr="00376A59">
        <w:trPr>
          <w:jc w:val="center"/>
        </w:trPr>
        <w:tc>
          <w:tcPr>
            <w:tcW w:w="1118" w:type="dxa"/>
          </w:tcPr>
          <w:p w14:paraId="417541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First-floor q25 (low)</w:t>
            </w:r>
          </w:p>
        </w:tc>
        <w:tc>
          <w:tcPr>
            <w:tcW w:w="1378" w:type="dxa"/>
          </w:tcPr>
          <w:p w14:paraId="4A5956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378" w:type="dxa"/>
          </w:tcPr>
          <w:p w14:paraId="606A14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25.69</w:t>
            </w:r>
          </w:p>
        </w:tc>
        <w:tc>
          <w:tcPr>
            <w:tcW w:w="1378" w:type="dxa"/>
          </w:tcPr>
          <w:p w14:paraId="60ADCD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3.29</w:t>
            </w:r>
          </w:p>
        </w:tc>
        <w:tc>
          <w:tcPr>
            <w:tcW w:w="1378" w:type="dxa"/>
          </w:tcPr>
          <w:p w14:paraId="06ABC25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22.40</w:t>
            </w:r>
          </w:p>
        </w:tc>
        <w:tc>
          <w:tcPr>
            <w:tcW w:w="1378" w:type="dxa"/>
          </w:tcPr>
          <w:p w14:paraId="064BA3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2.72</w:t>
            </w:r>
          </w:p>
        </w:tc>
        <w:tc>
          <w:tcPr>
            <w:tcW w:w="1378" w:type="dxa"/>
          </w:tcPr>
          <w:p w14:paraId="1EC0D7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87.2%</w:t>
            </w:r>
          </w:p>
        </w:tc>
      </w:tr>
      <w:tr w:rsidR="00B57608" w:rsidRPr="00961F99" w14:paraId="04AC8551" w14:textId="77777777" w:rsidTr="00376A59">
        <w:trPr>
          <w:jc w:val="center"/>
        </w:trPr>
        <w:tc>
          <w:tcPr>
            <w:tcW w:w="1118" w:type="dxa"/>
          </w:tcPr>
          <w:p w14:paraId="3224CB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First-floor q25 (low)</w:t>
            </w:r>
          </w:p>
        </w:tc>
        <w:tc>
          <w:tcPr>
            <w:tcW w:w="1378" w:type="dxa"/>
          </w:tcPr>
          <w:p w14:paraId="48A3B3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378" w:type="dxa"/>
          </w:tcPr>
          <w:p w14:paraId="4B22817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7.79</w:t>
            </w:r>
          </w:p>
        </w:tc>
        <w:tc>
          <w:tcPr>
            <w:tcW w:w="1378" w:type="dxa"/>
          </w:tcPr>
          <w:p w14:paraId="05CC98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1.10</w:t>
            </w:r>
          </w:p>
        </w:tc>
        <w:tc>
          <w:tcPr>
            <w:tcW w:w="1378" w:type="dxa"/>
          </w:tcPr>
          <w:p w14:paraId="14F6E5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6.69</w:t>
            </w:r>
          </w:p>
        </w:tc>
        <w:tc>
          <w:tcPr>
            <w:tcW w:w="1378" w:type="dxa"/>
          </w:tcPr>
          <w:p w14:paraId="5EC26EE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0.87</w:t>
            </w:r>
          </w:p>
        </w:tc>
        <w:tc>
          <w:tcPr>
            <w:tcW w:w="1378" w:type="dxa"/>
          </w:tcPr>
          <w:p w14:paraId="642543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85.9%</w:t>
            </w:r>
          </w:p>
        </w:tc>
      </w:tr>
      <w:tr w:rsidR="00B57608" w:rsidRPr="00961F99" w14:paraId="5F4E6B32" w14:textId="77777777" w:rsidTr="00376A59">
        <w:trPr>
          <w:jc w:val="center"/>
        </w:trPr>
        <w:tc>
          <w:tcPr>
            <w:tcW w:w="1118" w:type="dxa"/>
          </w:tcPr>
          <w:p w14:paraId="6983253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First-floor q25 (low)</w:t>
            </w:r>
          </w:p>
        </w:tc>
        <w:tc>
          <w:tcPr>
            <w:tcW w:w="1378" w:type="dxa"/>
          </w:tcPr>
          <w:p w14:paraId="67371F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378" w:type="dxa"/>
          </w:tcPr>
          <w:p w14:paraId="48B6882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6.42</w:t>
            </w:r>
          </w:p>
        </w:tc>
        <w:tc>
          <w:tcPr>
            <w:tcW w:w="1378" w:type="dxa"/>
          </w:tcPr>
          <w:p w14:paraId="1D9333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3.12</w:t>
            </w:r>
          </w:p>
        </w:tc>
        <w:tc>
          <w:tcPr>
            <w:tcW w:w="1378" w:type="dxa"/>
          </w:tcPr>
          <w:p w14:paraId="33378A0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3.31</w:t>
            </w:r>
          </w:p>
        </w:tc>
        <w:tc>
          <w:tcPr>
            <w:tcW w:w="1378" w:type="dxa"/>
          </w:tcPr>
          <w:p w14:paraId="74B621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2.25</w:t>
            </w:r>
          </w:p>
        </w:tc>
        <w:tc>
          <w:tcPr>
            <w:tcW w:w="1378" w:type="dxa"/>
          </w:tcPr>
          <w:p w14:paraId="0A25983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51.5%</w:t>
            </w:r>
          </w:p>
        </w:tc>
      </w:tr>
      <w:tr w:rsidR="00B57608" w:rsidRPr="00961F99" w14:paraId="36BC5F29" w14:textId="77777777" w:rsidTr="00376A59">
        <w:trPr>
          <w:jc w:val="center"/>
        </w:trPr>
        <w:tc>
          <w:tcPr>
            <w:tcW w:w="1118" w:type="dxa"/>
          </w:tcPr>
          <w:p w14:paraId="5E7353D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First-floor q25 (low)</w:t>
            </w:r>
          </w:p>
        </w:tc>
        <w:tc>
          <w:tcPr>
            <w:tcW w:w="1378" w:type="dxa"/>
          </w:tcPr>
          <w:p w14:paraId="0964A1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378" w:type="dxa"/>
          </w:tcPr>
          <w:p w14:paraId="748AB99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38.93</w:t>
            </w:r>
          </w:p>
        </w:tc>
        <w:tc>
          <w:tcPr>
            <w:tcW w:w="1378" w:type="dxa"/>
          </w:tcPr>
          <w:p w14:paraId="08FDB4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7.22</w:t>
            </w:r>
          </w:p>
        </w:tc>
        <w:tc>
          <w:tcPr>
            <w:tcW w:w="1378" w:type="dxa"/>
          </w:tcPr>
          <w:p w14:paraId="080982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31.71</w:t>
            </w:r>
          </w:p>
        </w:tc>
        <w:tc>
          <w:tcPr>
            <w:tcW w:w="1378" w:type="dxa"/>
          </w:tcPr>
          <w:p w14:paraId="6FE61B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5.66</w:t>
            </w:r>
          </w:p>
        </w:tc>
        <w:tc>
          <w:tcPr>
            <w:tcW w:w="1378" w:type="dxa"/>
          </w:tcPr>
          <w:p w14:paraId="69C49CB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81.4%</w:t>
            </w:r>
          </w:p>
        </w:tc>
      </w:tr>
      <w:tr w:rsidR="00B57608" w:rsidRPr="00961F99" w14:paraId="5389A1F7" w14:textId="77777777" w:rsidTr="00376A59">
        <w:trPr>
          <w:jc w:val="center"/>
        </w:trPr>
        <w:tc>
          <w:tcPr>
            <w:tcW w:w="1118" w:type="dxa"/>
          </w:tcPr>
          <w:p w14:paraId="739B83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First-floor q75 (high)</w:t>
            </w:r>
          </w:p>
        </w:tc>
        <w:tc>
          <w:tcPr>
            <w:tcW w:w="1378" w:type="dxa"/>
          </w:tcPr>
          <w:p w14:paraId="300EF7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378" w:type="dxa"/>
          </w:tcPr>
          <w:p w14:paraId="494CB90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10.28</w:t>
            </w:r>
          </w:p>
        </w:tc>
        <w:tc>
          <w:tcPr>
            <w:tcW w:w="1378" w:type="dxa"/>
          </w:tcPr>
          <w:p w14:paraId="1F63B8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1.39</w:t>
            </w:r>
          </w:p>
        </w:tc>
        <w:tc>
          <w:tcPr>
            <w:tcW w:w="1378" w:type="dxa"/>
          </w:tcPr>
          <w:p w14:paraId="4FB5A0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8.89</w:t>
            </w:r>
          </w:p>
        </w:tc>
        <w:tc>
          <w:tcPr>
            <w:tcW w:w="1378" w:type="dxa"/>
          </w:tcPr>
          <w:p w14:paraId="05DD731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1.07</w:t>
            </w:r>
          </w:p>
        </w:tc>
        <w:tc>
          <w:tcPr>
            <w:tcW w:w="1378" w:type="dxa"/>
          </w:tcPr>
          <w:p w14:paraId="1B958E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86.5%</w:t>
            </w:r>
          </w:p>
        </w:tc>
      </w:tr>
      <w:tr w:rsidR="00B57608" w:rsidRPr="00961F99" w14:paraId="13311A9E" w14:textId="77777777" w:rsidTr="00376A59">
        <w:trPr>
          <w:jc w:val="center"/>
        </w:trPr>
        <w:tc>
          <w:tcPr>
            <w:tcW w:w="1118" w:type="dxa"/>
          </w:tcPr>
          <w:p w14:paraId="6217612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First-floor q75 (high)</w:t>
            </w:r>
          </w:p>
        </w:tc>
        <w:tc>
          <w:tcPr>
            <w:tcW w:w="1378" w:type="dxa"/>
          </w:tcPr>
          <w:p w14:paraId="35F7595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378" w:type="dxa"/>
          </w:tcPr>
          <w:p w14:paraId="6D2AD9E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3.37</w:t>
            </w:r>
          </w:p>
        </w:tc>
        <w:tc>
          <w:tcPr>
            <w:tcW w:w="1378" w:type="dxa"/>
          </w:tcPr>
          <w:p w14:paraId="1FF5A24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0.51</w:t>
            </w:r>
          </w:p>
        </w:tc>
        <w:tc>
          <w:tcPr>
            <w:tcW w:w="1378" w:type="dxa"/>
          </w:tcPr>
          <w:p w14:paraId="2D6006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2.87</w:t>
            </w:r>
          </w:p>
        </w:tc>
        <w:tc>
          <w:tcPr>
            <w:tcW w:w="1378" w:type="dxa"/>
          </w:tcPr>
          <w:p w14:paraId="57E105E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0.36</w:t>
            </w:r>
          </w:p>
        </w:tc>
        <w:tc>
          <w:tcPr>
            <w:tcW w:w="1378" w:type="dxa"/>
          </w:tcPr>
          <w:p w14:paraId="6EAD8E1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85.0%</w:t>
            </w:r>
          </w:p>
        </w:tc>
      </w:tr>
      <w:tr w:rsidR="00B57608" w:rsidRPr="00961F99" w14:paraId="194AE361" w14:textId="77777777" w:rsidTr="00376A59">
        <w:trPr>
          <w:jc w:val="center"/>
        </w:trPr>
        <w:tc>
          <w:tcPr>
            <w:tcW w:w="1118" w:type="dxa"/>
          </w:tcPr>
          <w:p w14:paraId="5DD6E8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First-floor q75 (high)</w:t>
            </w:r>
          </w:p>
        </w:tc>
        <w:tc>
          <w:tcPr>
            <w:tcW w:w="1378" w:type="dxa"/>
          </w:tcPr>
          <w:p w14:paraId="18A087C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378" w:type="dxa"/>
          </w:tcPr>
          <w:p w14:paraId="61869F4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2.06</w:t>
            </w:r>
          </w:p>
        </w:tc>
        <w:tc>
          <w:tcPr>
            <w:tcW w:w="1378" w:type="dxa"/>
          </w:tcPr>
          <w:p w14:paraId="0498946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1.04</w:t>
            </w:r>
          </w:p>
        </w:tc>
        <w:tc>
          <w:tcPr>
            <w:tcW w:w="1378" w:type="dxa"/>
          </w:tcPr>
          <w:p w14:paraId="6C80E1D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1.02</w:t>
            </w:r>
          </w:p>
        </w:tc>
        <w:tc>
          <w:tcPr>
            <w:tcW w:w="1378" w:type="dxa"/>
          </w:tcPr>
          <w:p w14:paraId="2764F37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0.54</w:t>
            </w:r>
          </w:p>
        </w:tc>
        <w:tc>
          <w:tcPr>
            <w:tcW w:w="1378" w:type="dxa"/>
          </w:tcPr>
          <w:p w14:paraId="66DBCCC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49.3%</w:t>
            </w:r>
          </w:p>
        </w:tc>
      </w:tr>
      <w:tr w:rsidR="00B57608" w:rsidRPr="00961F99" w14:paraId="6205FB6F" w14:textId="77777777" w:rsidTr="00376A59">
        <w:trPr>
          <w:jc w:val="center"/>
        </w:trPr>
        <w:tc>
          <w:tcPr>
            <w:tcW w:w="1118" w:type="dxa"/>
          </w:tcPr>
          <w:p w14:paraId="6901BC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First-floor q75 (high)</w:t>
            </w:r>
          </w:p>
        </w:tc>
        <w:tc>
          <w:tcPr>
            <w:tcW w:w="1378" w:type="dxa"/>
          </w:tcPr>
          <w:p w14:paraId="02B6F56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378" w:type="dxa"/>
          </w:tcPr>
          <w:p w14:paraId="3FF039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15.35</w:t>
            </w:r>
          </w:p>
        </w:tc>
        <w:tc>
          <w:tcPr>
            <w:tcW w:w="1378" w:type="dxa"/>
          </w:tcPr>
          <w:p w14:paraId="7DCFEEE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2.84</w:t>
            </w:r>
          </w:p>
        </w:tc>
        <w:tc>
          <w:tcPr>
            <w:tcW w:w="1378" w:type="dxa"/>
          </w:tcPr>
          <w:p w14:paraId="2D0D62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12.52</w:t>
            </w:r>
          </w:p>
        </w:tc>
        <w:tc>
          <w:tcPr>
            <w:tcW w:w="1378" w:type="dxa"/>
          </w:tcPr>
          <w:p w14:paraId="757A144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1.92</w:t>
            </w:r>
          </w:p>
        </w:tc>
        <w:tc>
          <w:tcPr>
            <w:tcW w:w="1378" w:type="dxa"/>
          </w:tcPr>
          <w:p w14:paraId="6769D46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81.5%</w:t>
            </w:r>
          </w:p>
        </w:tc>
      </w:tr>
      <w:tr w:rsidR="00B57608" w:rsidRPr="00961F99" w14:paraId="52DECFB4" w14:textId="77777777" w:rsidTr="00376A59">
        <w:trPr>
          <w:jc w:val="center"/>
        </w:trPr>
        <w:tc>
          <w:tcPr>
            <w:tcW w:w="1118" w:type="dxa"/>
          </w:tcPr>
          <w:p w14:paraId="1A8BBB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Below-grade pathway off</w:t>
            </w:r>
          </w:p>
        </w:tc>
        <w:tc>
          <w:tcPr>
            <w:tcW w:w="1378" w:type="dxa"/>
          </w:tcPr>
          <w:p w14:paraId="7DB33F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378" w:type="dxa"/>
          </w:tcPr>
          <w:p w14:paraId="6088307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8.70</w:t>
            </w:r>
          </w:p>
        </w:tc>
        <w:tc>
          <w:tcPr>
            <w:tcW w:w="1378" w:type="dxa"/>
          </w:tcPr>
          <w:p w14:paraId="63B840A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1.00</w:t>
            </w:r>
          </w:p>
        </w:tc>
        <w:tc>
          <w:tcPr>
            <w:tcW w:w="1378" w:type="dxa"/>
          </w:tcPr>
          <w:p w14:paraId="2E948D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7.70</w:t>
            </w:r>
          </w:p>
        </w:tc>
        <w:tc>
          <w:tcPr>
            <w:tcW w:w="1378" w:type="dxa"/>
          </w:tcPr>
          <w:p w14:paraId="13FC8B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0.76</w:t>
            </w:r>
          </w:p>
        </w:tc>
        <w:tc>
          <w:tcPr>
            <w:tcW w:w="1378" w:type="dxa"/>
          </w:tcPr>
          <w:p w14:paraId="5A6E41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88.5%</w:t>
            </w:r>
          </w:p>
        </w:tc>
      </w:tr>
      <w:tr w:rsidR="00B57608" w:rsidRPr="00961F99" w14:paraId="10199FB6" w14:textId="77777777" w:rsidTr="00376A59">
        <w:trPr>
          <w:jc w:val="center"/>
        </w:trPr>
        <w:tc>
          <w:tcPr>
            <w:tcW w:w="1118" w:type="dxa"/>
          </w:tcPr>
          <w:p w14:paraId="48D306C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Below-grade pathway off</w:t>
            </w:r>
          </w:p>
        </w:tc>
        <w:tc>
          <w:tcPr>
            <w:tcW w:w="1378" w:type="dxa"/>
          </w:tcPr>
          <w:p w14:paraId="62B6F63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378" w:type="dxa"/>
          </w:tcPr>
          <w:p w14:paraId="200FE5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3.94</w:t>
            </w:r>
          </w:p>
        </w:tc>
        <w:tc>
          <w:tcPr>
            <w:tcW w:w="1378" w:type="dxa"/>
          </w:tcPr>
          <w:p w14:paraId="1CE1A42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0.58</w:t>
            </w:r>
          </w:p>
        </w:tc>
        <w:tc>
          <w:tcPr>
            <w:tcW w:w="1378" w:type="dxa"/>
          </w:tcPr>
          <w:p w14:paraId="176405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3.36</w:t>
            </w:r>
          </w:p>
        </w:tc>
        <w:tc>
          <w:tcPr>
            <w:tcW w:w="1378" w:type="dxa"/>
          </w:tcPr>
          <w:p w14:paraId="7331E1F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0.42</w:t>
            </w:r>
          </w:p>
        </w:tc>
        <w:tc>
          <w:tcPr>
            <w:tcW w:w="1378" w:type="dxa"/>
          </w:tcPr>
          <w:p w14:paraId="5BB6D5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85.4%</w:t>
            </w:r>
          </w:p>
        </w:tc>
      </w:tr>
      <w:tr w:rsidR="00B57608" w:rsidRPr="00961F99" w14:paraId="5EAF9D76" w14:textId="77777777" w:rsidTr="00376A59">
        <w:trPr>
          <w:jc w:val="center"/>
        </w:trPr>
        <w:tc>
          <w:tcPr>
            <w:tcW w:w="1118" w:type="dxa"/>
          </w:tcPr>
          <w:p w14:paraId="4210C01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Below-grade pathway off</w:t>
            </w:r>
          </w:p>
        </w:tc>
        <w:tc>
          <w:tcPr>
            <w:tcW w:w="1378" w:type="dxa"/>
          </w:tcPr>
          <w:p w14:paraId="17A6FE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378" w:type="dxa"/>
          </w:tcPr>
          <w:p w14:paraId="7C8A491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2.83</w:t>
            </w:r>
          </w:p>
        </w:tc>
        <w:tc>
          <w:tcPr>
            <w:tcW w:w="1378" w:type="dxa"/>
          </w:tcPr>
          <w:p w14:paraId="602264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1.32</w:t>
            </w:r>
          </w:p>
        </w:tc>
        <w:tc>
          <w:tcPr>
            <w:tcW w:w="1378" w:type="dxa"/>
          </w:tcPr>
          <w:p w14:paraId="2266F93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1.51</w:t>
            </w:r>
          </w:p>
        </w:tc>
        <w:tc>
          <w:tcPr>
            <w:tcW w:w="1378" w:type="dxa"/>
          </w:tcPr>
          <w:p w14:paraId="6373563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0.69</w:t>
            </w:r>
          </w:p>
        </w:tc>
        <w:tc>
          <w:tcPr>
            <w:tcW w:w="1378" w:type="dxa"/>
          </w:tcPr>
          <w:p w14:paraId="5ABEA43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53.3%</w:t>
            </w:r>
          </w:p>
        </w:tc>
      </w:tr>
      <w:tr w:rsidR="00B57608" w:rsidRPr="00961F99" w14:paraId="6F30AD4E" w14:textId="77777777" w:rsidTr="00376A59">
        <w:trPr>
          <w:jc w:val="center"/>
        </w:trPr>
        <w:tc>
          <w:tcPr>
            <w:tcW w:w="1118" w:type="dxa"/>
          </w:tcPr>
          <w:p w14:paraId="1238A7E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lastRenderedPageBreak/>
              <w:t>Below-grade pathway off</w:t>
            </w:r>
          </w:p>
        </w:tc>
        <w:tc>
          <w:tcPr>
            <w:tcW w:w="1378" w:type="dxa"/>
          </w:tcPr>
          <w:p w14:paraId="228D782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378" w:type="dxa"/>
          </w:tcPr>
          <w:p w14:paraId="284704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15.22</w:t>
            </w:r>
          </w:p>
        </w:tc>
        <w:tc>
          <w:tcPr>
            <w:tcW w:w="1378" w:type="dxa"/>
          </w:tcPr>
          <w:p w14:paraId="478938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2.82</w:t>
            </w:r>
          </w:p>
        </w:tc>
        <w:tc>
          <w:tcPr>
            <w:tcW w:w="1378" w:type="dxa"/>
          </w:tcPr>
          <w:p w14:paraId="763C1B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12.40</w:t>
            </w:r>
          </w:p>
        </w:tc>
        <w:tc>
          <w:tcPr>
            <w:tcW w:w="1378" w:type="dxa"/>
          </w:tcPr>
          <w:p w14:paraId="7AFF21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1.84</w:t>
            </w:r>
          </w:p>
        </w:tc>
        <w:tc>
          <w:tcPr>
            <w:tcW w:w="1378" w:type="dxa"/>
          </w:tcPr>
          <w:p w14:paraId="28C380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81.5%</w:t>
            </w:r>
          </w:p>
        </w:tc>
      </w:tr>
      <w:tr w:rsidR="00B57608" w:rsidRPr="00961F99" w14:paraId="0B6BF050" w14:textId="77777777" w:rsidTr="00376A59">
        <w:trPr>
          <w:jc w:val="center"/>
        </w:trPr>
        <w:tc>
          <w:tcPr>
            <w:tcW w:w="1118" w:type="dxa"/>
          </w:tcPr>
          <w:p w14:paraId="3975871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Return-period floor T&gt;=10</w:t>
            </w:r>
          </w:p>
        </w:tc>
        <w:tc>
          <w:tcPr>
            <w:tcW w:w="1378" w:type="dxa"/>
          </w:tcPr>
          <w:p w14:paraId="6CCB69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Pluvial</w:t>
            </w:r>
          </w:p>
        </w:tc>
        <w:tc>
          <w:tcPr>
            <w:tcW w:w="1378" w:type="dxa"/>
          </w:tcPr>
          <w:p w14:paraId="529085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13.93</w:t>
            </w:r>
          </w:p>
        </w:tc>
        <w:tc>
          <w:tcPr>
            <w:tcW w:w="1378" w:type="dxa"/>
          </w:tcPr>
          <w:p w14:paraId="0D61388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1.92</w:t>
            </w:r>
          </w:p>
        </w:tc>
        <w:tc>
          <w:tcPr>
            <w:tcW w:w="1378" w:type="dxa"/>
          </w:tcPr>
          <w:p w14:paraId="65C2BB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12.01</w:t>
            </w:r>
          </w:p>
        </w:tc>
        <w:tc>
          <w:tcPr>
            <w:tcW w:w="1378" w:type="dxa"/>
          </w:tcPr>
          <w:p w14:paraId="7A9984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1.53</w:t>
            </w:r>
          </w:p>
        </w:tc>
        <w:tc>
          <w:tcPr>
            <w:tcW w:w="1378" w:type="dxa"/>
          </w:tcPr>
          <w:p w14:paraId="6E77F7D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86.2%</w:t>
            </w:r>
          </w:p>
        </w:tc>
      </w:tr>
      <w:tr w:rsidR="00B57608" w:rsidRPr="00961F99" w14:paraId="563C361E" w14:textId="77777777" w:rsidTr="00376A59">
        <w:trPr>
          <w:jc w:val="center"/>
        </w:trPr>
        <w:tc>
          <w:tcPr>
            <w:tcW w:w="1118" w:type="dxa"/>
          </w:tcPr>
          <w:p w14:paraId="46EEF4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Return-period floor T&gt;=10</w:t>
            </w:r>
          </w:p>
        </w:tc>
        <w:tc>
          <w:tcPr>
            <w:tcW w:w="1378" w:type="dxa"/>
          </w:tcPr>
          <w:p w14:paraId="582B3D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Fluvial</w:t>
            </w:r>
          </w:p>
        </w:tc>
        <w:tc>
          <w:tcPr>
            <w:tcW w:w="1378" w:type="dxa"/>
          </w:tcPr>
          <w:p w14:paraId="0DD595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4.85</w:t>
            </w:r>
          </w:p>
        </w:tc>
        <w:tc>
          <w:tcPr>
            <w:tcW w:w="1378" w:type="dxa"/>
          </w:tcPr>
          <w:p w14:paraId="55E564A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0.71</w:t>
            </w:r>
          </w:p>
        </w:tc>
        <w:tc>
          <w:tcPr>
            <w:tcW w:w="1378" w:type="dxa"/>
          </w:tcPr>
          <w:p w14:paraId="5C529C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4.14</w:t>
            </w:r>
          </w:p>
        </w:tc>
        <w:tc>
          <w:tcPr>
            <w:tcW w:w="1378" w:type="dxa"/>
          </w:tcPr>
          <w:p w14:paraId="684137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0.52</w:t>
            </w:r>
          </w:p>
        </w:tc>
        <w:tc>
          <w:tcPr>
            <w:tcW w:w="1378" w:type="dxa"/>
          </w:tcPr>
          <w:p w14:paraId="29023F1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85.4%</w:t>
            </w:r>
          </w:p>
        </w:tc>
      </w:tr>
      <w:tr w:rsidR="00B57608" w:rsidRPr="00961F99" w14:paraId="077252D3" w14:textId="77777777" w:rsidTr="00376A59">
        <w:trPr>
          <w:jc w:val="center"/>
        </w:trPr>
        <w:tc>
          <w:tcPr>
            <w:tcW w:w="1118" w:type="dxa"/>
          </w:tcPr>
          <w:p w14:paraId="5EF4FD0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Return-period floor T&gt;=10</w:t>
            </w:r>
          </w:p>
        </w:tc>
        <w:tc>
          <w:tcPr>
            <w:tcW w:w="1378" w:type="dxa"/>
          </w:tcPr>
          <w:p w14:paraId="779BF77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Coastal</w:t>
            </w:r>
          </w:p>
        </w:tc>
        <w:tc>
          <w:tcPr>
            <w:tcW w:w="1378" w:type="dxa"/>
          </w:tcPr>
          <w:p w14:paraId="35718F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3.68</w:t>
            </w:r>
          </w:p>
        </w:tc>
        <w:tc>
          <w:tcPr>
            <w:tcW w:w="1378" w:type="dxa"/>
          </w:tcPr>
          <w:p w14:paraId="608B06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1.83</w:t>
            </w:r>
          </w:p>
        </w:tc>
        <w:tc>
          <w:tcPr>
            <w:tcW w:w="1378" w:type="dxa"/>
          </w:tcPr>
          <w:p w14:paraId="508154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1.84</w:t>
            </w:r>
          </w:p>
        </w:tc>
        <w:tc>
          <w:tcPr>
            <w:tcW w:w="1378" w:type="dxa"/>
          </w:tcPr>
          <w:p w14:paraId="0CA18C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1.14</w:t>
            </w:r>
          </w:p>
        </w:tc>
        <w:tc>
          <w:tcPr>
            <w:tcW w:w="1378" w:type="dxa"/>
          </w:tcPr>
          <w:p w14:paraId="2C850DE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50.2%</w:t>
            </w:r>
          </w:p>
        </w:tc>
      </w:tr>
      <w:tr w:rsidR="00B57608" w:rsidRPr="00961F99" w14:paraId="6A78F800" w14:textId="77777777" w:rsidTr="00376A59">
        <w:trPr>
          <w:jc w:val="center"/>
        </w:trPr>
        <w:tc>
          <w:tcPr>
            <w:tcW w:w="1118" w:type="dxa"/>
          </w:tcPr>
          <w:p w14:paraId="47E0133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Return-period floor T&gt;=10</w:t>
            </w:r>
          </w:p>
        </w:tc>
        <w:tc>
          <w:tcPr>
            <w:tcW w:w="1378" w:type="dxa"/>
          </w:tcPr>
          <w:p w14:paraId="7A4DDF0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Combined</w:t>
            </w:r>
          </w:p>
        </w:tc>
        <w:tc>
          <w:tcPr>
            <w:tcW w:w="1378" w:type="dxa"/>
          </w:tcPr>
          <w:p w14:paraId="1872C6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21.86</w:t>
            </w:r>
          </w:p>
        </w:tc>
        <w:tc>
          <w:tcPr>
            <w:tcW w:w="1378" w:type="dxa"/>
          </w:tcPr>
          <w:p w14:paraId="064148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4.28</w:t>
            </w:r>
          </w:p>
        </w:tc>
        <w:tc>
          <w:tcPr>
            <w:tcW w:w="1378" w:type="dxa"/>
          </w:tcPr>
          <w:p w14:paraId="117E2F7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17.57</w:t>
            </w:r>
          </w:p>
        </w:tc>
        <w:tc>
          <w:tcPr>
            <w:tcW w:w="1378" w:type="dxa"/>
          </w:tcPr>
          <w:p w14:paraId="30EFF57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3.08</w:t>
            </w:r>
          </w:p>
        </w:tc>
        <w:tc>
          <w:tcPr>
            <w:tcW w:w="1378" w:type="dxa"/>
          </w:tcPr>
          <w:p w14:paraId="00A8E57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80.4%</w:t>
            </w:r>
          </w:p>
        </w:tc>
      </w:tr>
    </w:tbl>
    <w:p w14:paraId="3DCF010D" w14:textId="77777777" w:rsidR="00B57608" w:rsidRPr="00961F99" w:rsidRDefault="00B57608" w:rsidP="00757EC6">
      <w:pPr>
        <w:spacing w:after="40"/>
        <w:jc w:val="both"/>
        <w:rPr>
          <w:rFonts w:asciiTheme="majorBidi" w:hAnsiTheme="majorBidi" w:cstheme="majorBidi"/>
        </w:rPr>
      </w:pPr>
    </w:p>
    <w:p w14:paraId="496827FD"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S16 | </w:t>
      </w:r>
      <w:r w:rsidRPr="00961F99">
        <w:rPr>
          <w:rFonts w:asciiTheme="majorBidi" w:hAnsiTheme="majorBidi" w:cstheme="majorBidi"/>
          <w:sz w:val="19"/>
          <w:szCs w:val="19"/>
        </w:rPr>
        <w:t xml:space="preserve">Tract-level rank stability of the </w:t>
      </w:r>
      <w:proofErr w:type="gramStart"/>
      <w:r w:rsidRPr="00961F99">
        <w:rPr>
          <w:rFonts w:asciiTheme="majorBidi" w:hAnsiTheme="majorBidi" w:cstheme="majorBidi"/>
          <w:sz w:val="19"/>
          <w:szCs w:val="19"/>
        </w:rPr>
        <w:t>two burden</w:t>
      </w:r>
      <w:proofErr w:type="gramEnd"/>
      <w:r w:rsidRPr="00961F99">
        <w:rPr>
          <w:rFonts w:asciiTheme="majorBidi" w:hAnsiTheme="majorBidi" w:cstheme="majorBidi"/>
          <w:sz w:val="19"/>
          <w:szCs w:val="19"/>
        </w:rPr>
        <w:t xml:space="preserve"> metrics under alternative specifications. Spearman rank correlations are computed across all tracts common to both the central and the alternative specification.</w:t>
      </w:r>
    </w:p>
    <w:tbl>
      <w:tblPr>
        <w:tblStyle w:val="ae"/>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1930"/>
        <w:gridCol w:w="1930"/>
        <w:gridCol w:w="1930"/>
        <w:gridCol w:w="1815"/>
      </w:tblGrid>
      <w:tr w:rsidR="00B57608" w:rsidRPr="00961F99" w14:paraId="37E05411" w14:textId="77777777" w:rsidTr="00376A59">
        <w:trPr>
          <w:tblHeader/>
          <w:jc w:val="center"/>
        </w:trPr>
        <w:tc>
          <w:tcPr>
            <w:tcW w:w="1845" w:type="dxa"/>
          </w:tcPr>
          <w:p w14:paraId="3BD2EDB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Specification</w:t>
            </w:r>
          </w:p>
        </w:tc>
        <w:tc>
          <w:tcPr>
            <w:tcW w:w="1930" w:type="dxa"/>
          </w:tcPr>
          <w:p w14:paraId="25F5CF3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Tracts compared</w:t>
            </w:r>
          </w:p>
        </w:tc>
        <w:tc>
          <w:tcPr>
            <w:tcW w:w="1930" w:type="dxa"/>
          </w:tcPr>
          <w:p w14:paraId="621BF7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National EAL ($B yr⁻¹)</w:t>
            </w:r>
          </w:p>
        </w:tc>
        <w:tc>
          <w:tcPr>
            <w:tcW w:w="1930" w:type="dxa"/>
          </w:tcPr>
          <w:p w14:paraId="65E5828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Spearman ρ, public loss absorption</w:t>
            </w:r>
          </w:p>
        </w:tc>
        <w:tc>
          <w:tcPr>
            <w:tcW w:w="1815" w:type="dxa"/>
          </w:tcPr>
          <w:p w14:paraId="30CCB2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Spearman ρ, total shortfall burden</w:t>
            </w:r>
          </w:p>
        </w:tc>
      </w:tr>
      <w:tr w:rsidR="00B57608" w:rsidRPr="00961F99" w14:paraId="0B25A2AA" w14:textId="77777777" w:rsidTr="00376A59">
        <w:trPr>
          <w:jc w:val="center"/>
        </w:trPr>
        <w:tc>
          <w:tcPr>
            <w:tcW w:w="1845" w:type="dxa"/>
          </w:tcPr>
          <w:p w14:paraId="3405D6D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First-floor q25 (low)</w:t>
            </w:r>
          </w:p>
        </w:tc>
        <w:tc>
          <w:tcPr>
            <w:tcW w:w="1930" w:type="dxa"/>
          </w:tcPr>
          <w:p w14:paraId="5F0F8E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76,659</w:t>
            </w:r>
          </w:p>
        </w:tc>
        <w:tc>
          <w:tcPr>
            <w:tcW w:w="1930" w:type="dxa"/>
          </w:tcPr>
          <w:p w14:paraId="72D05A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38.93</w:t>
            </w:r>
          </w:p>
        </w:tc>
        <w:tc>
          <w:tcPr>
            <w:tcW w:w="1930" w:type="dxa"/>
          </w:tcPr>
          <w:p w14:paraId="3E19B9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0.9720</w:t>
            </w:r>
          </w:p>
        </w:tc>
        <w:tc>
          <w:tcPr>
            <w:tcW w:w="1815" w:type="dxa"/>
          </w:tcPr>
          <w:p w14:paraId="7BF8997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0.9878</w:t>
            </w:r>
          </w:p>
        </w:tc>
      </w:tr>
      <w:tr w:rsidR="00B57608" w:rsidRPr="00961F99" w14:paraId="1816E686" w14:textId="77777777" w:rsidTr="00376A59">
        <w:trPr>
          <w:jc w:val="center"/>
        </w:trPr>
        <w:tc>
          <w:tcPr>
            <w:tcW w:w="1845" w:type="dxa"/>
          </w:tcPr>
          <w:p w14:paraId="3DDDFB3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First-floor q75 (high)</w:t>
            </w:r>
          </w:p>
        </w:tc>
        <w:tc>
          <w:tcPr>
            <w:tcW w:w="1930" w:type="dxa"/>
          </w:tcPr>
          <w:p w14:paraId="07FC6F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76,659</w:t>
            </w:r>
          </w:p>
        </w:tc>
        <w:tc>
          <w:tcPr>
            <w:tcW w:w="1930" w:type="dxa"/>
          </w:tcPr>
          <w:p w14:paraId="7A41587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15.35</w:t>
            </w:r>
          </w:p>
        </w:tc>
        <w:tc>
          <w:tcPr>
            <w:tcW w:w="1930" w:type="dxa"/>
          </w:tcPr>
          <w:p w14:paraId="37EC1F5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0.9634</w:t>
            </w:r>
          </w:p>
        </w:tc>
        <w:tc>
          <w:tcPr>
            <w:tcW w:w="1815" w:type="dxa"/>
          </w:tcPr>
          <w:p w14:paraId="787ABFA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0.9807</w:t>
            </w:r>
          </w:p>
        </w:tc>
      </w:tr>
      <w:tr w:rsidR="00B57608" w:rsidRPr="00961F99" w14:paraId="00B14627" w14:textId="77777777" w:rsidTr="00376A59">
        <w:trPr>
          <w:jc w:val="center"/>
        </w:trPr>
        <w:tc>
          <w:tcPr>
            <w:tcW w:w="1845" w:type="dxa"/>
          </w:tcPr>
          <w:p w14:paraId="4196648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Return-period floor T&gt;=10</w:t>
            </w:r>
          </w:p>
        </w:tc>
        <w:tc>
          <w:tcPr>
            <w:tcW w:w="1930" w:type="dxa"/>
          </w:tcPr>
          <w:p w14:paraId="419BF5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76,659</w:t>
            </w:r>
          </w:p>
        </w:tc>
        <w:tc>
          <w:tcPr>
            <w:tcW w:w="1930" w:type="dxa"/>
          </w:tcPr>
          <w:p w14:paraId="172125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21.86</w:t>
            </w:r>
          </w:p>
        </w:tc>
        <w:tc>
          <w:tcPr>
            <w:tcW w:w="1930" w:type="dxa"/>
          </w:tcPr>
          <w:p w14:paraId="6DA0514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0.9994</w:t>
            </w:r>
          </w:p>
        </w:tc>
        <w:tc>
          <w:tcPr>
            <w:tcW w:w="1815" w:type="dxa"/>
          </w:tcPr>
          <w:p w14:paraId="3A5C443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0.9985</w:t>
            </w:r>
          </w:p>
        </w:tc>
      </w:tr>
      <w:tr w:rsidR="00B57608" w:rsidRPr="00961F99" w14:paraId="39685E62" w14:textId="77777777" w:rsidTr="00376A59">
        <w:trPr>
          <w:jc w:val="center"/>
        </w:trPr>
        <w:tc>
          <w:tcPr>
            <w:tcW w:w="1845" w:type="dxa"/>
          </w:tcPr>
          <w:p w14:paraId="2BDCEF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Left-step integration (lower bound)</w:t>
            </w:r>
          </w:p>
        </w:tc>
        <w:tc>
          <w:tcPr>
            <w:tcW w:w="1930" w:type="dxa"/>
          </w:tcPr>
          <w:p w14:paraId="55E3B1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76,659</w:t>
            </w:r>
          </w:p>
        </w:tc>
        <w:tc>
          <w:tcPr>
            <w:tcW w:w="1930" w:type="dxa"/>
          </w:tcPr>
          <w:p w14:paraId="1B2968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10.55</w:t>
            </w:r>
          </w:p>
        </w:tc>
        <w:tc>
          <w:tcPr>
            <w:tcW w:w="1930" w:type="dxa"/>
          </w:tcPr>
          <w:p w14:paraId="1E9994F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0.9875</w:t>
            </w:r>
          </w:p>
        </w:tc>
        <w:tc>
          <w:tcPr>
            <w:tcW w:w="1815" w:type="dxa"/>
          </w:tcPr>
          <w:p w14:paraId="04F4AB9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0.9592</w:t>
            </w:r>
          </w:p>
        </w:tc>
      </w:tr>
      <w:tr w:rsidR="00B57608" w:rsidRPr="00961F99" w14:paraId="3BAAA07C" w14:textId="77777777" w:rsidTr="00376A59">
        <w:trPr>
          <w:jc w:val="center"/>
        </w:trPr>
        <w:tc>
          <w:tcPr>
            <w:tcW w:w="1845" w:type="dxa"/>
          </w:tcPr>
          <w:p w14:paraId="73F99F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Upper-Riemann integration (upper bound)</w:t>
            </w:r>
          </w:p>
        </w:tc>
        <w:tc>
          <w:tcPr>
            <w:tcW w:w="1930" w:type="dxa"/>
          </w:tcPr>
          <w:p w14:paraId="4A766E9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76,659</w:t>
            </w:r>
          </w:p>
        </w:tc>
        <w:tc>
          <w:tcPr>
            <w:tcW w:w="1930" w:type="dxa"/>
          </w:tcPr>
          <w:p w14:paraId="3C7EB07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47.07</w:t>
            </w:r>
          </w:p>
        </w:tc>
        <w:tc>
          <w:tcPr>
            <w:tcW w:w="1930" w:type="dxa"/>
          </w:tcPr>
          <w:p w14:paraId="634586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0.9923</w:t>
            </w:r>
          </w:p>
        </w:tc>
        <w:tc>
          <w:tcPr>
            <w:tcW w:w="1815" w:type="dxa"/>
          </w:tcPr>
          <w:p w14:paraId="7D40D7F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0.9791</w:t>
            </w:r>
          </w:p>
        </w:tc>
      </w:tr>
      <w:tr w:rsidR="00B57608" w:rsidRPr="00961F99" w14:paraId="05E308A5" w14:textId="77777777" w:rsidTr="00376A59">
        <w:trPr>
          <w:jc w:val="center"/>
        </w:trPr>
        <w:tc>
          <w:tcPr>
            <w:tcW w:w="1845" w:type="dxa"/>
          </w:tcPr>
          <w:p w14:paraId="1BDB88E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Below-grade pathway off</w:t>
            </w:r>
          </w:p>
        </w:tc>
        <w:tc>
          <w:tcPr>
            <w:tcW w:w="1930" w:type="dxa"/>
          </w:tcPr>
          <w:p w14:paraId="501F76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76,659</w:t>
            </w:r>
          </w:p>
        </w:tc>
        <w:tc>
          <w:tcPr>
            <w:tcW w:w="1930" w:type="dxa"/>
          </w:tcPr>
          <w:p w14:paraId="62113CD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15.22</w:t>
            </w:r>
          </w:p>
        </w:tc>
        <w:tc>
          <w:tcPr>
            <w:tcW w:w="1930" w:type="dxa"/>
          </w:tcPr>
          <w:p w14:paraId="4A584D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0.8570</w:t>
            </w:r>
          </w:p>
        </w:tc>
        <w:tc>
          <w:tcPr>
            <w:tcW w:w="1815" w:type="dxa"/>
          </w:tcPr>
          <w:p w14:paraId="38ADFD8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0.8215</w:t>
            </w:r>
          </w:p>
        </w:tc>
      </w:tr>
      <w:tr w:rsidR="00B57608" w:rsidRPr="00961F99" w14:paraId="5F7BB9C7" w14:textId="77777777" w:rsidTr="00376A59">
        <w:trPr>
          <w:jc w:val="center"/>
        </w:trPr>
        <w:tc>
          <w:tcPr>
            <w:tcW w:w="1845" w:type="dxa"/>
          </w:tcPr>
          <w:p w14:paraId="71CF60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Pluvial drainage bound (-0.2 m)</w:t>
            </w:r>
          </w:p>
        </w:tc>
        <w:tc>
          <w:tcPr>
            <w:tcW w:w="1930" w:type="dxa"/>
          </w:tcPr>
          <w:p w14:paraId="3BA4E92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76,659</w:t>
            </w:r>
          </w:p>
        </w:tc>
        <w:tc>
          <w:tcPr>
            <w:tcW w:w="1930" w:type="dxa"/>
          </w:tcPr>
          <w:p w14:paraId="4092595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19.60</w:t>
            </w:r>
          </w:p>
        </w:tc>
        <w:tc>
          <w:tcPr>
            <w:tcW w:w="1930" w:type="dxa"/>
          </w:tcPr>
          <w:p w14:paraId="497AFB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0.9147</w:t>
            </w:r>
          </w:p>
        </w:tc>
        <w:tc>
          <w:tcPr>
            <w:tcW w:w="1815" w:type="dxa"/>
          </w:tcPr>
          <w:p w14:paraId="0E0E8E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0.9487</w:t>
            </w:r>
          </w:p>
        </w:tc>
      </w:tr>
    </w:tbl>
    <w:p w14:paraId="2892E5A1" w14:textId="77777777" w:rsidR="00B57608" w:rsidRPr="00961F99" w:rsidRDefault="00B57608" w:rsidP="00757EC6">
      <w:pPr>
        <w:spacing w:after="40"/>
        <w:jc w:val="both"/>
        <w:rPr>
          <w:rFonts w:asciiTheme="majorBidi" w:hAnsiTheme="majorBidi" w:cstheme="majorBidi"/>
        </w:rPr>
      </w:pPr>
    </w:p>
    <w:p w14:paraId="26801F44"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Rank correlations against the central specification remain at or above 0.821 for both tract-level metrics under every alternative tested, including the two integration bounds that move the national total by more than a factor of four. The spatial pattern that the regime classification rests on is therefore substantially more stable than the dollar level of the estimate, which is the basis for treating channel shares, hazard contrasts and regime geography as the primary findings.</w:t>
      </w:r>
    </w:p>
    <w:p w14:paraId="1C3C3C03"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D3. Sensitivity to the per-event deductible</w:t>
      </w:r>
    </w:p>
    <w:p w14:paraId="4DD6FD6E" w14:textId="6FD4E9A0" w:rsidR="00B57608" w:rsidRPr="00961F99" w:rsidRDefault="003B27C7" w:rsidP="00757EC6">
      <w:pPr>
        <w:jc w:val="both"/>
        <w:rPr>
          <w:rFonts w:asciiTheme="majorBidi" w:hAnsiTheme="majorBidi" w:cstheme="majorBidi"/>
        </w:rPr>
      </w:pPr>
      <w:r w:rsidRPr="00961F99">
        <w:rPr>
          <w:rFonts w:asciiTheme="majorBidi" w:hAnsiTheme="majorBidi" w:cstheme="majorBidi"/>
        </w:rPr>
        <w:t>The central specification applies a flat $1,500 per-event deductible. NFIP minimum deductibles range from approximately $1,000 to $2,000 and optional deductibles reach $10,000, and a residential private flood program reports an average deductible of $4,374 across approximately 60,000 risks. Table S17 recomputes the full chain across this range, including a zero-deductible reference.</w:t>
      </w:r>
    </w:p>
    <w:p w14:paraId="4BC54398"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S17 | </w:t>
      </w:r>
      <w:r w:rsidRPr="00961F99">
        <w:rPr>
          <w:rFonts w:asciiTheme="majorBidi" w:hAnsiTheme="majorBidi" w:cstheme="majorBidi"/>
          <w:sz w:val="19"/>
          <w:szCs w:val="19"/>
        </w:rPr>
        <w:t>Sensitivity of the burden channels to the per-event deductible, combined hazard layer. Expected annual loss is invariant to the deductible by construction; the deductible shifts loss between expected covered payout and public shortfall.</w:t>
      </w:r>
    </w:p>
    <w:tbl>
      <w:tblPr>
        <w:tblStyle w:val="af"/>
        <w:tblW w:w="9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3"/>
        <w:gridCol w:w="1608"/>
        <w:gridCol w:w="1608"/>
        <w:gridCol w:w="1608"/>
        <w:gridCol w:w="1608"/>
        <w:gridCol w:w="1608"/>
      </w:tblGrid>
      <w:tr w:rsidR="00B57608" w:rsidRPr="00961F99" w14:paraId="6EF0920A" w14:textId="77777777" w:rsidTr="00376A59">
        <w:trPr>
          <w:tblHeader/>
          <w:jc w:val="center"/>
        </w:trPr>
        <w:tc>
          <w:tcPr>
            <w:tcW w:w="1433" w:type="dxa"/>
          </w:tcPr>
          <w:p w14:paraId="69BF07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Per-event deductible</w:t>
            </w:r>
          </w:p>
        </w:tc>
        <w:tc>
          <w:tcPr>
            <w:tcW w:w="1608" w:type="dxa"/>
          </w:tcPr>
          <w:p w14:paraId="609DAD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EAL ($B yr⁻¹)</w:t>
            </w:r>
          </w:p>
        </w:tc>
        <w:tc>
          <w:tcPr>
            <w:tcW w:w="1608" w:type="dxa"/>
          </w:tcPr>
          <w:p w14:paraId="1C22AA9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Expected payout ($B yr⁻¹)</w:t>
            </w:r>
          </w:p>
        </w:tc>
        <w:tc>
          <w:tcPr>
            <w:tcW w:w="1608" w:type="dxa"/>
          </w:tcPr>
          <w:p w14:paraId="78F6E6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Public shortfall ($B yr⁻¹)</w:t>
            </w:r>
          </w:p>
        </w:tc>
        <w:tc>
          <w:tcPr>
            <w:tcW w:w="1608" w:type="dxa"/>
          </w:tcPr>
          <w:p w14:paraId="32FC5EC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NFIP shortfall ($B yr⁻¹)</w:t>
            </w:r>
          </w:p>
        </w:tc>
        <w:tc>
          <w:tcPr>
            <w:tcW w:w="1608" w:type="dxa"/>
          </w:tcPr>
          <w:p w14:paraId="16CDC4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Public share of EAL</w:t>
            </w:r>
          </w:p>
        </w:tc>
      </w:tr>
      <w:tr w:rsidR="00B57608" w:rsidRPr="00961F99" w14:paraId="1F351160" w14:textId="77777777" w:rsidTr="00376A59">
        <w:trPr>
          <w:jc w:val="center"/>
        </w:trPr>
        <w:tc>
          <w:tcPr>
            <w:tcW w:w="1433" w:type="dxa"/>
          </w:tcPr>
          <w:p w14:paraId="1E1F823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w:t>
            </w:r>
          </w:p>
        </w:tc>
        <w:tc>
          <w:tcPr>
            <w:tcW w:w="1608" w:type="dxa"/>
          </w:tcPr>
          <w:p w14:paraId="39D275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25.667</w:t>
            </w:r>
          </w:p>
        </w:tc>
        <w:tc>
          <w:tcPr>
            <w:tcW w:w="1608" w:type="dxa"/>
          </w:tcPr>
          <w:p w14:paraId="59F972E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4.888</w:t>
            </w:r>
          </w:p>
        </w:tc>
        <w:tc>
          <w:tcPr>
            <w:tcW w:w="1608" w:type="dxa"/>
          </w:tcPr>
          <w:p w14:paraId="51BA91F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20.779</w:t>
            </w:r>
          </w:p>
        </w:tc>
        <w:tc>
          <w:tcPr>
            <w:tcW w:w="1608" w:type="dxa"/>
          </w:tcPr>
          <w:p w14:paraId="7D7F70F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3.664</w:t>
            </w:r>
          </w:p>
        </w:tc>
        <w:tc>
          <w:tcPr>
            <w:tcW w:w="1608" w:type="dxa"/>
          </w:tcPr>
          <w:p w14:paraId="1D1DE70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80.96%</w:t>
            </w:r>
          </w:p>
        </w:tc>
      </w:tr>
      <w:tr w:rsidR="00B57608" w:rsidRPr="00961F99" w14:paraId="7F2D74C6" w14:textId="77777777" w:rsidTr="00376A59">
        <w:trPr>
          <w:jc w:val="center"/>
        </w:trPr>
        <w:tc>
          <w:tcPr>
            <w:tcW w:w="1433" w:type="dxa"/>
          </w:tcPr>
          <w:p w14:paraId="51E83FD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$1,000</w:t>
            </w:r>
          </w:p>
        </w:tc>
        <w:tc>
          <w:tcPr>
            <w:tcW w:w="1608" w:type="dxa"/>
          </w:tcPr>
          <w:p w14:paraId="55E58B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25.667</w:t>
            </w:r>
          </w:p>
        </w:tc>
        <w:tc>
          <w:tcPr>
            <w:tcW w:w="1608" w:type="dxa"/>
          </w:tcPr>
          <w:p w14:paraId="62236F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4.829</w:t>
            </w:r>
          </w:p>
        </w:tc>
        <w:tc>
          <w:tcPr>
            <w:tcW w:w="1608" w:type="dxa"/>
          </w:tcPr>
          <w:p w14:paraId="048022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20.838</w:t>
            </w:r>
          </w:p>
        </w:tc>
        <w:tc>
          <w:tcPr>
            <w:tcW w:w="1608" w:type="dxa"/>
          </w:tcPr>
          <w:p w14:paraId="42C4F6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3.617</w:t>
            </w:r>
          </w:p>
        </w:tc>
        <w:tc>
          <w:tcPr>
            <w:tcW w:w="1608" w:type="dxa"/>
          </w:tcPr>
          <w:p w14:paraId="193E1E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81.19%</w:t>
            </w:r>
          </w:p>
        </w:tc>
      </w:tr>
      <w:tr w:rsidR="00B57608" w:rsidRPr="00961F99" w14:paraId="4337DB71" w14:textId="77777777" w:rsidTr="00376A59">
        <w:trPr>
          <w:jc w:val="center"/>
        </w:trPr>
        <w:tc>
          <w:tcPr>
            <w:tcW w:w="1433" w:type="dxa"/>
          </w:tcPr>
          <w:p w14:paraId="0DE5BA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$1,500</w:t>
            </w:r>
          </w:p>
        </w:tc>
        <w:tc>
          <w:tcPr>
            <w:tcW w:w="1608" w:type="dxa"/>
          </w:tcPr>
          <w:p w14:paraId="412CDF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25.667</w:t>
            </w:r>
          </w:p>
        </w:tc>
        <w:tc>
          <w:tcPr>
            <w:tcW w:w="1608" w:type="dxa"/>
          </w:tcPr>
          <w:p w14:paraId="718AFD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4.801</w:t>
            </w:r>
          </w:p>
        </w:tc>
        <w:tc>
          <w:tcPr>
            <w:tcW w:w="1608" w:type="dxa"/>
          </w:tcPr>
          <w:p w14:paraId="7C1E6B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20.866</w:t>
            </w:r>
          </w:p>
        </w:tc>
        <w:tc>
          <w:tcPr>
            <w:tcW w:w="1608" w:type="dxa"/>
          </w:tcPr>
          <w:p w14:paraId="36093F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3.594</w:t>
            </w:r>
          </w:p>
        </w:tc>
        <w:tc>
          <w:tcPr>
            <w:tcW w:w="1608" w:type="dxa"/>
          </w:tcPr>
          <w:p w14:paraId="1BDE88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81.30%</w:t>
            </w:r>
          </w:p>
        </w:tc>
      </w:tr>
      <w:tr w:rsidR="00B57608" w:rsidRPr="00961F99" w14:paraId="222B5707" w14:textId="77777777" w:rsidTr="00376A59">
        <w:trPr>
          <w:jc w:val="center"/>
        </w:trPr>
        <w:tc>
          <w:tcPr>
            <w:tcW w:w="1433" w:type="dxa"/>
          </w:tcPr>
          <w:p w14:paraId="50EA54B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$2,000</w:t>
            </w:r>
          </w:p>
        </w:tc>
        <w:tc>
          <w:tcPr>
            <w:tcW w:w="1608" w:type="dxa"/>
          </w:tcPr>
          <w:p w14:paraId="48C1DC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25.667</w:t>
            </w:r>
          </w:p>
        </w:tc>
        <w:tc>
          <w:tcPr>
            <w:tcW w:w="1608" w:type="dxa"/>
          </w:tcPr>
          <w:p w14:paraId="504583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4.773</w:t>
            </w:r>
          </w:p>
        </w:tc>
        <w:tc>
          <w:tcPr>
            <w:tcW w:w="1608" w:type="dxa"/>
          </w:tcPr>
          <w:p w14:paraId="15D1EA8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20.894</w:t>
            </w:r>
          </w:p>
        </w:tc>
        <w:tc>
          <w:tcPr>
            <w:tcW w:w="1608" w:type="dxa"/>
          </w:tcPr>
          <w:p w14:paraId="311F765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3.572</w:t>
            </w:r>
          </w:p>
        </w:tc>
        <w:tc>
          <w:tcPr>
            <w:tcW w:w="1608" w:type="dxa"/>
          </w:tcPr>
          <w:p w14:paraId="1F0BC9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81.40%</w:t>
            </w:r>
          </w:p>
        </w:tc>
      </w:tr>
      <w:tr w:rsidR="00B57608" w:rsidRPr="00961F99" w14:paraId="11911E13" w14:textId="77777777" w:rsidTr="00376A59">
        <w:trPr>
          <w:jc w:val="center"/>
        </w:trPr>
        <w:tc>
          <w:tcPr>
            <w:tcW w:w="1433" w:type="dxa"/>
          </w:tcPr>
          <w:p w14:paraId="73B6605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$4,374</w:t>
            </w:r>
          </w:p>
        </w:tc>
        <w:tc>
          <w:tcPr>
            <w:tcW w:w="1608" w:type="dxa"/>
          </w:tcPr>
          <w:p w14:paraId="369AB74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25.667</w:t>
            </w:r>
          </w:p>
        </w:tc>
        <w:tc>
          <w:tcPr>
            <w:tcW w:w="1608" w:type="dxa"/>
          </w:tcPr>
          <w:p w14:paraId="6877131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4.647</w:t>
            </w:r>
          </w:p>
        </w:tc>
        <w:tc>
          <w:tcPr>
            <w:tcW w:w="1608" w:type="dxa"/>
          </w:tcPr>
          <w:p w14:paraId="3B2508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21.020</w:t>
            </w:r>
          </w:p>
        </w:tc>
        <w:tc>
          <w:tcPr>
            <w:tcW w:w="1608" w:type="dxa"/>
          </w:tcPr>
          <w:p w14:paraId="16D5C5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3.467</w:t>
            </w:r>
          </w:p>
        </w:tc>
        <w:tc>
          <w:tcPr>
            <w:tcW w:w="1608" w:type="dxa"/>
          </w:tcPr>
          <w:p w14:paraId="2214C33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81.90%</w:t>
            </w:r>
          </w:p>
        </w:tc>
      </w:tr>
      <w:tr w:rsidR="00B57608" w:rsidRPr="00961F99" w14:paraId="6C4A2722" w14:textId="77777777" w:rsidTr="00376A59">
        <w:trPr>
          <w:jc w:val="center"/>
        </w:trPr>
        <w:tc>
          <w:tcPr>
            <w:tcW w:w="1433" w:type="dxa"/>
          </w:tcPr>
          <w:p w14:paraId="073B68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$10,000</w:t>
            </w:r>
          </w:p>
        </w:tc>
        <w:tc>
          <w:tcPr>
            <w:tcW w:w="1608" w:type="dxa"/>
          </w:tcPr>
          <w:p w14:paraId="0D1BB6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25.667</w:t>
            </w:r>
          </w:p>
        </w:tc>
        <w:tc>
          <w:tcPr>
            <w:tcW w:w="1608" w:type="dxa"/>
          </w:tcPr>
          <w:p w14:paraId="7B3020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4.369</w:t>
            </w:r>
          </w:p>
        </w:tc>
        <w:tc>
          <w:tcPr>
            <w:tcW w:w="1608" w:type="dxa"/>
          </w:tcPr>
          <w:p w14:paraId="0066F42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21.298</w:t>
            </w:r>
          </w:p>
        </w:tc>
        <w:tc>
          <w:tcPr>
            <w:tcW w:w="1608" w:type="dxa"/>
          </w:tcPr>
          <w:p w14:paraId="08B024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3.234</w:t>
            </w:r>
          </w:p>
        </w:tc>
        <w:tc>
          <w:tcPr>
            <w:tcW w:w="1608" w:type="dxa"/>
          </w:tcPr>
          <w:p w14:paraId="6867AC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82.98%</w:t>
            </w:r>
          </w:p>
        </w:tc>
      </w:tr>
    </w:tbl>
    <w:p w14:paraId="73CC291A" w14:textId="77777777" w:rsidR="00B57608" w:rsidRPr="00961F99" w:rsidRDefault="00B57608" w:rsidP="00757EC6">
      <w:pPr>
        <w:spacing w:after="40"/>
        <w:jc w:val="both"/>
        <w:rPr>
          <w:rFonts w:asciiTheme="majorBidi" w:hAnsiTheme="majorBidi" w:cstheme="majorBidi"/>
        </w:rPr>
      </w:pPr>
    </w:p>
    <w:p w14:paraId="7A51BE0E"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lastRenderedPageBreak/>
        <w:t>The deductible is not a material driver of the national result. Raising it from $1,500 to $4,374 lowers expected covered payout from $4.801B to $4.647B, a reduction of 3.2%, and raising it to $10,000 lowers payout to $4.369B, a reduction of 9.0%. Expected annual loss is unaffected by construction, and the public share of expected annual loss moves by well under one percentage point across the entire range. The insensitivity arises because annualized payout is dominated by moderate and rare events whose losses greatly exceed any deductible in this range; the deductible matters for the frequent, shallow events that contribute the low-expected-loss end of the distribution, which is where its signature appears in Figure S15 and in the U-shaped residual reported in Table S4.</w:t>
      </w:r>
    </w:p>
    <w:p w14:paraId="2CF529C8"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D4. Losses below the deductible and above the coverage limit</w:t>
      </w:r>
    </w:p>
    <w:p w14:paraId="54509986"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The residual uncovered loss carried by insured buildings is often summarized as a single underinsurance figure, but it has two mechanically distinct sources: the portion of each event loss absorbed by the deductible, and the portion exceeding the building-coverage limit. Separating them provides a measure of coverage adequacy that does not depend on the reconstructed premium base at all, and it tests directly the mechanism the main text invokes to explain the shape of the burden-share curves.</w:t>
      </w:r>
    </w:p>
    <w:p w14:paraId="331E888A"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S18 | </w:t>
      </w:r>
      <w:r w:rsidRPr="00961F99">
        <w:rPr>
          <w:rFonts w:asciiTheme="majorBidi" w:hAnsiTheme="majorBidi" w:cstheme="majorBidi"/>
          <w:sz w:val="19"/>
          <w:szCs w:val="19"/>
        </w:rPr>
        <w:t>Decomposition of combined-hazard expected annual loss into expected covered payout and the components of public shortfall, separating loss on uninsured buildings from the deductible-absorbed and limit-exceeding components on insured buildings. The residual row absorbs the interaction between the deductible and the coverage limit within the annualization.</w:t>
      </w:r>
    </w:p>
    <w:tbl>
      <w:tblPr>
        <w:tblStyle w:val="af0"/>
        <w:tblW w:w="9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1"/>
        <w:gridCol w:w="3216"/>
        <w:gridCol w:w="3216"/>
      </w:tblGrid>
      <w:tr w:rsidR="00B57608" w:rsidRPr="00961F99" w14:paraId="0A608F02" w14:textId="77777777" w:rsidTr="00376A59">
        <w:trPr>
          <w:tblHeader/>
          <w:jc w:val="center"/>
        </w:trPr>
        <w:tc>
          <w:tcPr>
            <w:tcW w:w="3041" w:type="dxa"/>
          </w:tcPr>
          <w:p w14:paraId="3568EE5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Quantity</w:t>
            </w:r>
          </w:p>
        </w:tc>
        <w:tc>
          <w:tcPr>
            <w:tcW w:w="3216" w:type="dxa"/>
          </w:tcPr>
          <w:p w14:paraId="158BB7F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Value ($B yr⁻¹)</w:t>
            </w:r>
          </w:p>
        </w:tc>
        <w:tc>
          <w:tcPr>
            <w:tcW w:w="3216" w:type="dxa"/>
          </w:tcPr>
          <w:p w14:paraId="2C1DB2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Share of combined EAL</w:t>
            </w:r>
          </w:p>
        </w:tc>
      </w:tr>
      <w:tr w:rsidR="00B57608" w:rsidRPr="00961F99" w14:paraId="07C0D79A" w14:textId="77777777" w:rsidTr="00376A59">
        <w:trPr>
          <w:jc w:val="center"/>
        </w:trPr>
        <w:tc>
          <w:tcPr>
            <w:tcW w:w="3041" w:type="dxa"/>
          </w:tcPr>
          <w:p w14:paraId="355AE5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Combined-hazard EAL, all buildings</w:t>
            </w:r>
          </w:p>
        </w:tc>
        <w:tc>
          <w:tcPr>
            <w:tcW w:w="3216" w:type="dxa"/>
          </w:tcPr>
          <w:p w14:paraId="7B313A9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25.667</w:t>
            </w:r>
          </w:p>
        </w:tc>
        <w:tc>
          <w:tcPr>
            <w:tcW w:w="3216" w:type="dxa"/>
          </w:tcPr>
          <w:p w14:paraId="2AA144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100.00%</w:t>
            </w:r>
          </w:p>
        </w:tc>
      </w:tr>
      <w:tr w:rsidR="00B57608" w:rsidRPr="00961F99" w14:paraId="0F2DC7BB" w14:textId="77777777" w:rsidTr="00376A59">
        <w:trPr>
          <w:jc w:val="center"/>
        </w:trPr>
        <w:tc>
          <w:tcPr>
            <w:tcW w:w="3041" w:type="dxa"/>
          </w:tcPr>
          <w:p w14:paraId="0C1BE85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EAL on insured buildings</w:t>
            </w:r>
          </w:p>
        </w:tc>
        <w:tc>
          <w:tcPr>
            <w:tcW w:w="3216" w:type="dxa"/>
          </w:tcPr>
          <w:p w14:paraId="25AD30B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6.196</w:t>
            </w:r>
          </w:p>
        </w:tc>
        <w:tc>
          <w:tcPr>
            <w:tcW w:w="3216" w:type="dxa"/>
          </w:tcPr>
          <w:p w14:paraId="0031BD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24.14%</w:t>
            </w:r>
          </w:p>
        </w:tc>
      </w:tr>
      <w:tr w:rsidR="00B57608" w:rsidRPr="00961F99" w14:paraId="382DF9B2" w14:textId="77777777" w:rsidTr="00376A59">
        <w:trPr>
          <w:jc w:val="center"/>
        </w:trPr>
        <w:tc>
          <w:tcPr>
            <w:tcW w:w="3041" w:type="dxa"/>
          </w:tcPr>
          <w:p w14:paraId="6A54130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Expected covered payout</w:t>
            </w:r>
          </w:p>
        </w:tc>
        <w:tc>
          <w:tcPr>
            <w:tcW w:w="3216" w:type="dxa"/>
          </w:tcPr>
          <w:p w14:paraId="366A96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4.801</w:t>
            </w:r>
          </w:p>
        </w:tc>
        <w:tc>
          <w:tcPr>
            <w:tcW w:w="3216" w:type="dxa"/>
          </w:tcPr>
          <w:p w14:paraId="322E603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18.70%</w:t>
            </w:r>
          </w:p>
        </w:tc>
      </w:tr>
      <w:tr w:rsidR="00B57608" w:rsidRPr="00961F99" w14:paraId="3586275E" w14:textId="77777777" w:rsidTr="00376A59">
        <w:trPr>
          <w:jc w:val="center"/>
        </w:trPr>
        <w:tc>
          <w:tcPr>
            <w:tcW w:w="3041" w:type="dxa"/>
          </w:tcPr>
          <w:p w14:paraId="56D0E1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Public shortfall, total</w:t>
            </w:r>
          </w:p>
        </w:tc>
        <w:tc>
          <w:tcPr>
            <w:tcW w:w="3216" w:type="dxa"/>
          </w:tcPr>
          <w:p w14:paraId="2670820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20.866</w:t>
            </w:r>
          </w:p>
        </w:tc>
        <w:tc>
          <w:tcPr>
            <w:tcW w:w="3216" w:type="dxa"/>
          </w:tcPr>
          <w:p w14:paraId="4538F7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81.30%</w:t>
            </w:r>
          </w:p>
        </w:tc>
      </w:tr>
      <w:tr w:rsidR="00B57608" w:rsidRPr="00961F99" w14:paraId="03270030" w14:textId="77777777" w:rsidTr="00376A59">
        <w:trPr>
          <w:jc w:val="center"/>
        </w:trPr>
        <w:tc>
          <w:tcPr>
            <w:tcW w:w="3041" w:type="dxa"/>
          </w:tcPr>
          <w:p w14:paraId="76A1231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 xml:space="preserve">  of which: on uninsured buildings</w:t>
            </w:r>
          </w:p>
        </w:tc>
        <w:tc>
          <w:tcPr>
            <w:tcW w:w="3216" w:type="dxa"/>
          </w:tcPr>
          <w:p w14:paraId="1ECB9F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19.471</w:t>
            </w:r>
          </w:p>
        </w:tc>
        <w:tc>
          <w:tcPr>
            <w:tcW w:w="3216" w:type="dxa"/>
          </w:tcPr>
          <w:p w14:paraId="04B732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75.86%</w:t>
            </w:r>
          </w:p>
        </w:tc>
      </w:tr>
      <w:tr w:rsidR="00B57608" w:rsidRPr="00961F99" w14:paraId="0ED70CFE" w14:textId="77777777" w:rsidTr="00376A59">
        <w:trPr>
          <w:jc w:val="center"/>
        </w:trPr>
        <w:tc>
          <w:tcPr>
            <w:tcW w:w="3041" w:type="dxa"/>
          </w:tcPr>
          <w:p w14:paraId="0A3ED1E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 xml:space="preserve">  of which: on insured buildings</w:t>
            </w:r>
          </w:p>
        </w:tc>
        <w:tc>
          <w:tcPr>
            <w:tcW w:w="3216" w:type="dxa"/>
          </w:tcPr>
          <w:p w14:paraId="2706978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1.395</w:t>
            </w:r>
          </w:p>
        </w:tc>
        <w:tc>
          <w:tcPr>
            <w:tcW w:w="3216" w:type="dxa"/>
          </w:tcPr>
          <w:p w14:paraId="42F011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5.44%</w:t>
            </w:r>
          </w:p>
        </w:tc>
      </w:tr>
      <w:tr w:rsidR="00B57608" w:rsidRPr="00961F99" w14:paraId="57F5DEBC" w14:textId="77777777" w:rsidTr="00376A59">
        <w:trPr>
          <w:jc w:val="center"/>
        </w:trPr>
        <w:tc>
          <w:tcPr>
            <w:tcW w:w="3041" w:type="dxa"/>
          </w:tcPr>
          <w:p w14:paraId="6B1A33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 xml:space="preserve">    absorbed by the per-event deductible</w:t>
            </w:r>
          </w:p>
        </w:tc>
        <w:tc>
          <w:tcPr>
            <w:tcW w:w="3216" w:type="dxa"/>
          </w:tcPr>
          <w:p w14:paraId="672958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0.100</w:t>
            </w:r>
          </w:p>
        </w:tc>
        <w:tc>
          <w:tcPr>
            <w:tcW w:w="3216" w:type="dxa"/>
          </w:tcPr>
          <w:p w14:paraId="38455C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0.39%</w:t>
            </w:r>
          </w:p>
        </w:tc>
      </w:tr>
      <w:tr w:rsidR="00B57608" w:rsidRPr="00961F99" w14:paraId="0C233E26" w14:textId="77777777" w:rsidTr="00376A59">
        <w:trPr>
          <w:jc w:val="center"/>
        </w:trPr>
        <w:tc>
          <w:tcPr>
            <w:tcW w:w="3041" w:type="dxa"/>
          </w:tcPr>
          <w:p w14:paraId="0E6EC8E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 xml:space="preserve">    </w:t>
            </w:r>
            <w:proofErr w:type="gramStart"/>
            <w:r w:rsidRPr="00961F99">
              <w:rPr>
                <w:rFonts w:asciiTheme="majorBidi" w:hAnsiTheme="majorBidi" w:cstheme="majorBidi"/>
                <w:sz w:val="17"/>
                <w:szCs w:val="17"/>
              </w:rPr>
              <w:t>in excess of</w:t>
            </w:r>
            <w:proofErr w:type="gramEnd"/>
            <w:r w:rsidRPr="00961F99">
              <w:rPr>
                <w:rFonts w:asciiTheme="majorBidi" w:hAnsiTheme="majorBidi" w:cstheme="majorBidi"/>
                <w:sz w:val="17"/>
                <w:szCs w:val="17"/>
              </w:rPr>
              <w:t xml:space="preserve"> the coverage limit</w:t>
            </w:r>
          </w:p>
        </w:tc>
        <w:tc>
          <w:tcPr>
            <w:tcW w:w="3216" w:type="dxa"/>
          </w:tcPr>
          <w:p w14:paraId="4B1E5A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1.295</w:t>
            </w:r>
          </w:p>
        </w:tc>
        <w:tc>
          <w:tcPr>
            <w:tcW w:w="3216" w:type="dxa"/>
          </w:tcPr>
          <w:p w14:paraId="668B61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5.05%</w:t>
            </w:r>
          </w:p>
        </w:tc>
      </w:tr>
      <w:tr w:rsidR="00B57608" w:rsidRPr="00961F99" w14:paraId="74267BD2" w14:textId="77777777" w:rsidTr="00376A59">
        <w:trPr>
          <w:jc w:val="center"/>
        </w:trPr>
        <w:tc>
          <w:tcPr>
            <w:tcW w:w="3041" w:type="dxa"/>
          </w:tcPr>
          <w:p w14:paraId="3F13F9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 xml:space="preserve">    residual (rounding / interaction)</w:t>
            </w:r>
          </w:p>
        </w:tc>
        <w:tc>
          <w:tcPr>
            <w:tcW w:w="3216" w:type="dxa"/>
          </w:tcPr>
          <w:p w14:paraId="7C6961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0.000</w:t>
            </w:r>
          </w:p>
        </w:tc>
        <w:tc>
          <w:tcPr>
            <w:tcW w:w="3216" w:type="dxa"/>
          </w:tcPr>
          <w:p w14:paraId="71CD82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0.00%</w:t>
            </w:r>
          </w:p>
        </w:tc>
      </w:tr>
    </w:tbl>
    <w:p w14:paraId="036920C0" w14:textId="77777777" w:rsidR="00B57608" w:rsidRPr="00961F99" w:rsidRDefault="00B57608" w:rsidP="00757EC6">
      <w:pPr>
        <w:spacing w:after="40"/>
        <w:jc w:val="both"/>
        <w:rPr>
          <w:rFonts w:asciiTheme="majorBidi" w:hAnsiTheme="majorBidi" w:cstheme="majorBidi"/>
        </w:rPr>
      </w:pPr>
    </w:p>
    <w:p w14:paraId="731A2A28"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S19 | </w:t>
      </w:r>
      <w:r w:rsidRPr="00961F99">
        <w:rPr>
          <w:rFonts w:asciiTheme="majorBidi" w:hAnsiTheme="majorBidi" w:cstheme="majorBidi"/>
          <w:sz w:val="19"/>
          <w:szCs w:val="19"/>
        </w:rPr>
        <w:t xml:space="preserve">The same decomposition across expected-loss bands, over insured buildings only. The deductible dominates residual loss at low expected </w:t>
      </w:r>
      <w:proofErr w:type="gramStart"/>
      <w:r w:rsidRPr="00961F99">
        <w:rPr>
          <w:rFonts w:asciiTheme="majorBidi" w:hAnsiTheme="majorBidi" w:cstheme="majorBidi"/>
          <w:sz w:val="19"/>
          <w:szCs w:val="19"/>
        </w:rPr>
        <w:t>loss</w:t>
      </w:r>
      <w:proofErr w:type="gramEnd"/>
      <w:r w:rsidRPr="00961F99">
        <w:rPr>
          <w:rFonts w:asciiTheme="majorBidi" w:hAnsiTheme="majorBidi" w:cstheme="majorBidi"/>
          <w:sz w:val="19"/>
          <w:szCs w:val="19"/>
        </w:rPr>
        <w:t xml:space="preserve"> and the coverage limit dominates in the upper bands, which is the mechanism underlying the U-shaped uncovered-loss share reported in Table S4 and the upper-tail reversal in Figure S13.</w:t>
      </w:r>
    </w:p>
    <w:tbl>
      <w:tblPr>
        <w:tblStyle w:val="af1"/>
        <w:tblW w:w="9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
        <w:gridCol w:w="1206"/>
        <w:gridCol w:w="1206"/>
        <w:gridCol w:w="1206"/>
        <w:gridCol w:w="1206"/>
        <w:gridCol w:w="1206"/>
        <w:gridCol w:w="1206"/>
        <w:gridCol w:w="1206"/>
      </w:tblGrid>
      <w:tr w:rsidR="00B57608" w:rsidRPr="00961F99" w14:paraId="73DF9970" w14:textId="77777777" w:rsidTr="00376A59">
        <w:trPr>
          <w:tblHeader/>
          <w:jc w:val="center"/>
        </w:trPr>
        <w:tc>
          <w:tcPr>
            <w:tcW w:w="1031" w:type="dxa"/>
          </w:tcPr>
          <w:p w14:paraId="4DD03A8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Expected annual loss band</w:t>
            </w:r>
          </w:p>
        </w:tc>
        <w:tc>
          <w:tcPr>
            <w:tcW w:w="1206" w:type="dxa"/>
          </w:tcPr>
          <w:p w14:paraId="4861A8B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Insured buildings</w:t>
            </w:r>
          </w:p>
        </w:tc>
        <w:tc>
          <w:tcPr>
            <w:tcW w:w="1206" w:type="dxa"/>
          </w:tcPr>
          <w:p w14:paraId="6591D7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EAL ($M yr⁻¹)</w:t>
            </w:r>
          </w:p>
        </w:tc>
        <w:tc>
          <w:tcPr>
            <w:tcW w:w="1206" w:type="dxa"/>
          </w:tcPr>
          <w:p w14:paraId="27075E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Payout ($M yr⁻¹)</w:t>
            </w:r>
          </w:p>
        </w:tc>
        <w:tc>
          <w:tcPr>
            <w:tcW w:w="1206" w:type="dxa"/>
          </w:tcPr>
          <w:p w14:paraId="60BEF8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Deductible-absorbed ($M yr⁻¹)</w:t>
            </w:r>
          </w:p>
        </w:tc>
        <w:tc>
          <w:tcPr>
            <w:tcW w:w="1206" w:type="dxa"/>
          </w:tcPr>
          <w:p w14:paraId="195241D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Above coverage limit ($M yr⁻¹)</w:t>
            </w:r>
          </w:p>
        </w:tc>
        <w:tc>
          <w:tcPr>
            <w:tcW w:w="1206" w:type="dxa"/>
          </w:tcPr>
          <w:p w14:paraId="03B3CD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Deductible share of EAL</w:t>
            </w:r>
          </w:p>
        </w:tc>
        <w:tc>
          <w:tcPr>
            <w:tcW w:w="1206" w:type="dxa"/>
          </w:tcPr>
          <w:p w14:paraId="23EA703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Above-limit share of EAL</w:t>
            </w:r>
          </w:p>
        </w:tc>
      </w:tr>
      <w:tr w:rsidR="00B57608" w:rsidRPr="00961F99" w14:paraId="73C6B03A" w14:textId="77777777" w:rsidTr="00376A59">
        <w:trPr>
          <w:jc w:val="center"/>
        </w:trPr>
        <w:tc>
          <w:tcPr>
            <w:tcW w:w="1031" w:type="dxa"/>
          </w:tcPr>
          <w:p w14:paraId="640E45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$0-100</w:t>
            </w:r>
          </w:p>
        </w:tc>
        <w:tc>
          <w:tcPr>
            <w:tcW w:w="1206" w:type="dxa"/>
          </w:tcPr>
          <w:p w14:paraId="127A708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215,969</w:t>
            </w:r>
          </w:p>
        </w:tc>
        <w:tc>
          <w:tcPr>
            <w:tcW w:w="1206" w:type="dxa"/>
          </w:tcPr>
          <w:p w14:paraId="7E3B25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9.5</w:t>
            </w:r>
          </w:p>
        </w:tc>
        <w:tc>
          <w:tcPr>
            <w:tcW w:w="1206" w:type="dxa"/>
          </w:tcPr>
          <w:p w14:paraId="3E0997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8.0</w:t>
            </w:r>
          </w:p>
        </w:tc>
        <w:tc>
          <w:tcPr>
            <w:tcW w:w="1206" w:type="dxa"/>
          </w:tcPr>
          <w:p w14:paraId="110AB39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w:t>
            </w:r>
          </w:p>
        </w:tc>
        <w:tc>
          <w:tcPr>
            <w:tcW w:w="1206" w:type="dxa"/>
          </w:tcPr>
          <w:p w14:paraId="629943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0.0</w:t>
            </w:r>
          </w:p>
        </w:tc>
        <w:tc>
          <w:tcPr>
            <w:tcW w:w="1206" w:type="dxa"/>
          </w:tcPr>
          <w:p w14:paraId="2CBAED0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15.2%</w:t>
            </w:r>
          </w:p>
        </w:tc>
        <w:tc>
          <w:tcPr>
            <w:tcW w:w="1206" w:type="dxa"/>
          </w:tcPr>
          <w:p w14:paraId="1A240B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0.3%</w:t>
            </w:r>
          </w:p>
        </w:tc>
      </w:tr>
      <w:tr w:rsidR="00B57608" w:rsidRPr="00961F99" w14:paraId="2D1DB3BA" w14:textId="77777777" w:rsidTr="00376A59">
        <w:trPr>
          <w:jc w:val="center"/>
        </w:trPr>
        <w:tc>
          <w:tcPr>
            <w:tcW w:w="1031" w:type="dxa"/>
          </w:tcPr>
          <w:p w14:paraId="286387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$100-1K</w:t>
            </w:r>
          </w:p>
        </w:tc>
        <w:tc>
          <w:tcPr>
            <w:tcW w:w="1206" w:type="dxa"/>
          </w:tcPr>
          <w:p w14:paraId="0D6057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736,051</w:t>
            </w:r>
          </w:p>
        </w:tc>
        <w:tc>
          <w:tcPr>
            <w:tcW w:w="1206" w:type="dxa"/>
          </w:tcPr>
          <w:p w14:paraId="441AA1E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359.7</w:t>
            </w:r>
          </w:p>
        </w:tc>
        <w:tc>
          <w:tcPr>
            <w:tcW w:w="1206" w:type="dxa"/>
          </w:tcPr>
          <w:p w14:paraId="4CC1DD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332.1</w:t>
            </w:r>
          </w:p>
        </w:tc>
        <w:tc>
          <w:tcPr>
            <w:tcW w:w="1206" w:type="dxa"/>
          </w:tcPr>
          <w:p w14:paraId="4450F0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16.6</w:t>
            </w:r>
          </w:p>
        </w:tc>
        <w:tc>
          <w:tcPr>
            <w:tcW w:w="1206" w:type="dxa"/>
          </w:tcPr>
          <w:p w14:paraId="703111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11.0</w:t>
            </w:r>
          </w:p>
        </w:tc>
        <w:tc>
          <w:tcPr>
            <w:tcW w:w="1206" w:type="dxa"/>
          </w:tcPr>
          <w:p w14:paraId="257A33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4.6%</w:t>
            </w:r>
          </w:p>
        </w:tc>
        <w:tc>
          <w:tcPr>
            <w:tcW w:w="1206" w:type="dxa"/>
          </w:tcPr>
          <w:p w14:paraId="5C1F05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3.1%</w:t>
            </w:r>
          </w:p>
        </w:tc>
      </w:tr>
      <w:tr w:rsidR="00B57608" w:rsidRPr="00961F99" w14:paraId="72E2680F" w14:textId="77777777" w:rsidTr="00376A59">
        <w:trPr>
          <w:jc w:val="center"/>
        </w:trPr>
        <w:tc>
          <w:tcPr>
            <w:tcW w:w="1031" w:type="dxa"/>
          </w:tcPr>
          <w:p w14:paraId="6784B2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$1K-10K</w:t>
            </w:r>
          </w:p>
        </w:tc>
        <w:tc>
          <w:tcPr>
            <w:tcW w:w="1206" w:type="dxa"/>
          </w:tcPr>
          <w:p w14:paraId="68BFA5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758,210</w:t>
            </w:r>
          </w:p>
        </w:tc>
        <w:tc>
          <w:tcPr>
            <w:tcW w:w="1206" w:type="dxa"/>
          </w:tcPr>
          <w:p w14:paraId="1B4B34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2,649.4</w:t>
            </w:r>
          </w:p>
        </w:tc>
        <w:tc>
          <w:tcPr>
            <w:tcW w:w="1206" w:type="dxa"/>
          </w:tcPr>
          <w:p w14:paraId="2F2FBF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2,212.1</w:t>
            </w:r>
          </w:p>
        </w:tc>
        <w:tc>
          <w:tcPr>
            <w:tcW w:w="1206" w:type="dxa"/>
          </w:tcPr>
          <w:p w14:paraId="55E328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55.4</w:t>
            </w:r>
          </w:p>
        </w:tc>
        <w:tc>
          <w:tcPr>
            <w:tcW w:w="1206" w:type="dxa"/>
          </w:tcPr>
          <w:p w14:paraId="06A095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381.8</w:t>
            </w:r>
          </w:p>
        </w:tc>
        <w:tc>
          <w:tcPr>
            <w:tcW w:w="1206" w:type="dxa"/>
          </w:tcPr>
          <w:p w14:paraId="599885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2.1%</w:t>
            </w:r>
          </w:p>
        </w:tc>
        <w:tc>
          <w:tcPr>
            <w:tcW w:w="1206" w:type="dxa"/>
          </w:tcPr>
          <w:p w14:paraId="4B50B9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14.4%</w:t>
            </w:r>
          </w:p>
        </w:tc>
      </w:tr>
      <w:tr w:rsidR="00B57608" w:rsidRPr="00961F99" w14:paraId="21E17D61" w14:textId="77777777" w:rsidTr="00376A59">
        <w:trPr>
          <w:jc w:val="center"/>
        </w:trPr>
        <w:tc>
          <w:tcPr>
            <w:tcW w:w="1031" w:type="dxa"/>
          </w:tcPr>
          <w:p w14:paraId="72BF0F8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$10K-100K</w:t>
            </w:r>
          </w:p>
        </w:tc>
        <w:tc>
          <w:tcPr>
            <w:tcW w:w="1206" w:type="dxa"/>
          </w:tcPr>
          <w:p w14:paraId="26C335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155,134</w:t>
            </w:r>
          </w:p>
        </w:tc>
        <w:tc>
          <w:tcPr>
            <w:tcW w:w="1206" w:type="dxa"/>
          </w:tcPr>
          <w:p w14:paraId="29F2489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2,985.9</w:t>
            </w:r>
          </w:p>
        </w:tc>
        <w:tc>
          <w:tcPr>
            <w:tcW w:w="1206" w:type="dxa"/>
          </w:tcPr>
          <w:p w14:paraId="4ED79F0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2,183.6</w:t>
            </w:r>
          </w:p>
        </w:tc>
        <w:tc>
          <w:tcPr>
            <w:tcW w:w="1206" w:type="dxa"/>
          </w:tcPr>
          <w:p w14:paraId="40FC7E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26.6</w:t>
            </w:r>
          </w:p>
        </w:tc>
        <w:tc>
          <w:tcPr>
            <w:tcW w:w="1206" w:type="dxa"/>
          </w:tcPr>
          <w:p w14:paraId="31946FF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775.8</w:t>
            </w:r>
          </w:p>
        </w:tc>
        <w:tc>
          <w:tcPr>
            <w:tcW w:w="1206" w:type="dxa"/>
          </w:tcPr>
          <w:p w14:paraId="26991F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w:t>
            </w:r>
          </w:p>
        </w:tc>
        <w:tc>
          <w:tcPr>
            <w:tcW w:w="1206" w:type="dxa"/>
          </w:tcPr>
          <w:p w14:paraId="5B4C86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26.0%</w:t>
            </w:r>
          </w:p>
        </w:tc>
      </w:tr>
      <w:tr w:rsidR="00B57608" w:rsidRPr="00961F99" w14:paraId="514EF0A2" w14:textId="77777777" w:rsidTr="00376A59">
        <w:trPr>
          <w:jc w:val="center"/>
        </w:trPr>
        <w:tc>
          <w:tcPr>
            <w:tcW w:w="1031" w:type="dxa"/>
          </w:tcPr>
          <w:p w14:paraId="6293C40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$100K+</w:t>
            </w:r>
          </w:p>
        </w:tc>
        <w:tc>
          <w:tcPr>
            <w:tcW w:w="1206" w:type="dxa"/>
          </w:tcPr>
          <w:p w14:paraId="59D55AC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1,393</w:t>
            </w:r>
          </w:p>
        </w:tc>
        <w:tc>
          <w:tcPr>
            <w:tcW w:w="1206" w:type="dxa"/>
          </w:tcPr>
          <w:p w14:paraId="69084A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191.9</w:t>
            </w:r>
          </w:p>
        </w:tc>
        <w:tc>
          <w:tcPr>
            <w:tcW w:w="1206" w:type="dxa"/>
          </w:tcPr>
          <w:p w14:paraId="7E1652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65.2</w:t>
            </w:r>
          </w:p>
        </w:tc>
        <w:tc>
          <w:tcPr>
            <w:tcW w:w="1206" w:type="dxa"/>
          </w:tcPr>
          <w:p w14:paraId="395FF28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0.4</w:t>
            </w:r>
          </w:p>
        </w:tc>
        <w:tc>
          <w:tcPr>
            <w:tcW w:w="1206" w:type="dxa"/>
          </w:tcPr>
          <w:p w14:paraId="30E89C8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126.3</w:t>
            </w:r>
          </w:p>
        </w:tc>
        <w:tc>
          <w:tcPr>
            <w:tcW w:w="1206" w:type="dxa"/>
          </w:tcPr>
          <w:p w14:paraId="66C9E5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0.2%</w:t>
            </w:r>
          </w:p>
        </w:tc>
        <w:tc>
          <w:tcPr>
            <w:tcW w:w="1206" w:type="dxa"/>
          </w:tcPr>
          <w:p w14:paraId="6A7CD0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65.8%</w:t>
            </w:r>
          </w:p>
        </w:tc>
      </w:tr>
    </w:tbl>
    <w:p w14:paraId="5C726392" w14:textId="77777777" w:rsidR="00B57608" w:rsidRPr="00961F99" w:rsidRDefault="00B57608" w:rsidP="00757EC6">
      <w:pPr>
        <w:spacing w:after="40"/>
        <w:jc w:val="both"/>
        <w:rPr>
          <w:rFonts w:asciiTheme="majorBidi" w:hAnsiTheme="majorBidi" w:cstheme="majorBidi"/>
        </w:rPr>
      </w:pPr>
    </w:p>
    <w:p w14:paraId="2B62C762" w14:textId="77777777" w:rsidR="00B57608" w:rsidRPr="00961F99" w:rsidRDefault="003B27C7" w:rsidP="00757EC6">
      <w:pPr>
        <w:keepNext/>
        <w:keepLines/>
        <w:jc w:val="both"/>
        <w:rPr>
          <w:rFonts w:asciiTheme="majorBidi" w:hAnsiTheme="majorBidi" w:cstheme="majorBidi"/>
        </w:rPr>
      </w:pPr>
      <w:r w:rsidRPr="00961F99">
        <w:rPr>
          <w:rFonts w:asciiTheme="majorBidi" w:hAnsiTheme="majorBidi" w:cstheme="majorBidi"/>
          <w:noProof/>
        </w:rPr>
        <w:lastRenderedPageBreak/>
        <w:drawing>
          <wp:inline distT="0" distB="0" distL="0" distR="0" wp14:anchorId="1133C250" wp14:editId="09B22F0A">
            <wp:extent cx="5303520" cy="2612308"/>
            <wp:effectExtent l="0" t="0" r="0" b="0"/>
            <wp:docPr id="3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5303520" cy="2612308"/>
                    </a:xfrm>
                    <a:prstGeom prst="rect">
                      <a:avLst/>
                    </a:prstGeom>
                    <a:ln/>
                  </pic:spPr>
                </pic:pic>
              </a:graphicData>
            </a:graphic>
          </wp:inline>
        </w:drawing>
      </w:r>
    </w:p>
    <w:p w14:paraId="0787D14C" w14:textId="77777777" w:rsidR="00B57608" w:rsidRPr="00961F99" w:rsidRDefault="003B27C7" w:rsidP="00757EC6">
      <w:pPr>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Figure S15 | </w:t>
      </w:r>
      <w:r w:rsidRPr="00961F99">
        <w:rPr>
          <w:rFonts w:asciiTheme="majorBidi" w:hAnsiTheme="majorBidi" w:cstheme="majorBidi"/>
          <w:sz w:val="19"/>
          <w:szCs w:val="19"/>
        </w:rPr>
        <w:t>Deductible-absorbed and above-limit components of residual uncovered loss among insured buildings, as shares of expected annual loss, by expected-loss band.</w:t>
      </w:r>
    </w:p>
    <w:p w14:paraId="00750A29"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D5. Premium reconciliation and unexposed structures</w:t>
      </w:r>
    </w:p>
    <w:p w14:paraId="10A59A0F" w14:textId="77777777" w:rsidR="00C30397" w:rsidRPr="00961F99" w:rsidRDefault="00C30397" w:rsidP="00757EC6">
      <w:pPr>
        <w:jc w:val="both"/>
        <w:rPr>
          <w:rFonts w:asciiTheme="majorBidi" w:hAnsiTheme="majorBidi" w:cstheme="majorBidi"/>
        </w:rPr>
      </w:pPr>
      <w:r w:rsidRPr="00961F99">
        <w:rPr>
          <w:rFonts w:asciiTheme="majorBidi" w:hAnsiTheme="majorBidi" w:cstheme="majorBidi"/>
        </w:rPr>
        <w:t xml:space="preserve">Premium from processed structures with zero modeled loss enters the aggregate net gap and tract-level premium </w:t>
      </w:r>
      <w:proofErr w:type="gramStart"/>
      <w:r w:rsidRPr="00961F99">
        <w:rPr>
          <w:rFonts w:asciiTheme="majorBidi" w:hAnsiTheme="majorBidi" w:cstheme="majorBidi"/>
        </w:rPr>
        <w:t>denominator, but</w:t>
      </w:r>
      <w:proofErr w:type="gramEnd"/>
      <w:r w:rsidRPr="00961F99">
        <w:rPr>
          <w:rFonts w:asciiTheme="majorBidi" w:hAnsiTheme="majorBidi" w:cstheme="majorBidi"/>
        </w:rPr>
        <w:t xml:space="preserve"> does not offset positive building-level NFIP shortfalls. Allocated premium is retained for every processed building carrying a policy, including the substantial population of covered buildings whose combined-hazard expected annual loss is zero, and that premium enters both the aggregate net gap reported in Section C2 and the tract-level premium-deficit denominator. Table S20 reconciles the allocated portfolio.</w:t>
      </w:r>
    </w:p>
    <w:p w14:paraId="746A814A"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S20 | </w:t>
      </w:r>
      <w:r w:rsidRPr="00961F99">
        <w:rPr>
          <w:rFonts w:asciiTheme="majorBidi" w:hAnsiTheme="majorBidi" w:cstheme="majorBidi"/>
          <w:sz w:val="19"/>
          <w:szCs w:val="19"/>
        </w:rPr>
        <w:t>Reconciliation of the allocated NFIP portfolio, separating buildings with and without positive combined-hazard expected annual loss. The difference between the 3,300,588 covered buildings and the 1,866,757 insured exposed buildings reported in the main text is the population of covered buildings whose modeled expected loss is zero.</w:t>
      </w:r>
    </w:p>
    <w:tbl>
      <w:tblPr>
        <w:tblStyle w:val="af2"/>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7"/>
        <w:gridCol w:w="2412"/>
        <w:gridCol w:w="2412"/>
        <w:gridCol w:w="2209"/>
      </w:tblGrid>
      <w:tr w:rsidR="00B57608" w:rsidRPr="00961F99" w14:paraId="0F259F6E" w14:textId="77777777" w:rsidTr="00376A59">
        <w:trPr>
          <w:tblHeader/>
          <w:jc w:val="center"/>
        </w:trPr>
        <w:tc>
          <w:tcPr>
            <w:tcW w:w="2327" w:type="dxa"/>
          </w:tcPr>
          <w:p w14:paraId="34EEEB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Building group</w:t>
            </w:r>
          </w:p>
        </w:tc>
        <w:tc>
          <w:tcPr>
            <w:tcW w:w="2412" w:type="dxa"/>
          </w:tcPr>
          <w:p w14:paraId="4CDEDF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Buildings</w:t>
            </w:r>
          </w:p>
        </w:tc>
        <w:tc>
          <w:tcPr>
            <w:tcW w:w="2412" w:type="dxa"/>
          </w:tcPr>
          <w:p w14:paraId="1D3CDED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Allocated policy cost ($B yr⁻¹)</w:t>
            </w:r>
          </w:p>
        </w:tc>
        <w:tc>
          <w:tcPr>
            <w:tcW w:w="2209" w:type="dxa"/>
          </w:tcPr>
          <w:p w14:paraId="433CD0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Building-coverage risk premium ($B yr⁻¹)</w:t>
            </w:r>
          </w:p>
        </w:tc>
      </w:tr>
      <w:tr w:rsidR="00B57608" w:rsidRPr="00961F99" w14:paraId="0D0DC289" w14:textId="77777777" w:rsidTr="00376A59">
        <w:trPr>
          <w:jc w:val="center"/>
        </w:trPr>
        <w:tc>
          <w:tcPr>
            <w:tcW w:w="2327" w:type="dxa"/>
          </w:tcPr>
          <w:p w14:paraId="3161FD1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All processed buildings</w:t>
            </w:r>
          </w:p>
        </w:tc>
        <w:tc>
          <w:tcPr>
            <w:tcW w:w="2412" w:type="dxa"/>
          </w:tcPr>
          <w:p w14:paraId="1736B1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12,932,146</w:t>
            </w:r>
          </w:p>
        </w:tc>
        <w:tc>
          <w:tcPr>
            <w:tcW w:w="2412" w:type="dxa"/>
          </w:tcPr>
          <w:p w14:paraId="285753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4.533</w:t>
            </w:r>
          </w:p>
        </w:tc>
        <w:tc>
          <w:tcPr>
            <w:tcW w:w="2209" w:type="dxa"/>
          </w:tcPr>
          <w:p w14:paraId="3922F49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2.989</w:t>
            </w:r>
          </w:p>
        </w:tc>
      </w:tr>
      <w:tr w:rsidR="00B57608" w:rsidRPr="00961F99" w14:paraId="059FA0F3" w14:textId="77777777" w:rsidTr="00376A59">
        <w:trPr>
          <w:jc w:val="center"/>
        </w:trPr>
        <w:tc>
          <w:tcPr>
            <w:tcW w:w="2327" w:type="dxa"/>
          </w:tcPr>
          <w:p w14:paraId="63ECC36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With reconstructed NFIP coverage</w:t>
            </w:r>
          </w:p>
        </w:tc>
        <w:tc>
          <w:tcPr>
            <w:tcW w:w="2412" w:type="dxa"/>
          </w:tcPr>
          <w:p w14:paraId="0D114B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3,300,588</w:t>
            </w:r>
          </w:p>
        </w:tc>
        <w:tc>
          <w:tcPr>
            <w:tcW w:w="2412" w:type="dxa"/>
          </w:tcPr>
          <w:p w14:paraId="6B7B8B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4.533</w:t>
            </w:r>
          </w:p>
        </w:tc>
        <w:tc>
          <w:tcPr>
            <w:tcW w:w="2209" w:type="dxa"/>
          </w:tcPr>
          <w:p w14:paraId="7DAA342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2.989</w:t>
            </w:r>
          </w:p>
        </w:tc>
      </w:tr>
      <w:tr w:rsidR="00B57608" w:rsidRPr="00961F99" w14:paraId="0C952C71" w14:textId="77777777" w:rsidTr="00376A59">
        <w:trPr>
          <w:jc w:val="center"/>
        </w:trPr>
        <w:tc>
          <w:tcPr>
            <w:tcW w:w="2327" w:type="dxa"/>
          </w:tcPr>
          <w:p w14:paraId="57EE499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Covered and positive combined-hazard EAL</w:t>
            </w:r>
          </w:p>
        </w:tc>
        <w:tc>
          <w:tcPr>
            <w:tcW w:w="2412" w:type="dxa"/>
          </w:tcPr>
          <w:p w14:paraId="6B8A12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1,866,757</w:t>
            </w:r>
          </w:p>
        </w:tc>
        <w:tc>
          <w:tcPr>
            <w:tcW w:w="2412" w:type="dxa"/>
          </w:tcPr>
          <w:p w14:paraId="2AEEE12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2.968</w:t>
            </w:r>
          </w:p>
        </w:tc>
        <w:tc>
          <w:tcPr>
            <w:tcW w:w="2209" w:type="dxa"/>
          </w:tcPr>
          <w:p w14:paraId="293FB8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1.979</w:t>
            </w:r>
          </w:p>
        </w:tc>
      </w:tr>
      <w:tr w:rsidR="00B57608" w:rsidRPr="00961F99" w14:paraId="1FE50730" w14:textId="77777777" w:rsidTr="00376A59">
        <w:trPr>
          <w:jc w:val="center"/>
        </w:trPr>
        <w:tc>
          <w:tcPr>
            <w:tcW w:w="2327" w:type="dxa"/>
          </w:tcPr>
          <w:p w14:paraId="51D691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Covered but zero combined-hazard EAL</w:t>
            </w:r>
          </w:p>
        </w:tc>
        <w:tc>
          <w:tcPr>
            <w:tcW w:w="2412" w:type="dxa"/>
          </w:tcPr>
          <w:p w14:paraId="2FA3C8B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1,433,831</w:t>
            </w:r>
          </w:p>
        </w:tc>
        <w:tc>
          <w:tcPr>
            <w:tcW w:w="2412" w:type="dxa"/>
          </w:tcPr>
          <w:p w14:paraId="39575E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1.565</w:t>
            </w:r>
          </w:p>
        </w:tc>
        <w:tc>
          <w:tcPr>
            <w:tcW w:w="2209" w:type="dxa"/>
          </w:tcPr>
          <w:p w14:paraId="67CF89C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1.011</w:t>
            </w:r>
          </w:p>
        </w:tc>
      </w:tr>
    </w:tbl>
    <w:p w14:paraId="30516DE4" w14:textId="77777777" w:rsidR="00B57608" w:rsidRPr="00961F99" w:rsidRDefault="00B57608" w:rsidP="00757EC6">
      <w:pPr>
        <w:spacing w:after="40"/>
        <w:jc w:val="both"/>
        <w:rPr>
          <w:rFonts w:asciiTheme="majorBidi" w:hAnsiTheme="majorBidi" w:cstheme="majorBidi"/>
        </w:rPr>
      </w:pPr>
    </w:p>
    <w:p w14:paraId="3EF1992C"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Of the 3,300,588 buildings holding reconstructed coverage, 1,433,831 (43.4%) have zero combined-hazard expected annual loss and therefore contribute no expected payout, while carrying $1.565B of allocated policy cost. Because building-level NFIP shortfall takes only positive gaps, this premium does not offset deficits elsewhere in the building-level metric; it does enter the aggregate net gap, which is why that quantity ($1.81B) is roughly half the sum of positive gaps ($3.59B). Both are reported, and they answer different questions: the sum of positive gaps locates where pressure arises, while the net gap is the quantity comparable to program-level accounting.</w:t>
      </w:r>
    </w:p>
    <w:p w14:paraId="558E028D"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lastRenderedPageBreak/>
        <w:t>D6. Flood-zone coverage and the outside-SFHA result</w:t>
      </w:r>
    </w:p>
    <w:p w14:paraId="4404C5B2"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Because unmapped areas are treated as outside the Special Flood Hazard Area by construction (Section A2.5), the outside-SFHA shares reported in the main text require decomposition before they can be interpreted. Tables S22 and S21 provide </w:t>
      </w:r>
      <w:proofErr w:type="gramStart"/>
      <w:r w:rsidRPr="00961F99">
        <w:rPr>
          <w:rFonts w:asciiTheme="majorBidi" w:hAnsiTheme="majorBidi" w:cstheme="majorBidi"/>
        </w:rPr>
        <w:t>it</w:t>
      </w:r>
      <w:proofErr w:type="gramEnd"/>
      <w:r w:rsidRPr="00961F99">
        <w:rPr>
          <w:rFonts w:asciiTheme="majorBidi" w:hAnsiTheme="majorBidi" w:cstheme="majorBidi"/>
        </w:rPr>
        <w:t>.</w:t>
      </w:r>
    </w:p>
    <w:p w14:paraId="06211BC7"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S21 | </w:t>
      </w:r>
      <w:r w:rsidRPr="00961F99">
        <w:rPr>
          <w:rFonts w:asciiTheme="majorBidi" w:hAnsiTheme="majorBidi" w:cstheme="majorBidi"/>
          <w:sz w:val="19"/>
          <w:szCs w:val="19"/>
        </w:rPr>
        <w:t>Distribution of buildings, expected annual loss and public shortfall across National Flood Hazard Layer designation classes, separating mapped X zones from records with missing or absent designations. The A and V classes constitute the SFHA-like zones used throughout.</w:t>
      </w:r>
    </w:p>
    <w:tbl>
      <w:tblPr>
        <w:tblStyle w:val="af3"/>
        <w:tblW w:w="93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8"/>
        <w:gridCol w:w="1378"/>
        <w:gridCol w:w="1378"/>
        <w:gridCol w:w="1378"/>
        <w:gridCol w:w="1378"/>
        <w:gridCol w:w="1378"/>
        <w:gridCol w:w="1378"/>
      </w:tblGrid>
      <w:tr w:rsidR="00B57608" w:rsidRPr="00961F99" w14:paraId="6C378F07" w14:textId="77777777" w:rsidTr="00376A59">
        <w:trPr>
          <w:tblHeader/>
          <w:jc w:val="center"/>
        </w:trPr>
        <w:tc>
          <w:tcPr>
            <w:tcW w:w="1118" w:type="dxa"/>
          </w:tcPr>
          <w:p w14:paraId="3F335A2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Flood-zone class</w:t>
            </w:r>
          </w:p>
        </w:tc>
        <w:tc>
          <w:tcPr>
            <w:tcW w:w="1378" w:type="dxa"/>
          </w:tcPr>
          <w:p w14:paraId="3016D1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Buildings</w:t>
            </w:r>
          </w:p>
        </w:tc>
        <w:tc>
          <w:tcPr>
            <w:tcW w:w="1378" w:type="dxa"/>
          </w:tcPr>
          <w:p w14:paraId="768054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Share of buildings</w:t>
            </w:r>
          </w:p>
        </w:tc>
        <w:tc>
          <w:tcPr>
            <w:tcW w:w="1378" w:type="dxa"/>
          </w:tcPr>
          <w:p w14:paraId="343D5A0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Insured share</w:t>
            </w:r>
          </w:p>
        </w:tc>
        <w:tc>
          <w:tcPr>
            <w:tcW w:w="1378" w:type="dxa"/>
          </w:tcPr>
          <w:p w14:paraId="30B459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EAL ($B yr⁻¹)</w:t>
            </w:r>
          </w:p>
        </w:tc>
        <w:tc>
          <w:tcPr>
            <w:tcW w:w="1378" w:type="dxa"/>
          </w:tcPr>
          <w:p w14:paraId="11CAEC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Public shortfall ($B yr⁻¹)</w:t>
            </w:r>
          </w:p>
        </w:tc>
        <w:tc>
          <w:tcPr>
            <w:tcW w:w="1378" w:type="dxa"/>
          </w:tcPr>
          <w:p w14:paraId="30E56A9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Share of public shortfall</w:t>
            </w:r>
          </w:p>
        </w:tc>
      </w:tr>
      <w:tr w:rsidR="00B57608" w:rsidRPr="00961F99" w14:paraId="2181BBB0" w14:textId="77777777" w:rsidTr="00376A59">
        <w:trPr>
          <w:jc w:val="center"/>
        </w:trPr>
        <w:tc>
          <w:tcPr>
            <w:tcW w:w="1118" w:type="dxa"/>
          </w:tcPr>
          <w:p w14:paraId="2A76EDC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X zone (mapped, outside SFHA)</w:t>
            </w:r>
          </w:p>
        </w:tc>
        <w:tc>
          <w:tcPr>
            <w:tcW w:w="1378" w:type="dxa"/>
          </w:tcPr>
          <w:p w14:paraId="2F8C332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8,401,921</w:t>
            </w:r>
          </w:p>
        </w:tc>
        <w:tc>
          <w:tcPr>
            <w:tcW w:w="1378" w:type="dxa"/>
          </w:tcPr>
          <w:p w14:paraId="3093F6F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65.0%</w:t>
            </w:r>
          </w:p>
        </w:tc>
        <w:tc>
          <w:tcPr>
            <w:tcW w:w="1378" w:type="dxa"/>
          </w:tcPr>
          <w:p w14:paraId="3775AB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18.3%</w:t>
            </w:r>
          </w:p>
        </w:tc>
        <w:tc>
          <w:tcPr>
            <w:tcW w:w="1378" w:type="dxa"/>
          </w:tcPr>
          <w:p w14:paraId="38435A4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14.687</w:t>
            </w:r>
          </w:p>
        </w:tc>
        <w:tc>
          <w:tcPr>
            <w:tcW w:w="1378" w:type="dxa"/>
          </w:tcPr>
          <w:p w14:paraId="0AEB1A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12.934</w:t>
            </w:r>
          </w:p>
        </w:tc>
        <w:tc>
          <w:tcPr>
            <w:tcW w:w="1378" w:type="dxa"/>
          </w:tcPr>
          <w:p w14:paraId="786A4FB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62.0%</w:t>
            </w:r>
          </w:p>
        </w:tc>
      </w:tr>
      <w:tr w:rsidR="00B57608" w:rsidRPr="00961F99" w14:paraId="1CFF8DE5" w14:textId="77777777" w:rsidTr="00376A59">
        <w:trPr>
          <w:jc w:val="center"/>
        </w:trPr>
        <w:tc>
          <w:tcPr>
            <w:tcW w:w="1118" w:type="dxa"/>
          </w:tcPr>
          <w:p w14:paraId="090A011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 xml:space="preserve">A </w:t>
            </w:r>
            <w:proofErr w:type="gramStart"/>
            <w:r w:rsidRPr="00961F99">
              <w:rPr>
                <w:rFonts w:asciiTheme="majorBidi" w:hAnsiTheme="majorBidi" w:cstheme="majorBidi"/>
                <w:sz w:val="16"/>
                <w:szCs w:val="16"/>
              </w:rPr>
              <w:t>zones (SFHA)</w:t>
            </w:r>
            <w:proofErr w:type="gramEnd"/>
          </w:p>
        </w:tc>
        <w:tc>
          <w:tcPr>
            <w:tcW w:w="1378" w:type="dxa"/>
          </w:tcPr>
          <w:p w14:paraId="5FD7B08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3,473,522</w:t>
            </w:r>
          </w:p>
        </w:tc>
        <w:tc>
          <w:tcPr>
            <w:tcW w:w="1378" w:type="dxa"/>
          </w:tcPr>
          <w:p w14:paraId="709B421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26.9%</w:t>
            </w:r>
          </w:p>
        </w:tc>
        <w:tc>
          <w:tcPr>
            <w:tcW w:w="1378" w:type="dxa"/>
          </w:tcPr>
          <w:p w14:paraId="0F42740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46.2%</w:t>
            </w:r>
          </w:p>
        </w:tc>
        <w:tc>
          <w:tcPr>
            <w:tcW w:w="1378" w:type="dxa"/>
          </w:tcPr>
          <w:p w14:paraId="0369C8C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8.835</w:t>
            </w:r>
          </w:p>
        </w:tc>
        <w:tc>
          <w:tcPr>
            <w:tcW w:w="1378" w:type="dxa"/>
          </w:tcPr>
          <w:p w14:paraId="0C4714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6.026</w:t>
            </w:r>
          </w:p>
        </w:tc>
        <w:tc>
          <w:tcPr>
            <w:tcW w:w="1378" w:type="dxa"/>
          </w:tcPr>
          <w:p w14:paraId="1DECB59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28.9%</w:t>
            </w:r>
          </w:p>
        </w:tc>
      </w:tr>
      <w:tr w:rsidR="00B57608" w:rsidRPr="00961F99" w14:paraId="39E43797" w14:textId="77777777" w:rsidTr="00376A59">
        <w:trPr>
          <w:jc w:val="center"/>
        </w:trPr>
        <w:tc>
          <w:tcPr>
            <w:tcW w:w="1118" w:type="dxa"/>
          </w:tcPr>
          <w:p w14:paraId="12F33F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Missing / not digitized</w:t>
            </w:r>
          </w:p>
        </w:tc>
        <w:tc>
          <w:tcPr>
            <w:tcW w:w="1378" w:type="dxa"/>
          </w:tcPr>
          <w:p w14:paraId="18D697B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889,453</w:t>
            </w:r>
          </w:p>
        </w:tc>
        <w:tc>
          <w:tcPr>
            <w:tcW w:w="1378" w:type="dxa"/>
          </w:tcPr>
          <w:p w14:paraId="7B86248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6.9%</w:t>
            </w:r>
          </w:p>
        </w:tc>
        <w:tc>
          <w:tcPr>
            <w:tcW w:w="1378" w:type="dxa"/>
          </w:tcPr>
          <w:p w14:paraId="64338CC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12.8%</w:t>
            </w:r>
          </w:p>
        </w:tc>
        <w:tc>
          <w:tcPr>
            <w:tcW w:w="1378" w:type="dxa"/>
          </w:tcPr>
          <w:p w14:paraId="28ADA52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1.798</w:t>
            </w:r>
          </w:p>
        </w:tc>
        <w:tc>
          <w:tcPr>
            <w:tcW w:w="1378" w:type="dxa"/>
          </w:tcPr>
          <w:p w14:paraId="28A5E61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1.621</w:t>
            </w:r>
          </w:p>
        </w:tc>
        <w:tc>
          <w:tcPr>
            <w:tcW w:w="1378" w:type="dxa"/>
          </w:tcPr>
          <w:p w14:paraId="7F7801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7.8%</w:t>
            </w:r>
          </w:p>
        </w:tc>
      </w:tr>
      <w:tr w:rsidR="00B57608" w:rsidRPr="00961F99" w14:paraId="78E47F6F" w14:textId="77777777" w:rsidTr="00376A59">
        <w:trPr>
          <w:jc w:val="center"/>
        </w:trPr>
        <w:tc>
          <w:tcPr>
            <w:tcW w:w="1118" w:type="dxa"/>
          </w:tcPr>
          <w:p w14:paraId="033560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Zone D (undetermined)</w:t>
            </w:r>
          </w:p>
        </w:tc>
        <w:tc>
          <w:tcPr>
            <w:tcW w:w="1378" w:type="dxa"/>
          </w:tcPr>
          <w:p w14:paraId="31B5249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102,540</w:t>
            </w:r>
          </w:p>
        </w:tc>
        <w:tc>
          <w:tcPr>
            <w:tcW w:w="1378" w:type="dxa"/>
          </w:tcPr>
          <w:p w14:paraId="0D493F2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w:t>
            </w:r>
          </w:p>
        </w:tc>
        <w:tc>
          <w:tcPr>
            <w:tcW w:w="1378" w:type="dxa"/>
          </w:tcPr>
          <w:p w14:paraId="4E0774A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5.0%</w:t>
            </w:r>
          </w:p>
        </w:tc>
        <w:tc>
          <w:tcPr>
            <w:tcW w:w="1378" w:type="dxa"/>
          </w:tcPr>
          <w:p w14:paraId="0F14310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0.249</w:t>
            </w:r>
          </w:p>
        </w:tc>
        <w:tc>
          <w:tcPr>
            <w:tcW w:w="1378" w:type="dxa"/>
          </w:tcPr>
          <w:p w14:paraId="14AA5A2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0.231</w:t>
            </w:r>
          </w:p>
        </w:tc>
        <w:tc>
          <w:tcPr>
            <w:tcW w:w="1378" w:type="dxa"/>
          </w:tcPr>
          <w:p w14:paraId="6652286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1.1%</w:t>
            </w:r>
          </w:p>
        </w:tc>
      </w:tr>
      <w:tr w:rsidR="00B57608" w:rsidRPr="00961F99" w14:paraId="0BA18117" w14:textId="77777777" w:rsidTr="00376A59">
        <w:trPr>
          <w:jc w:val="center"/>
        </w:trPr>
        <w:tc>
          <w:tcPr>
            <w:tcW w:w="1118" w:type="dxa"/>
          </w:tcPr>
          <w:p w14:paraId="70F9AF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V zones (SFHA)</w:t>
            </w:r>
          </w:p>
        </w:tc>
        <w:tc>
          <w:tcPr>
            <w:tcW w:w="1378" w:type="dxa"/>
          </w:tcPr>
          <w:p w14:paraId="35DCE3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64,598</w:t>
            </w:r>
          </w:p>
        </w:tc>
        <w:tc>
          <w:tcPr>
            <w:tcW w:w="1378" w:type="dxa"/>
          </w:tcPr>
          <w:p w14:paraId="760684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0.5%</w:t>
            </w:r>
          </w:p>
        </w:tc>
        <w:tc>
          <w:tcPr>
            <w:tcW w:w="1378" w:type="dxa"/>
          </w:tcPr>
          <w:p w14:paraId="730DB84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62.3%</w:t>
            </w:r>
          </w:p>
        </w:tc>
        <w:tc>
          <w:tcPr>
            <w:tcW w:w="1378" w:type="dxa"/>
          </w:tcPr>
          <w:p w14:paraId="7063CBB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0.098</w:t>
            </w:r>
          </w:p>
        </w:tc>
        <w:tc>
          <w:tcPr>
            <w:tcW w:w="1378" w:type="dxa"/>
          </w:tcPr>
          <w:p w14:paraId="3F8B2DC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0.053</w:t>
            </w:r>
          </w:p>
        </w:tc>
        <w:tc>
          <w:tcPr>
            <w:tcW w:w="1378" w:type="dxa"/>
          </w:tcPr>
          <w:p w14:paraId="596826B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0.3%</w:t>
            </w:r>
          </w:p>
        </w:tc>
      </w:tr>
      <w:tr w:rsidR="00B57608" w:rsidRPr="00961F99" w14:paraId="077E02D6" w14:textId="77777777" w:rsidTr="00376A59">
        <w:trPr>
          <w:jc w:val="center"/>
        </w:trPr>
        <w:tc>
          <w:tcPr>
            <w:tcW w:w="1118" w:type="dxa"/>
          </w:tcPr>
          <w:p w14:paraId="4DE1FD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Other mapped designation</w:t>
            </w:r>
          </w:p>
        </w:tc>
        <w:tc>
          <w:tcPr>
            <w:tcW w:w="1378" w:type="dxa"/>
          </w:tcPr>
          <w:p w14:paraId="71CA40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112</w:t>
            </w:r>
          </w:p>
        </w:tc>
        <w:tc>
          <w:tcPr>
            <w:tcW w:w="1378" w:type="dxa"/>
          </w:tcPr>
          <w:p w14:paraId="770A12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w:t>
            </w:r>
          </w:p>
        </w:tc>
        <w:tc>
          <w:tcPr>
            <w:tcW w:w="1378" w:type="dxa"/>
          </w:tcPr>
          <w:p w14:paraId="587EC3A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23.2%</w:t>
            </w:r>
          </w:p>
        </w:tc>
        <w:tc>
          <w:tcPr>
            <w:tcW w:w="1378" w:type="dxa"/>
          </w:tcPr>
          <w:p w14:paraId="12244DB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0.001</w:t>
            </w:r>
          </w:p>
        </w:tc>
        <w:tc>
          <w:tcPr>
            <w:tcW w:w="1378" w:type="dxa"/>
          </w:tcPr>
          <w:p w14:paraId="15C5FE8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0.001</w:t>
            </w:r>
          </w:p>
        </w:tc>
        <w:tc>
          <w:tcPr>
            <w:tcW w:w="1378" w:type="dxa"/>
          </w:tcPr>
          <w:p w14:paraId="67C18E5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w:t>
            </w:r>
          </w:p>
        </w:tc>
      </w:tr>
    </w:tbl>
    <w:p w14:paraId="083F88D0" w14:textId="77777777" w:rsidR="00B57608" w:rsidRPr="00961F99" w:rsidRDefault="00B57608" w:rsidP="00757EC6">
      <w:pPr>
        <w:spacing w:after="40"/>
        <w:jc w:val="both"/>
        <w:rPr>
          <w:rFonts w:asciiTheme="majorBidi" w:hAnsiTheme="majorBidi" w:cstheme="majorBidi"/>
        </w:rPr>
      </w:pPr>
    </w:p>
    <w:p w14:paraId="08704877"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S22 | </w:t>
      </w:r>
      <w:r w:rsidRPr="00961F99">
        <w:rPr>
          <w:rFonts w:asciiTheme="majorBidi" w:hAnsiTheme="majorBidi" w:cstheme="majorBidi"/>
          <w:sz w:val="19"/>
          <w:szCs w:val="19"/>
        </w:rPr>
        <w:t>Composition of public shortfall relative to mapped Special Flood Hazard Areas, separating the portion in mapped non-SFHA zones from the portion in areas with missing or absent National Flood Hazard Layer designations. The distinction matters because the latter is classified as outside the SFHA by the absence of mapping rather than by mapped evidence.</w:t>
      </w:r>
    </w:p>
    <w:tbl>
      <w:tblPr>
        <w:tblStyle w:val="af4"/>
        <w:tblW w:w="9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8"/>
        <w:gridCol w:w="1608"/>
        <w:gridCol w:w="1608"/>
        <w:gridCol w:w="1608"/>
        <w:gridCol w:w="1608"/>
        <w:gridCol w:w="1608"/>
      </w:tblGrid>
      <w:tr w:rsidR="00B57608" w:rsidRPr="00961F99" w14:paraId="3EC8C08C" w14:textId="77777777" w:rsidTr="00376A59">
        <w:trPr>
          <w:tblHeader/>
          <w:jc w:val="center"/>
        </w:trPr>
        <w:tc>
          <w:tcPr>
            <w:tcW w:w="1348" w:type="dxa"/>
          </w:tcPr>
          <w:p w14:paraId="5698B9D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Hazard layer</w:t>
            </w:r>
          </w:p>
        </w:tc>
        <w:tc>
          <w:tcPr>
            <w:tcW w:w="1608" w:type="dxa"/>
          </w:tcPr>
          <w:p w14:paraId="3C1E91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Public shortfall ($B yr⁻¹)</w:t>
            </w:r>
          </w:p>
        </w:tc>
        <w:tc>
          <w:tcPr>
            <w:tcW w:w="1608" w:type="dxa"/>
          </w:tcPr>
          <w:p w14:paraId="7BC662A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Inside SFHA-like zones</w:t>
            </w:r>
          </w:p>
        </w:tc>
        <w:tc>
          <w:tcPr>
            <w:tcW w:w="1608" w:type="dxa"/>
          </w:tcPr>
          <w:p w14:paraId="04C34F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Outside SFHA-like zones</w:t>
            </w:r>
          </w:p>
        </w:tc>
        <w:tc>
          <w:tcPr>
            <w:tcW w:w="1608" w:type="dxa"/>
          </w:tcPr>
          <w:p w14:paraId="53DC08A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of which in mapped non-SFHA zones</w:t>
            </w:r>
          </w:p>
        </w:tc>
        <w:tc>
          <w:tcPr>
            <w:tcW w:w="1608" w:type="dxa"/>
          </w:tcPr>
          <w:p w14:paraId="3B441AE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of which in unmapped or missing areas</w:t>
            </w:r>
          </w:p>
        </w:tc>
      </w:tr>
      <w:tr w:rsidR="00B57608" w:rsidRPr="00961F99" w14:paraId="2FE0B49D" w14:textId="77777777" w:rsidTr="00376A59">
        <w:trPr>
          <w:jc w:val="center"/>
        </w:trPr>
        <w:tc>
          <w:tcPr>
            <w:tcW w:w="1348" w:type="dxa"/>
          </w:tcPr>
          <w:p w14:paraId="368F904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Pluvial</w:t>
            </w:r>
          </w:p>
        </w:tc>
        <w:tc>
          <w:tcPr>
            <w:tcW w:w="1608" w:type="dxa"/>
          </w:tcPr>
          <w:p w14:paraId="3C9ED0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14.844</w:t>
            </w:r>
          </w:p>
        </w:tc>
        <w:tc>
          <w:tcPr>
            <w:tcW w:w="1608" w:type="dxa"/>
          </w:tcPr>
          <w:p w14:paraId="33AB0C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21.6%</w:t>
            </w:r>
          </w:p>
        </w:tc>
        <w:tc>
          <w:tcPr>
            <w:tcW w:w="1608" w:type="dxa"/>
          </w:tcPr>
          <w:p w14:paraId="44197F2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78.4%</w:t>
            </w:r>
          </w:p>
        </w:tc>
        <w:tc>
          <w:tcPr>
            <w:tcW w:w="1608" w:type="dxa"/>
          </w:tcPr>
          <w:p w14:paraId="212F171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72.0%</w:t>
            </w:r>
          </w:p>
        </w:tc>
        <w:tc>
          <w:tcPr>
            <w:tcW w:w="1608" w:type="dxa"/>
          </w:tcPr>
          <w:p w14:paraId="2694A7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6.4%</w:t>
            </w:r>
          </w:p>
        </w:tc>
      </w:tr>
      <w:tr w:rsidR="00B57608" w:rsidRPr="00961F99" w14:paraId="0E02BD7D" w14:textId="77777777" w:rsidTr="00376A59">
        <w:trPr>
          <w:jc w:val="center"/>
        </w:trPr>
        <w:tc>
          <w:tcPr>
            <w:tcW w:w="1348" w:type="dxa"/>
          </w:tcPr>
          <w:p w14:paraId="5A7DC2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Fluvial</w:t>
            </w:r>
          </w:p>
        </w:tc>
        <w:tc>
          <w:tcPr>
            <w:tcW w:w="1608" w:type="dxa"/>
          </w:tcPr>
          <w:p w14:paraId="25A05A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4.533</w:t>
            </w:r>
          </w:p>
        </w:tc>
        <w:tc>
          <w:tcPr>
            <w:tcW w:w="1608" w:type="dxa"/>
          </w:tcPr>
          <w:p w14:paraId="13CD180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41.0%</w:t>
            </w:r>
          </w:p>
        </w:tc>
        <w:tc>
          <w:tcPr>
            <w:tcW w:w="1608" w:type="dxa"/>
          </w:tcPr>
          <w:p w14:paraId="3E1FADE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59.0%</w:t>
            </w:r>
          </w:p>
        </w:tc>
        <w:tc>
          <w:tcPr>
            <w:tcW w:w="1608" w:type="dxa"/>
          </w:tcPr>
          <w:p w14:paraId="605EEC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44.9%</w:t>
            </w:r>
          </w:p>
        </w:tc>
        <w:tc>
          <w:tcPr>
            <w:tcW w:w="1608" w:type="dxa"/>
          </w:tcPr>
          <w:p w14:paraId="34A3E13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14.0%</w:t>
            </w:r>
          </w:p>
        </w:tc>
      </w:tr>
      <w:tr w:rsidR="00B57608" w:rsidRPr="00961F99" w14:paraId="25A73F4E" w14:textId="77777777" w:rsidTr="00376A59">
        <w:trPr>
          <w:jc w:val="center"/>
        </w:trPr>
        <w:tc>
          <w:tcPr>
            <w:tcW w:w="1348" w:type="dxa"/>
          </w:tcPr>
          <w:p w14:paraId="1A2C30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Coastal</w:t>
            </w:r>
          </w:p>
        </w:tc>
        <w:tc>
          <w:tcPr>
            <w:tcW w:w="1608" w:type="dxa"/>
          </w:tcPr>
          <w:p w14:paraId="2C3DA7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1.938</w:t>
            </w:r>
          </w:p>
        </w:tc>
        <w:tc>
          <w:tcPr>
            <w:tcW w:w="1608" w:type="dxa"/>
          </w:tcPr>
          <w:p w14:paraId="544A7F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64.2%</w:t>
            </w:r>
          </w:p>
        </w:tc>
        <w:tc>
          <w:tcPr>
            <w:tcW w:w="1608" w:type="dxa"/>
          </w:tcPr>
          <w:p w14:paraId="49153C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35.8%</w:t>
            </w:r>
          </w:p>
        </w:tc>
        <w:tc>
          <w:tcPr>
            <w:tcW w:w="1608" w:type="dxa"/>
          </w:tcPr>
          <w:p w14:paraId="4EBFE0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32.5%</w:t>
            </w:r>
          </w:p>
        </w:tc>
        <w:tc>
          <w:tcPr>
            <w:tcW w:w="1608" w:type="dxa"/>
          </w:tcPr>
          <w:p w14:paraId="320930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3.3%</w:t>
            </w:r>
          </w:p>
        </w:tc>
      </w:tr>
      <w:tr w:rsidR="00B57608" w:rsidRPr="00961F99" w14:paraId="71D122BF" w14:textId="77777777" w:rsidTr="00376A59">
        <w:trPr>
          <w:jc w:val="center"/>
        </w:trPr>
        <w:tc>
          <w:tcPr>
            <w:tcW w:w="1348" w:type="dxa"/>
          </w:tcPr>
          <w:p w14:paraId="1C345E3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Combined</w:t>
            </w:r>
          </w:p>
        </w:tc>
        <w:tc>
          <w:tcPr>
            <w:tcW w:w="1608" w:type="dxa"/>
          </w:tcPr>
          <w:p w14:paraId="200E42E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20.866</w:t>
            </w:r>
          </w:p>
        </w:tc>
        <w:tc>
          <w:tcPr>
            <w:tcW w:w="1608" w:type="dxa"/>
          </w:tcPr>
          <w:p w14:paraId="5E28C41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29.1%</w:t>
            </w:r>
          </w:p>
        </w:tc>
        <w:tc>
          <w:tcPr>
            <w:tcW w:w="1608" w:type="dxa"/>
          </w:tcPr>
          <w:p w14:paraId="5CF6DC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70.9%</w:t>
            </w:r>
          </w:p>
        </w:tc>
        <w:tc>
          <w:tcPr>
            <w:tcW w:w="1608" w:type="dxa"/>
          </w:tcPr>
          <w:p w14:paraId="058649A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63.1%</w:t>
            </w:r>
          </w:p>
        </w:tc>
        <w:tc>
          <w:tcPr>
            <w:tcW w:w="1608" w:type="dxa"/>
          </w:tcPr>
          <w:p w14:paraId="0BC3CE6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7.8%</w:t>
            </w:r>
          </w:p>
        </w:tc>
      </w:tr>
    </w:tbl>
    <w:p w14:paraId="7F2EEC79" w14:textId="77777777" w:rsidR="00B57608" w:rsidRPr="00961F99" w:rsidRDefault="00B57608" w:rsidP="00757EC6">
      <w:pPr>
        <w:spacing w:after="40"/>
        <w:jc w:val="both"/>
        <w:rPr>
          <w:rFonts w:asciiTheme="majorBidi" w:hAnsiTheme="majorBidi" w:cstheme="majorBidi"/>
        </w:rPr>
      </w:pPr>
    </w:p>
    <w:p w14:paraId="4632DE29"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D7. The pluvial drainage bound</w:t>
      </w:r>
    </w:p>
    <w:p w14:paraId="28819CA5"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The pluvial hazard layers embed design-standard drainage assumptions through an effective-rainfall formulation, so urban drainage is represented implicitly rather than omitted. Local drainage systems nonetheless depart from design standards, in both directions, and the sensitivity reported in the specification grid bounds the consequence: removing the first 0.2 m of pluvial depth everywhere lowers combined expected annual loss from $25.67B to $19.76B, a reduction of 23.0%, with the reduction concentrated in the inland public-shortfall channel. This is a bound rather than an alternative estimate. It represents the effect of assuming that shallow pluvial inundation is entirely removed by drainage everywhere, which is not a physical claim about any </w:t>
      </w:r>
      <w:proofErr w:type="gramStart"/>
      <w:r w:rsidRPr="00961F99">
        <w:rPr>
          <w:rFonts w:asciiTheme="majorBidi" w:hAnsiTheme="majorBidi" w:cstheme="majorBidi"/>
        </w:rPr>
        <w:t>particular location</w:t>
      </w:r>
      <w:proofErr w:type="gramEnd"/>
      <w:r w:rsidRPr="00961F99">
        <w:rPr>
          <w:rFonts w:asciiTheme="majorBidi" w:hAnsiTheme="majorBidi" w:cstheme="majorBidi"/>
        </w:rPr>
        <w:t>.</w:t>
      </w:r>
    </w:p>
    <w:p w14:paraId="0F631FF0"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lastRenderedPageBreak/>
        <w:t>D8. Statutory coverage limits in the reconstructed portfolio</w:t>
      </w:r>
    </w:p>
    <w:p w14:paraId="68CD044A"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The coverage amounts used in this analysis are observed policy values, so the statutory NFIP building-coverage limits are embedded in the reconstruction. Table S23 reports how strongly they bind, and the answer bears directly on the interpretation of the upper-tail reversal in the main text.</w:t>
      </w:r>
    </w:p>
    <w:p w14:paraId="1C2A7D60"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S23 | </w:t>
      </w:r>
      <w:r w:rsidRPr="00961F99">
        <w:rPr>
          <w:rFonts w:asciiTheme="majorBidi" w:hAnsiTheme="majorBidi" w:cstheme="majorBidi"/>
          <w:sz w:val="19"/>
          <w:szCs w:val="19"/>
        </w:rPr>
        <w:t xml:space="preserve">Statutory coverage-limit censoring in the reconstructed portfolio. Coverage amounts are </w:t>
      </w:r>
      <w:proofErr w:type="gramStart"/>
      <w:r w:rsidRPr="00961F99">
        <w:rPr>
          <w:rFonts w:asciiTheme="majorBidi" w:hAnsiTheme="majorBidi" w:cstheme="majorBidi"/>
          <w:sz w:val="19"/>
          <w:szCs w:val="19"/>
        </w:rPr>
        <w:t>observed</w:t>
      </w:r>
      <w:proofErr w:type="gramEnd"/>
      <w:r w:rsidRPr="00961F99">
        <w:rPr>
          <w:rFonts w:asciiTheme="majorBidi" w:hAnsiTheme="majorBidi" w:cstheme="majorBidi"/>
          <w:sz w:val="19"/>
          <w:szCs w:val="19"/>
        </w:rPr>
        <w:t xml:space="preserve"> policy values; the statutory </w:t>
      </w:r>
      <w:proofErr w:type="gramStart"/>
      <w:r w:rsidRPr="00961F99">
        <w:rPr>
          <w:rFonts w:asciiTheme="majorBidi" w:hAnsiTheme="majorBidi" w:cstheme="majorBidi"/>
          <w:sz w:val="19"/>
          <w:szCs w:val="19"/>
        </w:rPr>
        <w:t>maxima</w:t>
      </w:r>
      <w:proofErr w:type="gramEnd"/>
      <w:r w:rsidRPr="00961F99">
        <w:rPr>
          <w:rFonts w:asciiTheme="majorBidi" w:hAnsiTheme="majorBidi" w:cstheme="majorBidi"/>
          <w:sz w:val="19"/>
          <w:szCs w:val="19"/>
        </w:rPr>
        <w:t xml:space="preserve"> are $250,000 for </w:t>
      </w:r>
      <w:proofErr w:type="gramStart"/>
      <w:r w:rsidRPr="00961F99">
        <w:rPr>
          <w:rFonts w:asciiTheme="majorBidi" w:hAnsiTheme="majorBidi" w:cstheme="majorBidi"/>
          <w:sz w:val="19"/>
          <w:szCs w:val="19"/>
        </w:rPr>
        <w:t>residential</w:t>
      </w:r>
      <w:proofErr w:type="gramEnd"/>
      <w:r w:rsidRPr="00961F99">
        <w:rPr>
          <w:rFonts w:asciiTheme="majorBidi" w:hAnsiTheme="majorBidi" w:cstheme="majorBidi"/>
          <w:sz w:val="19"/>
          <w:szCs w:val="19"/>
        </w:rPr>
        <w:t xml:space="preserve"> and $500,000 for non-residential building coverage.</w:t>
      </w:r>
    </w:p>
    <w:tbl>
      <w:tblPr>
        <w:tblStyle w:val="af5"/>
        <w:tblW w:w="9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
        <w:gridCol w:w="1206"/>
        <w:gridCol w:w="1206"/>
        <w:gridCol w:w="1206"/>
        <w:gridCol w:w="1206"/>
        <w:gridCol w:w="1206"/>
        <w:gridCol w:w="1206"/>
        <w:gridCol w:w="1206"/>
      </w:tblGrid>
      <w:tr w:rsidR="00B57608" w:rsidRPr="00961F99" w14:paraId="4318739F" w14:textId="77777777" w:rsidTr="00376A59">
        <w:trPr>
          <w:tblHeader/>
          <w:jc w:val="center"/>
        </w:trPr>
        <w:tc>
          <w:tcPr>
            <w:tcW w:w="946" w:type="dxa"/>
          </w:tcPr>
          <w:p w14:paraId="2518945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Segment</w:t>
            </w:r>
          </w:p>
        </w:tc>
        <w:tc>
          <w:tcPr>
            <w:tcW w:w="1206" w:type="dxa"/>
          </w:tcPr>
          <w:p w14:paraId="3AFF4D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Statutory building limit</w:t>
            </w:r>
          </w:p>
        </w:tc>
        <w:tc>
          <w:tcPr>
            <w:tcW w:w="1206" w:type="dxa"/>
          </w:tcPr>
          <w:p w14:paraId="6F3FCDE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Insured buildings</w:t>
            </w:r>
          </w:p>
        </w:tc>
        <w:tc>
          <w:tcPr>
            <w:tcW w:w="1206" w:type="dxa"/>
          </w:tcPr>
          <w:p w14:paraId="7DCBC12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At the statutory limit</w:t>
            </w:r>
          </w:p>
        </w:tc>
        <w:tc>
          <w:tcPr>
            <w:tcW w:w="1206" w:type="dxa"/>
          </w:tcPr>
          <w:p w14:paraId="0CBD0C7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Share at the limit</w:t>
            </w:r>
          </w:p>
        </w:tc>
        <w:tc>
          <w:tcPr>
            <w:tcW w:w="1206" w:type="dxa"/>
          </w:tcPr>
          <w:p w14:paraId="4B95213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Coverage in force ($B)</w:t>
            </w:r>
          </w:p>
        </w:tc>
        <w:tc>
          <w:tcPr>
            <w:tcW w:w="1206" w:type="dxa"/>
          </w:tcPr>
          <w:p w14:paraId="3327A3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Share of coverage at the limit</w:t>
            </w:r>
          </w:p>
        </w:tc>
        <w:tc>
          <w:tcPr>
            <w:tcW w:w="1206" w:type="dxa"/>
          </w:tcPr>
          <w:p w14:paraId="12AAF2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Median coverage</w:t>
            </w:r>
          </w:p>
        </w:tc>
      </w:tr>
      <w:tr w:rsidR="00B57608" w:rsidRPr="00961F99" w14:paraId="7DF8704F" w14:textId="77777777" w:rsidTr="00376A59">
        <w:trPr>
          <w:jc w:val="center"/>
        </w:trPr>
        <w:tc>
          <w:tcPr>
            <w:tcW w:w="946" w:type="dxa"/>
          </w:tcPr>
          <w:p w14:paraId="1C18701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Residential</w:t>
            </w:r>
          </w:p>
        </w:tc>
        <w:tc>
          <w:tcPr>
            <w:tcW w:w="1206" w:type="dxa"/>
          </w:tcPr>
          <w:p w14:paraId="7091916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$250,000</w:t>
            </w:r>
          </w:p>
        </w:tc>
        <w:tc>
          <w:tcPr>
            <w:tcW w:w="1206" w:type="dxa"/>
          </w:tcPr>
          <w:p w14:paraId="1B82FA5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3,176,768</w:t>
            </w:r>
          </w:p>
        </w:tc>
        <w:tc>
          <w:tcPr>
            <w:tcW w:w="1206" w:type="dxa"/>
          </w:tcPr>
          <w:p w14:paraId="0ACB068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2,049,368</w:t>
            </w:r>
          </w:p>
        </w:tc>
        <w:tc>
          <w:tcPr>
            <w:tcW w:w="1206" w:type="dxa"/>
          </w:tcPr>
          <w:p w14:paraId="29C5DC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64.5%</w:t>
            </w:r>
          </w:p>
        </w:tc>
        <w:tc>
          <w:tcPr>
            <w:tcW w:w="1206" w:type="dxa"/>
          </w:tcPr>
          <w:p w14:paraId="269BBB1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689.5</w:t>
            </w:r>
          </w:p>
        </w:tc>
        <w:tc>
          <w:tcPr>
            <w:tcW w:w="1206" w:type="dxa"/>
          </w:tcPr>
          <w:p w14:paraId="3F64D2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77.3%</w:t>
            </w:r>
          </w:p>
        </w:tc>
        <w:tc>
          <w:tcPr>
            <w:tcW w:w="1206" w:type="dxa"/>
          </w:tcPr>
          <w:p w14:paraId="19E1940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$250,000</w:t>
            </w:r>
          </w:p>
        </w:tc>
      </w:tr>
      <w:tr w:rsidR="00B57608" w:rsidRPr="00961F99" w14:paraId="00115F03" w14:textId="77777777" w:rsidTr="00376A59">
        <w:trPr>
          <w:jc w:val="center"/>
        </w:trPr>
        <w:tc>
          <w:tcPr>
            <w:tcW w:w="946" w:type="dxa"/>
          </w:tcPr>
          <w:p w14:paraId="3EF987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Non-residential</w:t>
            </w:r>
          </w:p>
        </w:tc>
        <w:tc>
          <w:tcPr>
            <w:tcW w:w="1206" w:type="dxa"/>
          </w:tcPr>
          <w:p w14:paraId="05D01CA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$500,000</w:t>
            </w:r>
          </w:p>
        </w:tc>
        <w:tc>
          <w:tcPr>
            <w:tcW w:w="1206" w:type="dxa"/>
          </w:tcPr>
          <w:p w14:paraId="1BE732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123,820</w:t>
            </w:r>
          </w:p>
        </w:tc>
        <w:tc>
          <w:tcPr>
            <w:tcW w:w="1206" w:type="dxa"/>
          </w:tcPr>
          <w:p w14:paraId="0F7F41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58,879</w:t>
            </w:r>
          </w:p>
        </w:tc>
        <w:tc>
          <w:tcPr>
            <w:tcW w:w="1206" w:type="dxa"/>
          </w:tcPr>
          <w:p w14:paraId="20056D7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47.6%</w:t>
            </w:r>
          </w:p>
        </w:tc>
        <w:tc>
          <w:tcPr>
            <w:tcW w:w="1206" w:type="dxa"/>
          </w:tcPr>
          <w:p w14:paraId="0B446B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51.2</w:t>
            </w:r>
          </w:p>
        </w:tc>
        <w:tc>
          <w:tcPr>
            <w:tcW w:w="1206" w:type="dxa"/>
          </w:tcPr>
          <w:p w14:paraId="5ADC28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66.1%</w:t>
            </w:r>
          </w:p>
        </w:tc>
        <w:tc>
          <w:tcPr>
            <w:tcW w:w="1206" w:type="dxa"/>
          </w:tcPr>
          <w:p w14:paraId="4B1BAEE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$470,000</w:t>
            </w:r>
          </w:p>
        </w:tc>
      </w:tr>
    </w:tbl>
    <w:p w14:paraId="3576A512" w14:textId="77777777" w:rsidR="00B57608" w:rsidRPr="00961F99" w:rsidRDefault="00B57608" w:rsidP="00757EC6">
      <w:pPr>
        <w:spacing w:after="40"/>
        <w:jc w:val="both"/>
        <w:rPr>
          <w:rFonts w:asciiTheme="majorBidi" w:hAnsiTheme="majorBidi" w:cstheme="majorBidi"/>
        </w:rPr>
      </w:pPr>
    </w:p>
    <w:p w14:paraId="23A7791C"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2,049,368 insured residential buildings, 64.5% of the reconstructed residential portfolio, carry building coverage at exactly the $250,000 statutory maximum, and those buildings hold 77.3% of all reconstructed residential coverage. The statutory limit is therefore not a remote constraint affecting a handful of high-value properties; it is the modal coverage amount in the insured population. This is consistent with federal audit evidence that the share of residential policies purchased at the maximum rose from 11% to 42% over the decade to 2012, and it supplies the direct mechanism for the reversal documented in Figure S13: once expected loss exceeds what the statutory limit can absorb, every additional dollar of expected loss accrues to the uncovered channel by construction.</w:t>
      </w:r>
    </w:p>
    <w:p w14:paraId="6ADDF8EB"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S24 | </w:t>
      </w:r>
      <w:r w:rsidRPr="00961F99">
        <w:rPr>
          <w:rFonts w:asciiTheme="majorBidi" w:hAnsiTheme="majorBidi" w:cstheme="majorBidi"/>
          <w:sz w:val="19"/>
          <w:szCs w:val="19"/>
        </w:rPr>
        <w:t>The ten most frequent reconstructed building-coverage amounts. The concentration at round figures and at the statutory maximum reflects the observed structure of the policy population rather than any feature of the allocator.</w:t>
      </w:r>
    </w:p>
    <w:tbl>
      <w:tblPr>
        <w:tblStyle w:val="af6"/>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1"/>
        <w:gridCol w:w="3216"/>
        <w:gridCol w:w="3013"/>
      </w:tblGrid>
      <w:tr w:rsidR="00B57608" w:rsidRPr="00961F99" w14:paraId="2C8D4F3A" w14:textId="77777777" w:rsidTr="00376A59">
        <w:trPr>
          <w:tblHeader/>
          <w:jc w:val="center"/>
        </w:trPr>
        <w:tc>
          <w:tcPr>
            <w:tcW w:w="3131" w:type="dxa"/>
          </w:tcPr>
          <w:p w14:paraId="60A32F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Reconstructed building coverage</w:t>
            </w:r>
          </w:p>
        </w:tc>
        <w:tc>
          <w:tcPr>
            <w:tcW w:w="3216" w:type="dxa"/>
          </w:tcPr>
          <w:p w14:paraId="6F6AE3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Buildings</w:t>
            </w:r>
          </w:p>
        </w:tc>
        <w:tc>
          <w:tcPr>
            <w:tcW w:w="3013" w:type="dxa"/>
          </w:tcPr>
          <w:p w14:paraId="729A82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Share of covered buildings</w:t>
            </w:r>
          </w:p>
        </w:tc>
      </w:tr>
      <w:tr w:rsidR="00B57608" w:rsidRPr="00961F99" w14:paraId="6B157C65" w14:textId="77777777" w:rsidTr="00376A59">
        <w:trPr>
          <w:jc w:val="center"/>
        </w:trPr>
        <w:tc>
          <w:tcPr>
            <w:tcW w:w="3131" w:type="dxa"/>
          </w:tcPr>
          <w:p w14:paraId="44253F1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$250,000</w:t>
            </w:r>
          </w:p>
        </w:tc>
        <w:tc>
          <w:tcPr>
            <w:tcW w:w="3216" w:type="dxa"/>
          </w:tcPr>
          <w:p w14:paraId="63F2E33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1,978,894</w:t>
            </w:r>
          </w:p>
        </w:tc>
        <w:tc>
          <w:tcPr>
            <w:tcW w:w="3013" w:type="dxa"/>
          </w:tcPr>
          <w:p w14:paraId="7804CC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60.0%</w:t>
            </w:r>
          </w:p>
        </w:tc>
      </w:tr>
      <w:tr w:rsidR="00B57608" w:rsidRPr="00961F99" w14:paraId="53DA612E" w14:textId="77777777" w:rsidTr="00376A59">
        <w:trPr>
          <w:jc w:val="center"/>
        </w:trPr>
        <w:tc>
          <w:tcPr>
            <w:tcW w:w="3131" w:type="dxa"/>
          </w:tcPr>
          <w:p w14:paraId="32520E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$500,000</w:t>
            </w:r>
          </w:p>
        </w:tc>
        <w:tc>
          <w:tcPr>
            <w:tcW w:w="3216" w:type="dxa"/>
          </w:tcPr>
          <w:p w14:paraId="110F90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99,172</w:t>
            </w:r>
          </w:p>
        </w:tc>
        <w:tc>
          <w:tcPr>
            <w:tcW w:w="3013" w:type="dxa"/>
          </w:tcPr>
          <w:p w14:paraId="1D1F465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3.0%</w:t>
            </w:r>
          </w:p>
        </w:tc>
      </w:tr>
      <w:tr w:rsidR="00B57608" w:rsidRPr="00961F99" w14:paraId="73893620" w14:textId="77777777" w:rsidTr="00376A59">
        <w:trPr>
          <w:jc w:val="center"/>
        </w:trPr>
        <w:tc>
          <w:tcPr>
            <w:tcW w:w="3131" w:type="dxa"/>
          </w:tcPr>
          <w:p w14:paraId="7BCEF8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$200,000</w:t>
            </w:r>
          </w:p>
        </w:tc>
        <w:tc>
          <w:tcPr>
            <w:tcW w:w="3216" w:type="dxa"/>
          </w:tcPr>
          <w:p w14:paraId="4E3086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77,461</w:t>
            </w:r>
          </w:p>
        </w:tc>
        <w:tc>
          <w:tcPr>
            <w:tcW w:w="3013" w:type="dxa"/>
          </w:tcPr>
          <w:p w14:paraId="36A1AD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2.3%</w:t>
            </w:r>
          </w:p>
        </w:tc>
      </w:tr>
      <w:tr w:rsidR="00B57608" w:rsidRPr="00961F99" w14:paraId="30963B55" w14:textId="77777777" w:rsidTr="00376A59">
        <w:trPr>
          <w:jc w:val="center"/>
        </w:trPr>
        <w:tc>
          <w:tcPr>
            <w:tcW w:w="3131" w:type="dxa"/>
          </w:tcPr>
          <w:p w14:paraId="71EE5F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$150,000</w:t>
            </w:r>
          </w:p>
        </w:tc>
        <w:tc>
          <w:tcPr>
            <w:tcW w:w="3216" w:type="dxa"/>
          </w:tcPr>
          <w:p w14:paraId="60DD8D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58,299</w:t>
            </w:r>
          </w:p>
        </w:tc>
        <w:tc>
          <w:tcPr>
            <w:tcW w:w="3013" w:type="dxa"/>
          </w:tcPr>
          <w:p w14:paraId="2E7A9A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1.8%</w:t>
            </w:r>
          </w:p>
        </w:tc>
      </w:tr>
      <w:tr w:rsidR="00B57608" w:rsidRPr="00961F99" w14:paraId="1C6DC72A" w14:textId="77777777" w:rsidTr="00376A59">
        <w:trPr>
          <w:jc w:val="center"/>
        </w:trPr>
        <w:tc>
          <w:tcPr>
            <w:tcW w:w="3131" w:type="dxa"/>
          </w:tcPr>
          <w:p w14:paraId="0E6EFF6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$100,000</w:t>
            </w:r>
          </w:p>
        </w:tc>
        <w:tc>
          <w:tcPr>
            <w:tcW w:w="3216" w:type="dxa"/>
          </w:tcPr>
          <w:p w14:paraId="5349C06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49,147</w:t>
            </w:r>
          </w:p>
        </w:tc>
        <w:tc>
          <w:tcPr>
            <w:tcW w:w="3013" w:type="dxa"/>
          </w:tcPr>
          <w:p w14:paraId="4F6623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1.5%</w:t>
            </w:r>
          </w:p>
        </w:tc>
      </w:tr>
      <w:tr w:rsidR="00B57608" w:rsidRPr="00961F99" w14:paraId="7EAAAFF5" w14:textId="77777777" w:rsidTr="00376A59">
        <w:trPr>
          <w:jc w:val="center"/>
        </w:trPr>
        <w:tc>
          <w:tcPr>
            <w:tcW w:w="3131" w:type="dxa"/>
          </w:tcPr>
          <w:p w14:paraId="3A7E56E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$220,000</w:t>
            </w:r>
          </w:p>
        </w:tc>
        <w:tc>
          <w:tcPr>
            <w:tcW w:w="3216" w:type="dxa"/>
          </w:tcPr>
          <w:p w14:paraId="1BD96C3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35,393</w:t>
            </w:r>
          </w:p>
        </w:tc>
        <w:tc>
          <w:tcPr>
            <w:tcW w:w="3013" w:type="dxa"/>
          </w:tcPr>
          <w:p w14:paraId="7F190A3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1.1%</w:t>
            </w:r>
          </w:p>
        </w:tc>
      </w:tr>
      <w:tr w:rsidR="00B57608" w:rsidRPr="00961F99" w14:paraId="221D6A0F" w14:textId="77777777" w:rsidTr="00376A59">
        <w:trPr>
          <w:jc w:val="center"/>
        </w:trPr>
        <w:tc>
          <w:tcPr>
            <w:tcW w:w="3131" w:type="dxa"/>
          </w:tcPr>
          <w:p w14:paraId="752D36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$125,000</w:t>
            </w:r>
          </w:p>
        </w:tc>
        <w:tc>
          <w:tcPr>
            <w:tcW w:w="3216" w:type="dxa"/>
          </w:tcPr>
          <w:p w14:paraId="628247A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31,380</w:t>
            </w:r>
          </w:p>
        </w:tc>
        <w:tc>
          <w:tcPr>
            <w:tcW w:w="3013" w:type="dxa"/>
          </w:tcPr>
          <w:p w14:paraId="3B03F6B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1.0%</w:t>
            </w:r>
          </w:p>
        </w:tc>
      </w:tr>
      <w:tr w:rsidR="00B57608" w:rsidRPr="00961F99" w14:paraId="371F9A6C" w14:textId="77777777" w:rsidTr="00376A59">
        <w:trPr>
          <w:jc w:val="center"/>
        </w:trPr>
        <w:tc>
          <w:tcPr>
            <w:tcW w:w="3131" w:type="dxa"/>
          </w:tcPr>
          <w:p w14:paraId="5D7A7A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$165,000</w:t>
            </w:r>
          </w:p>
        </w:tc>
        <w:tc>
          <w:tcPr>
            <w:tcW w:w="3216" w:type="dxa"/>
          </w:tcPr>
          <w:p w14:paraId="3EADB0B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28,277</w:t>
            </w:r>
          </w:p>
        </w:tc>
        <w:tc>
          <w:tcPr>
            <w:tcW w:w="3013" w:type="dxa"/>
          </w:tcPr>
          <w:p w14:paraId="286148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0.9%</w:t>
            </w:r>
          </w:p>
        </w:tc>
      </w:tr>
      <w:tr w:rsidR="00B57608" w:rsidRPr="00961F99" w14:paraId="40DA3077" w14:textId="77777777" w:rsidTr="00376A59">
        <w:trPr>
          <w:jc w:val="center"/>
        </w:trPr>
        <w:tc>
          <w:tcPr>
            <w:tcW w:w="3131" w:type="dxa"/>
          </w:tcPr>
          <w:p w14:paraId="527403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$50,000</w:t>
            </w:r>
          </w:p>
        </w:tc>
        <w:tc>
          <w:tcPr>
            <w:tcW w:w="3216" w:type="dxa"/>
          </w:tcPr>
          <w:p w14:paraId="47A48B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24,615</w:t>
            </w:r>
          </w:p>
        </w:tc>
        <w:tc>
          <w:tcPr>
            <w:tcW w:w="3013" w:type="dxa"/>
          </w:tcPr>
          <w:p w14:paraId="0E968E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0.7%</w:t>
            </w:r>
          </w:p>
        </w:tc>
      </w:tr>
      <w:tr w:rsidR="00B57608" w:rsidRPr="00961F99" w14:paraId="10EC3CD1" w14:textId="77777777" w:rsidTr="00376A59">
        <w:trPr>
          <w:jc w:val="center"/>
        </w:trPr>
        <w:tc>
          <w:tcPr>
            <w:tcW w:w="3131" w:type="dxa"/>
          </w:tcPr>
          <w:p w14:paraId="0D821B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$182,000</w:t>
            </w:r>
          </w:p>
        </w:tc>
        <w:tc>
          <w:tcPr>
            <w:tcW w:w="3216" w:type="dxa"/>
          </w:tcPr>
          <w:p w14:paraId="535F0D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22,662</w:t>
            </w:r>
          </w:p>
        </w:tc>
        <w:tc>
          <w:tcPr>
            <w:tcW w:w="3013" w:type="dxa"/>
          </w:tcPr>
          <w:p w14:paraId="009C8D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0.7%</w:t>
            </w:r>
          </w:p>
        </w:tc>
      </w:tr>
    </w:tbl>
    <w:p w14:paraId="51E5D9F2" w14:textId="77777777" w:rsidR="00B57608" w:rsidRPr="00961F99" w:rsidRDefault="00B57608" w:rsidP="00757EC6">
      <w:pPr>
        <w:spacing w:after="40"/>
        <w:jc w:val="both"/>
        <w:rPr>
          <w:rFonts w:asciiTheme="majorBidi" w:hAnsiTheme="majorBidi" w:cstheme="majorBidi"/>
        </w:rPr>
      </w:pPr>
    </w:p>
    <w:p w14:paraId="79E6EAD8"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D9. The profile of residual loss among insured buildings</w:t>
      </w:r>
    </w:p>
    <w:p w14:paraId="2ACC6565"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The uncovered-loss share among insured buildings, plotted in panel (b) of main-text Figure 3 and in Figure S3, is not monotonic: it falls to a trough near $550 of expected annual loss, rises to a local maximum near $2,000–4,000, falls again near $7,000, and then climbs steeply. Because that profile carries an interpretive claim in the main text, Table S25 decomposes it bin by bin into its two mechanical components and reports the composition of the buildings in each bin.</w:t>
      </w:r>
    </w:p>
    <w:p w14:paraId="7E5A9028"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Three things follow. The deductible component declines monotonically across the whole distribution, from 8.3% of expected annual loss in the lowest bin to 0.09% in the highest, and accounts for 92% of the residual </w:t>
      </w:r>
      <w:r w:rsidRPr="00961F99">
        <w:rPr>
          <w:rFonts w:asciiTheme="majorBidi" w:hAnsiTheme="majorBidi" w:cstheme="majorBidi"/>
        </w:rPr>
        <w:lastRenderedPageBreak/>
        <w:t>in the lowest bin but under 1% in the highest. The above-coverage-limit component rises from 0.7% to 85% and dominates everywhere above roughly $1,000. The local minimum near $7,000 therefore sits entirely in the above-limit component, and its cause is visible in the two composition columns: median 500-year loss relative to expected annual loss falls from about 85 in the preceding bin to about 31, and the share of buildings whose 500-year loss exceeds their available coverage falls from 68% to 55%. Buildings reach that level of expected annual loss through frequent moderate flooding rather than through rare severe flooding, so a smaller part of their loss escapes above the coverage limit. The feature is therefore a compositional signature of how buildings arrive at a given expected annual loss, not an artifact of binning: it appears under both binning schemes and in all four hazard layers independently.</w:t>
      </w:r>
    </w:p>
    <w:p w14:paraId="73593EC5"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S25 | </w:t>
      </w:r>
      <w:r w:rsidRPr="00961F99">
        <w:rPr>
          <w:rFonts w:asciiTheme="majorBidi" w:hAnsiTheme="majorBidi" w:cstheme="majorBidi"/>
          <w:sz w:val="19"/>
          <w:szCs w:val="19"/>
        </w:rPr>
        <w:t>Decomposition of the uncovered-loss share among insured buildings across the expected-annual-loss distribution, combined hazard layer, with the composition of each bin. The deductible and above-limit columns are expressed as shares of expected annual loss and sum to the uncovered share. The two right-hand composition columns explain the local minimum: where the median ratio of 500-year loss to expected annual loss falls, fewer events exceed the coverage limit and less loss escapes it. Bins use the same fixed logarithmic scheme as Table S4 and Figure S3.</w:t>
      </w:r>
    </w:p>
    <w:tbl>
      <w:tblPr>
        <w:tblStyle w:val="af7"/>
        <w:tblW w:w="9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2"/>
        <w:gridCol w:w="1072"/>
        <w:gridCol w:w="1072"/>
        <w:gridCol w:w="1072"/>
        <w:gridCol w:w="1072"/>
        <w:gridCol w:w="1072"/>
        <w:gridCol w:w="1072"/>
        <w:gridCol w:w="1072"/>
        <w:gridCol w:w="1072"/>
      </w:tblGrid>
      <w:tr w:rsidR="00B57608" w:rsidRPr="00961F99" w14:paraId="46C1E9B8" w14:textId="77777777" w:rsidTr="00376A59">
        <w:trPr>
          <w:tblHeader/>
          <w:jc w:val="center"/>
        </w:trPr>
        <w:tc>
          <w:tcPr>
            <w:tcW w:w="812" w:type="dxa"/>
          </w:tcPr>
          <w:p w14:paraId="41CA0F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Bin midpoint EAL ($ yr⁻¹)</w:t>
            </w:r>
          </w:p>
        </w:tc>
        <w:tc>
          <w:tcPr>
            <w:tcW w:w="1072" w:type="dxa"/>
          </w:tcPr>
          <w:p w14:paraId="7FC7CF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Insured buildings</w:t>
            </w:r>
          </w:p>
        </w:tc>
        <w:tc>
          <w:tcPr>
            <w:tcW w:w="1072" w:type="dxa"/>
          </w:tcPr>
          <w:p w14:paraId="2F739DB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Uncovered share</w:t>
            </w:r>
          </w:p>
        </w:tc>
        <w:tc>
          <w:tcPr>
            <w:tcW w:w="1072" w:type="dxa"/>
          </w:tcPr>
          <w:p w14:paraId="0177130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of which deductible</w:t>
            </w:r>
          </w:p>
        </w:tc>
        <w:tc>
          <w:tcPr>
            <w:tcW w:w="1072" w:type="dxa"/>
          </w:tcPr>
          <w:p w14:paraId="5021FCA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of which above limit</w:t>
            </w:r>
          </w:p>
        </w:tc>
        <w:tc>
          <w:tcPr>
            <w:tcW w:w="1072" w:type="dxa"/>
          </w:tcPr>
          <w:p w14:paraId="42E6C8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Median coverage / EAL</w:t>
            </w:r>
          </w:p>
        </w:tc>
        <w:tc>
          <w:tcPr>
            <w:tcW w:w="1072" w:type="dxa"/>
          </w:tcPr>
          <w:p w14:paraId="2AAD35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Median 500-yr loss / EAL</w:t>
            </w:r>
          </w:p>
        </w:tc>
        <w:tc>
          <w:tcPr>
            <w:tcW w:w="1072" w:type="dxa"/>
          </w:tcPr>
          <w:p w14:paraId="51E24A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Share with 500-yr loss above coverage</w:t>
            </w:r>
          </w:p>
        </w:tc>
        <w:tc>
          <w:tcPr>
            <w:tcW w:w="1072" w:type="dxa"/>
          </w:tcPr>
          <w:p w14:paraId="71578C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Share at $250k limit</w:t>
            </w:r>
          </w:p>
        </w:tc>
      </w:tr>
      <w:tr w:rsidR="00B57608" w:rsidRPr="00961F99" w14:paraId="2840B3B8" w14:textId="77777777" w:rsidTr="00376A59">
        <w:trPr>
          <w:jc w:val="center"/>
        </w:trPr>
        <w:tc>
          <w:tcPr>
            <w:tcW w:w="812" w:type="dxa"/>
          </w:tcPr>
          <w:p w14:paraId="18300FE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139</w:t>
            </w:r>
          </w:p>
        </w:tc>
        <w:tc>
          <w:tcPr>
            <w:tcW w:w="1072" w:type="dxa"/>
          </w:tcPr>
          <w:p w14:paraId="06DE3B5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122,350</w:t>
            </w:r>
          </w:p>
        </w:tc>
        <w:tc>
          <w:tcPr>
            <w:tcW w:w="1072" w:type="dxa"/>
          </w:tcPr>
          <w:p w14:paraId="1697B4E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8.99%</w:t>
            </w:r>
          </w:p>
        </w:tc>
        <w:tc>
          <w:tcPr>
            <w:tcW w:w="1072" w:type="dxa"/>
          </w:tcPr>
          <w:p w14:paraId="5503C7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8.25%</w:t>
            </w:r>
          </w:p>
        </w:tc>
        <w:tc>
          <w:tcPr>
            <w:tcW w:w="1072" w:type="dxa"/>
          </w:tcPr>
          <w:p w14:paraId="0CFBF6B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0.74%</w:t>
            </w:r>
          </w:p>
        </w:tc>
        <w:tc>
          <w:tcPr>
            <w:tcW w:w="1072" w:type="dxa"/>
          </w:tcPr>
          <w:p w14:paraId="393492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1,543.9</w:t>
            </w:r>
          </w:p>
        </w:tc>
        <w:tc>
          <w:tcPr>
            <w:tcW w:w="1072" w:type="dxa"/>
          </w:tcPr>
          <w:p w14:paraId="30DBEE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324.1</w:t>
            </w:r>
          </w:p>
        </w:tc>
        <w:tc>
          <w:tcPr>
            <w:tcW w:w="1072" w:type="dxa"/>
          </w:tcPr>
          <w:p w14:paraId="005E6B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2.8%</w:t>
            </w:r>
          </w:p>
        </w:tc>
        <w:tc>
          <w:tcPr>
            <w:tcW w:w="1072" w:type="dxa"/>
          </w:tcPr>
          <w:p w14:paraId="4153005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55.6%</w:t>
            </w:r>
          </w:p>
        </w:tc>
      </w:tr>
      <w:tr w:rsidR="00B57608" w:rsidRPr="00961F99" w14:paraId="618B847A" w14:textId="77777777" w:rsidTr="00376A59">
        <w:trPr>
          <w:jc w:val="center"/>
        </w:trPr>
        <w:tc>
          <w:tcPr>
            <w:tcW w:w="812" w:type="dxa"/>
          </w:tcPr>
          <w:p w14:paraId="553B5E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268</w:t>
            </w:r>
          </w:p>
        </w:tc>
        <w:tc>
          <w:tcPr>
            <w:tcW w:w="1072" w:type="dxa"/>
          </w:tcPr>
          <w:p w14:paraId="61B2B63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168,635</w:t>
            </w:r>
          </w:p>
        </w:tc>
        <w:tc>
          <w:tcPr>
            <w:tcW w:w="1072" w:type="dxa"/>
          </w:tcPr>
          <w:p w14:paraId="200496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8.31%</w:t>
            </w:r>
          </w:p>
        </w:tc>
        <w:tc>
          <w:tcPr>
            <w:tcW w:w="1072" w:type="dxa"/>
          </w:tcPr>
          <w:p w14:paraId="6B151D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6.72%</w:t>
            </w:r>
          </w:p>
        </w:tc>
        <w:tc>
          <w:tcPr>
            <w:tcW w:w="1072" w:type="dxa"/>
          </w:tcPr>
          <w:p w14:paraId="241F48F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1.59%</w:t>
            </w:r>
          </w:p>
        </w:tc>
        <w:tc>
          <w:tcPr>
            <w:tcW w:w="1072" w:type="dxa"/>
          </w:tcPr>
          <w:p w14:paraId="5F3FEA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781.9</w:t>
            </w:r>
          </w:p>
        </w:tc>
        <w:tc>
          <w:tcPr>
            <w:tcW w:w="1072" w:type="dxa"/>
          </w:tcPr>
          <w:p w14:paraId="3204B9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290.4</w:t>
            </w:r>
          </w:p>
        </w:tc>
        <w:tc>
          <w:tcPr>
            <w:tcW w:w="1072" w:type="dxa"/>
          </w:tcPr>
          <w:p w14:paraId="7A444D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6.2%</w:t>
            </w:r>
          </w:p>
        </w:tc>
        <w:tc>
          <w:tcPr>
            <w:tcW w:w="1072" w:type="dxa"/>
          </w:tcPr>
          <w:p w14:paraId="294BF1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53.3%</w:t>
            </w:r>
          </w:p>
        </w:tc>
      </w:tr>
      <w:tr w:rsidR="00B57608" w:rsidRPr="00961F99" w14:paraId="0B30AC91" w14:textId="77777777" w:rsidTr="00376A59">
        <w:trPr>
          <w:jc w:val="center"/>
        </w:trPr>
        <w:tc>
          <w:tcPr>
            <w:tcW w:w="812" w:type="dxa"/>
          </w:tcPr>
          <w:p w14:paraId="406635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518</w:t>
            </w:r>
          </w:p>
        </w:tc>
        <w:tc>
          <w:tcPr>
            <w:tcW w:w="1072" w:type="dxa"/>
          </w:tcPr>
          <w:p w14:paraId="2C215E6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271,228</w:t>
            </w:r>
          </w:p>
        </w:tc>
        <w:tc>
          <w:tcPr>
            <w:tcW w:w="1072" w:type="dxa"/>
          </w:tcPr>
          <w:p w14:paraId="172E884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7.25%</w:t>
            </w:r>
          </w:p>
        </w:tc>
        <w:tc>
          <w:tcPr>
            <w:tcW w:w="1072" w:type="dxa"/>
          </w:tcPr>
          <w:p w14:paraId="6F2DF75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4.72%</w:t>
            </w:r>
          </w:p>
        </w:tc>
        <w:tc>
          <w:tcPr>
            <w:tcW w:w="1072" w:type="dxa"/>
          </w:tcPr>
          <w:p w14:paraId="517764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2.53%</w:t>
            </w:r>
          </w:p>
        </w:tc>
        <w:tc>
          <w:tcPr>
            <w:tcW w:w="1072" w:type="dxa"/>
          </w:tcPr>
          <w:p w14:paraId="6C6216E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409.5</w:t>
            </w:r>
          </w:p>
        </w:tc>
        <w:tc>
          <w:tcPr>
            <w:tcW w:w="1072" w:type="dxa"/>
          </w:tcPr>
          <w:p w14:paraId="0A15C2B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215.6</w:t>
            </w:r>
          </w:p>
        </w:tc>
        <w:tc>
          <w:tcPr>
            <w:tcW w:w="1072" w:type="dxa"/>
          </w:tcPr>
          <w:p w14:paraId="7FDB80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10.6%</w:t>
            </w:r>
          </w:p>
        </w:tc>
        <w:tc>
          <w:tcPr>
            <w:tcW w:w="1072" w:type="dxa"/>
          </w:tcPr>
          <w:p w14:paraId="22DCC9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58.1%</w:t>
            </w:r>
          </w:p>
        </w:tc>
      </w:tr>
      <w:tr w:rsidR="00B57608" w:rsidRPr="00961F99" w14:paraId="304B96A4" w14:textId="77777777" w:rsidTr="00376A59">
        <w:trPr>
          <w:jc w:val="center"/>
        </w:trPr>
        <w:tc>
          <w:tcPr>
            <w:tcW w:w="812" w:type="dxa"/>
          </w:tcPr>
          <w:p w14:paraId="6558E0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1,000</w:t>
            </w:r>
          </w:p>
        </w:tc>
        <w:tc>
          <w:tcPr>
            <w:tcW w:w="1072" w:type="dxa"/>
          </w:tcPr>
          <w:p w14:paraId="1D9D5D0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332,865</w:t>
            </w:r>
          </w:p>
        </w:tc>
        <w:tc>
          <w:tcPr>
            <w:tcW w:w="1072" w:type="dxa"/>
          </w:tcPr>
          <w:p w14:paraId="39072D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10.08%</w:t>
            </w:r>
          </w:p>
        </w:tc>
        <w:tc>
          <w:tcPr>
            <w:tcW w:w="1072" w:type="dxa"/>
          </w:tcPr>
          <w:p w14:paraId="63579B6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3.10%</w:t>
            </w:r>
          </w:p>
        </w:tc>
        <w:tc>
          <w:tcPr>
            <w:tcW w:w="1072" w:type="dxa"/>
          </w:tcPr>
          <w:p w14:paraId="32F1457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6.98%</w:t>
            </w:r>
          </w:p>
        </w:tc>
        <w:tc>
          <w:tcPr>
            <w:tcW w:w="1072" w:type="dxa"/>
          </w:tcPr>
          <w:p w14:paraId="6D029C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237.1</w:t>
            </w:r>
          </w:p>
        </w:tc>
        <w:tc>
          <w:tcPr>
            <w:tcW w:w="1072" w:type="dxa"/>
          </w:tcPr>
          <w:p w14:paraId="183CC18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172.7</w:t>
            </w:r>
          </w:p>
        </w:tc>
        <w:tc>
          <w:tcPr>
            <w:tcW w:w="1072" w:type="dxa"/>
          </w:tcPr>
          <w:p w14:paraId="6DD894D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37.4%</w:t>
            </w:r>
          </w:p>
        </w:tc>
        <w:tc>
          <w:tcPr>
            <w:tcW w:w="1072" w:type="dxa"/>
          </w:tcPr>
          <w:p w14:paraId="28D28BD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67.2%</w:t>
            </w:r>
          </w:p>
        </w:tc>
      </w:tr>
      <w:tr w:rsidR="00B57608" w:rsidRPr="00961F99" w14:paraId="1725E0B7" w14:textId="77777777" w:rsidTr="00376A59">
        <w:trPr>
          <w:jc w:val="center"/>
        </w:trPr>
        <w:tc>
          <w:tcPr>
            <w:tcW w:w="812" w:type="dxa"/>
          </w:tcPr>
          <w:p w14:paraId="5EDEDBC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1,931</w:t>
            </w:r>
          </w:p>
        </w:tc>
        <w:tc>
          <w:tcPr>
            <w:tcW w:w="1072" w:type="dxa"/>
          </w:tcPr>
          <w:p w14:paraId="26A174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244,064</w:t>
            </w:r>
          </w:p>
        </w:tc>
        <w:tc>
          <w:tcPr>
            <w:tcW w:w="1072" w:type="dxa"/>
          </w:tcPr>
          <w:p w14:paraId="1B01EFB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20.78%</w:t>
            </w:r>
          </w:p>
        </w:tc>
        <w:tc>
          <w:tcPr>
            <w:tcW w:w="1072" w:type="dxa"/>
          </w:tcPr>
          <w:p w14:paraId="3456F25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2.39%</w:t>
            </w:r>
          </w:p>
        </w:tc>
        <w:tc>
          <w:tcPr>
            <w:tcW w:w="1072" w:type="dxa"/>
          </w:tcPr>
          <w:p w14:paraId="069AB9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18.39%</w:t>
            </w:r>
          </w:p>
        </w:tc>
        <w:tc>
          <w:tcPr>
            <w:tcW w:w="1072" w:type="dxa"/>
          </w:tcPr>
          <w:p w14:paraId="78DBDB9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125.2</w:t>
            </w:r>
          </w:p>
        </w:tc>
        <w:tc>
          <w:tcPr>
            <w:tcW w:w="1072" w:type="dxa"/>
          </w:tcPr>
          <w:p w14:paraId="2585156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179.3</w:t>
            </w:r>
          </w:p>
        </w:tc>
        <w:tc>
          <w:tcPr>
            <w:tcW w:w="1072" w:type="dxa"/>
          </w:tcPr>
          <w:p w14:paraId="7D9355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66.1%</w:t>
            </w:r>
          </w:p>
        </w:tc>
        <w:tc>
          <w:tcPr>
            <w:tcW w:w="1072" w:type="dxa"/>
          </w:tcPr>
          <w:p w14:paraId="183A7E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65.8%</w:t>
            </w:r>
          </w:p>
        </w:tc>
      </w:tr>
      <w:tr w:rsidR="00B57608" w:rsidRPr="00961F99" w14:paraId="08FEFD03" w14:textId="77777777" w:rsidTr="00376A59">
        <w:trPr>
          <w:jc w:val="center"/>
        </w:trPr>
        <w:tc>
          <w:tcPr>
            <w:tcW w:w="812" w:type="dxa"/>
          </w:tcPr>
          <w:p w14:paraId="232A80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3,728</w:t>
            </w:r>
          </w:p>
        </w:tc>
        <w:tc>
          <w:tcPr>
            <w:tcW w:w="1072" w:type="dxa"/>
          </w:tcPr>
          <w:p w14:paraId="30844B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171,235</w:t>
            </w:r>
          </w:p>
        </w:tc>
        <w:tc>
          <w:tcPr>
            <w:tcW w:w="1072" w:type="dxa"/>
          </w:tcPr>
          <w:p w14:paraId="5E4922E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20.64%</w:t>
            </w:r>
          </w:p>
        </w:tc>
        <w:tc>
          <w:tcPr>
            <w:tcW w:w="1072" w:type="dxa"/>
          </w:tcPr>
          <w:p w14:paraId="36CD13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2.26%</w:t>
            </w:r>
          </w:p>
        </w:tc>
        <w:tc>
          <w:tcPr>
            <w:tcW w:w="1072" w:type="dxa"/>
          </w:tcPr>
          <w:p w14:paraId="7484DED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18.38%</w:t>
            </w:r>
          </w:p>
        </w:tc>
        <w:tc>
          <w:tcPr>
            <w:tcW w:w="1072" w:type="dxa"/>
          </w:tcPr>
          <w:p w14:paraId="28651F8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60.3</w:t>
            </w:r>
          </w:p>
        </w:tc>
        <w:tc>
          <w:tcPr>
            <w:tcW w:w="1072" w:type="dxa"/>
          </w:tcPr>
          <w:p w14:paraId="4A77D7B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85.2</w:t>
            </w:r>
          </w:p>
        </w:tc>
        <w:tc>
          <w:tcPr>
            <w:tcW w:w="1072" w:type="dxa"/>
          </w:tcPr>
          <w:p w14:paraId="729B2E2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67.5%</w:t>
            </w:r>
          </w:p>
        </w:tc>
        <w:tc>
          <w:tcPr>
            <w:tcW w:w="1072" w:type="dxa"/>
          </w:tcPr>
          <w:p w14:paraId="464610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59.4%</w:t>
            </w:r>
          </w:p>
        </w:tc>
      </w:tr>
      <w:tr w:rsidR="00B57608" w:rsidRPr="00961F99" w14:paraId="00095D38" w14:textId="77777777" w:rsidTr="00376A59">
        <w:trPr>
          <w:jc w:val="center"/>
        </w:trPr>
        <w:tc>
          <w:tcPr>
            <w:tcW w:w="812" w:type="dxa"/>
          </w:tcPr>
          <w:p w14:paraId="393D179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7,197</w:t>
            </w:r>
          </w:p>
        </w:tc>
        <w:tc>
          <w:tcPr>
            <w:tcW w:w="1072" w:type="dxa"/>
          </w:tcPr>
          <w:p w14:paraId="77BE918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183,884</w:t>
            </w:r>
          </w:p>
        </w:tc>
        <w:tc>
          <w:tcPr>
            <w:tcW w:w="1072" w:type="dxa"/>
          </w:tcPr>
          <w:p w14:paraId="64E1150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13.67%</w:t>
            </w:r>
          </w:p>
        </w:tc>
        <w:tc>
          <w:tcPr>
            <w:tcW w:w="1072" w:type="dxa"/>
          </w:tcPr>
          <w:p w14:paraId="29F0572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1.80%</w:t>
            </w:r>
          </w:p>
        </w:tc>
        <w:tc>
          <w:tcPr>
            <w:tcW w:w="1072" w:type="dxa"/>
          </w:tcPr>
          <w:p w14:paraId="044B5F9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11.86%</w:t>
            </w:r>
          </w:p>
        </w:tc>
        <w:tc>
          <w:tcPr>
            <w:tcW w:w="1072" w:type="dxa"/>
          </w:tcPr>
          <w:p w14:paraId="5A9DD1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31.2</w:t>
            </w:r>
          </w:p>
        </w:tc>
        <w:tc>
          <w:tcPr>
            <w:tcW w:w="1072" w:type="dxa"/>
          </w:tcPr>
          <w:p w14:paraId="7370AD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31.0</w:t>
            </w:r>
          </w:p>
        </w:tc>
        <w:tc>
          <w:tcPr>
            <w:tcW w:w="1072" w:type="dxa"/>
          </w:tcPr>
          <w:p w14:paraId="44CD7A1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55.0%</w:t>
            </w:r>
          </w:p>
        </w:tc>
        <w:tc>
          <w:tcPr>
            <w:tcW w:w="1072" w:type="dxa"/>
          </w:tcPr>
          <w:p w14:paraId="19D0F3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63.0%</w:t>
            </w:r>
          </w:p>
        </w:tc>
      </w:tr>
      <w:tr w:rsidR="00B57608" w:rsidRPr="00961F99" w14:paraId="03592560" w14:textId="77777777" w:rsidTr="00376A59">
        <w:trPr>
          <w:jc w:val="center"/>
        </w:trPr>
        <w:tc>
          <w:tcPr>
            <w:tcW w:w="812" w:type="dxa"/>
          </w:tcPr>
          <w:p w14:paraId="0249ED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13,895</w:t>
            </w:r>
          </w:p>
        </w:tc>
        <w:tc>
          <w:tcPr>
            <w:tcW w:w="1072" w:type="dxa"/>
          </w:tcPr>
          <w:p w14:paraId="6936D3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111,237</w:t>
            </w:r>
          </w:p>
        </w:tc>
        <w:tc>
          <w:tcPr>
            <w:tcW w:w="1072" w:type="dxa"/>
          </w:tcPr>
          <w:p w14:paraId="775B22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17.29%</w:t>
            </w:r>
          </w:p>
        </w:tc>
        <w:tc>
          <w:tcPr>
            <w:tcW w:w="1072" w:type="dxa"/>
          </w:tcPr>
          <w:p w14:paraId="7E43136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1.17%</w:t>
            </w:r>
          </w:p>
        </w:tc>
        <w:tc>
          <w:tcPr>
            <w:tcW w:w="1072" w:type="dxa"/>
          </w:tcPr>
          <w:p w14:paraId="6E4BE5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16.12%</w:t>
            </w:r>
          </w:p>
        </w:tc>
        <w:tc>
          <w:tcPr>
            <w:tcW w:w="1072" w:type="dxa"/>
          </w:tcPr>
          <w:p w14:paraId="709E279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18.3</w:t>
            </w:r>
          </w:p>
        </w:tc>
        <w:tc>
          <w:tcPr>
            <w:tcW w:w="1072" w:type="dxa"/>
          </w:tcPr>
          <w:p w14:paraId="7E60C0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29.7</w:t>
            </w:r>
          </w:p>
        </w:tc>
        <w:tc>
          <w:tcPr>
            <w:tcW w:w="1072" w:type="dxa"/>
          </w:tcPr>
          <w:p w14:paraId="60C27B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71.6%</w:t>
            </w:r>
          </w:p>
        </w:tc>
        <w:tc>
          <w:tcPr>
            <w:tcW w:w="1072" w:type="dxa"/>
          </w:tcPr>
          <w:p w14:paraId="1FFB362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67.5%</w:t>
            </w:r>
          </w:p>
        </w:tc>
      </w:tr>
      <w:tr w:rsidR="00B57608" w:rsidRPr="00961F99" w14:paraId="51462D29" w14:textId="77777777" w:rsidTr="00376A59">
        <w:trPr>
          <w:jc w:val="center"/>
        </w:trPr>
        <w:tc>
          <w:tcPr>
            <w:tcW w:w="812" w:type="dxa"/>
          </w:tcPr>
          <w:p w14:paraId="0DFB97F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26,827</w:t>
            </w:r>
          </w:p>
        </w:tc>
        <w:tc>
          <w:tcPr>
            <w:tcW w:w="1072" w:type="dxa"/>
          </w:tcPr>
          <w:p w14:paraId="08027CA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31,046</w:t>
            </w:r>
          </w:p>
        </w:tc>
        <w:tc>
          <w:tcPr>
            <w:tcW w:w="1072" w:type="dxa"/>
          </w:tcPr>
          <w:p w14:paraId="627518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30.22%</w:t>
            </w:r>
          </w:p>
        </w:tc>
        <w:tc>
          <w:tcPr>
            <w:tcW w:w="1072" w:type="dxa"/>
          </w:tcPr>
          <w:p w14:paraId="4130BD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0.75%</w:t>
            </w:r>
          </w:p>
        </w:tc>
        <w:tc>
          <w:tcPr>
            <w:tcW w:w="1072" w:type="dxa"/>
          </w:tcPr>
          <w:p w14:paraId="05DDC91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29.47%</w:t>
            </w:r>
          </w:p>
        </w:tc>
        <w:tc>
          <w:tcPr>
            <w:tcW w:w="1072" w:type="dxa"/>
          </w:tcPr>
          <w:p w14:paraId="287860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9.4</w:t>
            </w:r>
          </w:p>
        </w:tc>
        <w:tc>
          <w:tcPr>
            <w:tcW w:w="1072" w:type="dxa"/>
          </w:tcPr>
          <w:p w14:paraId="2D1D025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24.0</w:t>
            </w:r>
          </w:p>
        </w:tc>
        <w:tc>
          <w:tcPr>
            <w:tcW w:w="1072" w:type="dxa"/>
          </w:tcPr>
          <w:p w14:paraId="4CEF02B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90.5%</w:t>
            </w:r>
          </w:p>
        </w:tc>
        <w:tc>
          <w:tcPr>
            <w:tcW w:w="1072" w:type="dxa"/>
          </w:tcPr>
          <w:p w14:paraId="08481B2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61.4%</w:t>
            </w:r>
          </w:p>
        </w:tc>
      </w:tr>
      <w:tr w:rsidR="00B57608" w:rsidRPr="00961F99" w14:paraId="2462B7BA" w14:textId="77777777" w:rsidTr="00376A59">
        <w:trPr>
          <w:jc w:val="center"/>
        </w:trPr>
        <w:tc>
          <w:tcPr>
            <w:tcW w:w="812" w:type="dxa"/>
          </w:tcPr>
          <w:p w14:paraId="0C3F6C1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51,795</w:t>
            </w:r>
          </w:p>
        </w:tc>
        <w:tc>
          <w:tcPr>
            <w:tcW w:w="1072" w:type="dxa"/>
          </w:tcPr>
          <w:p w14:paraId="782375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10,830</w:t>
            </w:r>
          </w:p>
        </w:tc>
        <w:tc>
          <w:tcPr>
            <w:tcW w:w="1072" w:type="dxa"/>
          </w:tcPr>
          <w:p w14:paraId="036ABDB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40.13%</w:t>
            </w:r>
          </w:p>
        </w:tc>
        <w:tc>
          <w:tcPr>
            <w:tcW w:w="1072" w:type="dxa"/>
          </w:tcPr>
          <w:p w14:paraId="30FE09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0.49%</w:t>
            </w:r>
          </w:p>
        </w:tc>
        <w:tc>
          <w:tcPr>
            <w:tcW w:w="1072" w:type="dxa"/>
          </w:tcPr>
          <w:p w14:paraId="1CBF47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39.65%</w:t>
            </w:r>
          </w:p>
        </w:tc>
        <w:tc>
          <w:tcPr>
            <w:tcW w:w="1072" w:type="dxa"/>
          </w:tcPr>
          <w:p w14:paraId="7123BE7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4.7</w:t>
            </w:r>
          </w:p>
        </w:tc>
        <w:tc>
          <w:tcPr>
            <w:tcW w:w="1072" w:type="dxa"/>
          </w:tcPr>
          <w:p w14:paraId="034FD3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12.0</w:t>
            </w:r>
          </w:p>
        </w:tc>
        <w:tc>
          <w:tcPr>
            <w:tcW w:w="1072" w:type="dxa"/>
          </w:tcPr>
          <w:p w14:paraId="287DF6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97.7%</w:t>
            </w:r>
          </w:p>
        </w:tc>
        <w:tc>
          <w:tcPr>
            <w:tcW w:w="1072" w:type="dxa"/>
          </w:tcPr>
          <w:p w14:paraId="0363BD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62.0%</w:t>
            </w:r>
          </w:p>
        </w:tc>
      </w:tr>
      <w:tr w:rsidR="00B57608" w:rsidRPr="00961F99" w14:paraId="003C252A" w14:textId="77777777" w:rsidTr="00376A59">
        <w:trPr>
          <w:jc w:val="center"/>
        </w:trPr>
        <w:tc>
          <w:tcPr>
            <w:tcW w:w="812" w:type="dxa"/>
          </w:tcPr>
          <w:p w14:paraId="7A2F123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100,000</w:t>
            </w:r>
          </w:p>
        </w:tc>
        <w:tc>
          <w:tcPr>
            <w:tcW w:w="1072" w:type="dxa"/>
          </w:tcPr>
          <w:p w14:paraId="7ADBAC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2,963</w:t>
            </w:r>
          </w:p>
        </w:tc>
        <w:tc>
          <w:tcPr>
            <w:tcW w:w="1072" w:type="dxa"/>
          </w:tcPr>
          <w:p w14:paraId="58809A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55.95%</w:t>
            </w:r>
          </w:p>
        </w:tc>
        <w:tc>
          <w:tcPr>
            <w:tcW w:w="1072" w:type="dxa"/>
          </w:tcPr>
          <w:p w14:paraId="58AD2D0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0.30%</w:t>
            </w:r>
          </w:p>
        </w:tc>
        <w:tc>
          <w:tcPr>
            <w:tcW w:w="1072" w:type="dxa"/>
          </w:tcPr>
          <w:p w14:paraId="06A46A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55.65%</w:t>
            </w:r>
          </w:p>
        </w:tc>
        <w:tc>
          <w:tcPr>
            <w:tcW w:w="1072" w:type="dxa"/>
          </w:tcPr>
          <w:p w14:paraId="6CA273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2.6</w:t>
            </w:r>
          </w:p>
        </w:tc>
        <w:tc>
          <w:tcPr>
            <w:tcW w:w="1072" w:type="dxa"/>
          </w:tcPr>
          <w:p w14:paraId="2F292F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7.6</w:t>
            </w:r>
          </w:p>
        </w:tc>
        <w:tc>
          <w:tcPr>
            <w:tcW w:w="1072" w:type="dxa"/>
          </w:tcPr>
          <w:p w14:paraId="59FD39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99.6%</w:t>
            </w:r>
          </w:p>
        </w:tc>
        <w:tc>
          <w:tcPr>
            <w:tcW w:w="1072" w:type="dxa"/>
          </w:tcPr>
          <w:p w14:paraId="628AC1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66.1%</w:t>
            </w:r>
          </w:p>
        </w:tc>
      </w:tr>
      <w:tr w:rsidR="00B57608" w:rsidRPr="00961F99" w14:paraId="379330BA" w14:textId="77777777" w:rsidTr="00376A59">
        <w:trPr>
          <w:jc w:val="center"/>
        </w:trPr>
        <w:tc>
          <w:tcPr>
            <w:tcW w:w="812" w:type="dxa"/>
          </w:tcPr>
          <w:p w14:paraId="1E6A62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193,070</w:t>
            </w:r>
          </w:p>
        </w:tc>
        <w:tc>
          <w:tcPr>
            <w:tcW w:w="1072" w:type="dxa"/>
          </w:tcPr>
          <w:p w14:paraId="7256479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428</w:t>
            </w:r>
          </w:p>
        </w:tc>
        <w:tc>
          <w:tcPr>
            <w:tcW w:w="1072" w:type="dxa"/>
          </w:tcPr>
          <w:p w14:paraId="7305BF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71.91%</w:t>
            </w:r>
          </w:p>
        </w:tc>
        <w:tc>
          <w:tcPr>
            <w:tcW w:w="1072" w:type="dxa"/>
          </w:tcPr>
          <w:p w14:paraId="3E7D5E1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0.17%</w:t>
            </w:r>
          </w:p>
        </w:tc>
        <w:tc>
          <w:tcPr>
            <w:tcW w:w="1072" w:type="dxa"/>
          </w:tcPr>
          <w:p w14:paraId="6A901C6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71.75%</w:t>
            </w:r>
          </w:p>
        </w:tc>
        <w:tc>
          <w:tcPr>
            <w:tcW w:w="1072" w:type="dxa"/>
          </w:tcPr>
          <w:p w14:paraId="359F94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w:t>
            </w:r>
          </w:p>
        </w:tc>
        <w:tc>
          <w:tcPr>
            <w:tcW w:w="1072" w:type="dxa"/>
          </w:tcPr>
          <w:p w14:paraId="45FDE7B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6.0</w:t>
            </w:r>
          </w:p>
        </w:tc>
        <w:tc>
          <w:tcPr>
            <w:tcW w:w="1072" w:type="dxa"/>
          </w:tcPr>
          <w:p w14:paraId="38AF53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100.0%</w:t>
            </w:r>
          </w:p>
        </w:tc>
        <w:tc>
          <w:tcPr>
            <w:tcW w:w="1072" w:type="dxa"/>
          </w:tcPr>
          <w:p w14:paraId="391A0DE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75.7%</w:t>
            </w:r>
          </w:p>
        </w:tc>
      </w:tr>
      <w:tr w:rsidR="00B57608" w:rsidRPr="00961F99" w14:paraId="4850F03C" w14:textId="77777777" w:rsidTr="00376A59">
        <w:trPr>
          <w:jc w:val="center"/>
        </w:trPr>
        <w:tc>
          <w:tcPr>
            <w:tcW w:w="812" w:type="dxa"/>
          </w:tcPr>
          <w:p w14:paraId="24C12E0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372,759</w:t>
            </w:r>
          </w:p>
        </w:tc>
        <w:tc>
          <w:tcPr>
            <w:tcW w:w="1072" w:type="dxa"/>
          </w:tcPr>
          <w:p w14:paraId="2210AA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w:t>
            </w:r>
          </w:p>
        </w:tc>
        <w:tc>
          <w:tcPr>
            <w:tcW w:w="1072" w:type="dxa"/>
          </w:tcPr>
          <w:p w14:paraId="74753A8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85.27%</w:t>
            </w:r>
          </w:p>
        </w:tc>
        <w:tc>
          <w:tcPr>
            <w:tcW w:w="1072" w:type="dxa"/>
          </w:tcPr>
          <w:p w14:paraId="50537F3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0.09%</w:t>
            </w:r>
          </w:p>
        </w:tc>
        <w:tc>
          <w:tcPr>
            <w:tcW w:w="1072" w:type="dxa"/>
          </w:tcPr>
          <w:p w14:paraId="2E44857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85.18%</w:t>
            </w:r>
          </w:p>
        </w:tc>
        <w:tc>
          <w:tcPr>
            <w:tcW w:w="1072" w:type="dxa"/>
          </w:tcPr>
          <w:p w14:paraId="15C05B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w:t>
            </w:r>
          </w:p>
        </w:tc>
        <w:tc>
          <w:tcPr>
            <w:tcW w:w="1072" w:type="dxa"/>
          </w:tcPr>
          <w:p w14:paraId="0F75C0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5.4</w:t>
            </w:r>
          </w:p>
        </w:tc>
        <w:tc>
          <w:tcPr>
            <w:tcW w:w="1072" w:type="dxa"/>
          </w:tcPr>
          <w:p w14:paraId="33747B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100.0%</w:t>
            </w:r>
          </w:p>
        </w:tc>
        <w:tc>
          <w:tcPr>
            <w:tcW w:w="1072" w:type="dxa"/>
          </w:tcPr>
          <w:p w14:paraId="16B8BD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78.3%</w:t>
            </w:r>
          </w:p>
        </w:tc>
      </w:tr>
    </w:tbl>
    <w:p w14:paraId="641D0097" w14:textId="77777777" w:rsidR="00B57608" w:rsidRPr="00961F99" w:rsidRDefault="00B57608" w:rsidP="00757EC6">
      <w:pPr>
        <w:spacing w:after="40"/>
        <w:jc w:val="both"/>
        <w:rPr>
          <w:rFonts w:asciiTheme="majorBidi" w:hAnsiTheme="majorBidi" w:cstheme="majorBidi"/>
        </w:rPr>
      </w:pPr>
    </w:p>
    <w:p w14:paraId="47AC960B"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br w:type="page"/>
      </w:r>
    </w:p>
    <w:p w14:paraId="43050122" w14:textId="77777777" w:rsidR="00B57608" w:rsidRPr="00961F99" w:rsidRDefault="003B27C7" w:rsidP="00757EC6">
      <w:pPr>
        <w:pStyle w:val="Heading1"/>
        <w:spacing w:before="280" w:after="80"/>
        <w:jc w:val="both"/>
        <w:rPr>
          <w:rFonts w:asciiTheme="majorBidi" w:eastAsia="Times New Roman" w:hAnsiTheme="majorBidi" w:cstheme="majorBidi"/>
        </w:rPr>
      </w:pPr>
      <w:r w:rsidRPr="00961F99">
        <w:rPr>
          <w:rFonts w:asciiTheme="majorBidi" w:eastAsia="Times New Roman" w:hAnsiTheme="majorBidi" w:cstheme="majorBidi"/>
        </w:rPr>
        <w:lastRenderedPageBreak/>
        <w:t>Part E. Model parameters and reference tables</w:t>
      </w:r>
    </w:p>
    <w:p w14:paraId="320946BA"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This Part reproduces the fixed constants of the loss model so that the reconstruction can be implemented independently from the processed building inventory. None of these values </w:t>
      </w:r>
      <w:proofErr w:type="gramStart"/>
      <w:r w:rsidRPr="00961F99">
        <w:rPr>
          <w:rFonts w:asciiTheme="majorBidi" w:hAnsiTheme="majorBidi" w:cstheme="majorBidi"/>
        </w:rPr>
        <w:t>is</w:t>
      </w:r>
      <w:proofErr w:type="gramEnd"/>
      <w:r w:rsidRPr="00961F99">
        <w:rPr>
          <w:rFonts w:asciiTheme="majorBidi" w:hAnsiTheme="majorBidi" w:cstheme="majorBidi"/>
        </w:rPr>
        <w:t xml:space="preserve"> fitted; all are either published functions or observed distributions.</w:t>
      </w:r>
    </w:p>
    <w:p w14:paraId="28EB0B17"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E1. First-floor-height strata</w:t>
      </w:r>
    </w:p>
    <w:p w14:paraId="5C1529B3"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S26 | </w:t>
      </w:r>
      <w:r w:rsidRPr="00961F99">
        <w:rPr>
          <w:rFonts w:asciiTheme="majorBidi" w:hAnsiTheme="majorBidi" w:cstheme="majorBidi"/>
          <w:sz w:val="19"/>
          <w:szCs w:val="19"/>
        </w:rPr>
        <w:t xml:space="preserve">Representative first-floor-height strata derived from surveyed Elevation Certificate records, showing the largest strata by number of surveyed buildings. The stratum </w:t>
      </w:r>
      <w:proofErr w:type="gramStart"/>
      <w:r w:rsidRPr="00961F99">
        <w:rPr>
          <w:rFonts w:asciiTheme="majorBidi" w:hAnsiTheme="majorBidi" w:cstheme="majorBidi"/>
          <w:sz w:val="19"/>
          <w:szCs w:val="19"/>
        </w:rPr>
        <w:t>median</w:t>
      </w:r>
      <w:proofErr w:type="gramEnd"/>
      <w:r w:rsidRPr="00961F99">
        <w:rPr>
          <w:rFonts w:asciiTheme="majorBidi" w:hAnsiTheme="majorBidi" w:cstheme="majorBidi"/>
          <w:sz w:val="19"/>
          <w:szCs w:val="19"/>
        </w:rPr>
        <w:t xml:space="preserve"> defines the central specification and the quartiles the low and high sensitivity scenarios. The complete stratum table is provided in the Supplementary Data.</w:t>
      </w:r>
    </w:p>
    <w:tbl>
      <w:tblPr>
        <w:tblStyle w:val="af8"/>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3"/>
        <w:gridCol w:w="1378"/>
        <w:gridCol w:w="1378"/>
        <w:gridCol w:w="1378"/>
        <w:gridCol w:w="1378"/>
        <w:gridCol w:w="1378"/>
        <w:gridCol w:w="1267"/>
      </w:tblGrid>
      <w:tr w:rsidR="00B57608" w:rsidRPr="00961F99" w14:paraId="65546947" w14:textId="77777777" w:rsidTr="00376A59">
        <w:trPr>
          <w:tblHeader/>
          <w:jc w:val="center"/>
        </w:trPr>
        <w:tc>
          <w:tcPr>
            <w:tcW w:w="1293" w:type="dxa"/>
          </w:tcPr>
          <w:p w14:paraId="32EDA8A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State</w:t>
            </w:r>
          </w:p>
        </w:tc>
        <w:tc>
          <w:tcPr>
            <w:tcW w:w="1378" w:type="dxa"/>
          </w:tcPr>
          <w:p w14:paraId="626B9C0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Occupancy</w:t>
            </w:r>
          </w:p>
        </w:tc>
        <w:tc>
          <w:tcPr>
            <w:tcW w:w="1378" w:type="dxa"/>
          </w:tcPr>
          <w:p w14:paraId="554CB8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Zone family</w:t>
            </w:r>
          </w:p>
        </w:tc>
        <w:tc>
          <w:tcPr>
            <w:tcW w:w="1378" w:type="dxa"/>
          </w:tcPr>
          <w:p w14:paraId="7B5FC293" w14:textId="77777777" w:rsidR="00B57608" w:rsidRPr="00961F99" w:rsidRDefault="003B27C7" w:rsidP="00757EC6">
            <w:pPr>
              <w:spacing w:after="20"/>
              <w:jc w:val="both"/>
              <w:rPr>
                <w:rFonts w:asciiTheme="majorBidi" w:hAnsiTheme="majorBidi" w:cstheme="majorBidi"/>
              </w:rPr>
            </w:pPr>
            <w:proofErr w:type="spellStart"/>
            <w:r w:rsidRPr="00961F99">
              <w:rPr>
                <w:rFonts w:asciiTheme="majorBidi" w:hAnsiTheme="majorBidi" w:cstheme="majorBidi"/>
                <w:b/>
                <w:bCs/>
                <w:sz w:val="15"/>
                <w:szCs w:val="15"/>
              </w:rPr>
              <w:t>postfirm</w:t>
            </w:r>
            <w:proofErr w:type="spellEnd"/>
          </w:p>
        </w:tc>
        <w:tc>
          <w:tcPr>
            <w:tcW w:w="1378" w:type="dxa"/>
          </w:tcPr>
          <w:p w14:paraId="23B8771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Surveyed records</w:t>
            </w:r>
          </w:p>
        </w:tc>
        <w:tc>
          <w:tcPr>
            <w:tcW w:w="1378" w:type="dxa"/>
          </w:tcPr>
          <w:p w14:paraId="76BE7B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q25 (ft)</w:t>
            </w:r>
          </w:p>
        </w:tc>
        <w:tc>
          <w:tcPr>
            <w:tcW w:w="1267" w:type="dxa"/>
          </w:tcPr>
          <w:p w14:paraId="0487B5C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q75 (ft)</w:t>
            </w:r>
          </w:p>
        </w:tc>
      </w:tr>
      <w:tr w:rsidR="00B57608" w:rsidRPr="00961F99" w14:paraId="09984ED9" w14:textId="77777777" w:rsidTr="00376A59">
        <w:trPr>
          <w:jc w:val="center"/>
        </w:trPr>
        <w:tc>
          <w:tcPr>
            <w:tcW w:w="1293" w:type="dxa"/>
          </w:tcPr>
          <w:p w14:paraId="7257C3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US</w:t>
            </w:r>
          </w:p>
        </w:tc>
        <w:tc>
          <w:tcPr>
            <w:tcW w:w="1378" w:type="dxa"/>
          </w:tcPr>
          <w:p w14:paraId="2BF4D9C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6B526E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545861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5DA6FF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1,768,874</w:t>
            </w:r>
          </w:p>
        </w:tc>
        <w:tc>
          <w:tcPr>
            <w:tcW w:w="1378" w:type="dxa"/>
          </w:tcPr>
          <w:p w14:paraId="6AB1891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0.80</w:t>
            </w:r>
          </w:p>
        </w:tc>
        <w:tc>
          <w:tcPr>
            <w:tcW w:w="1267" w:type="dxa"/>
          </w:tcPr>
          <w:p w14:paraId="37E5E5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3.70</w:t>
            </w:r>
          </w:p>
        </w:tc>
      </w:tr>
      <w:tr w:rsidR="00B57608" w:rsidRPr="00961F99" w14:paraId="27A1D381" w14:textId="77777777" w:rsidTr="00376A59">
        <w:trPr>
          <w:jc w:val="center"/>
        </w:trPr>
        <w:tc>
          <w:tcPr>
            <w:tcW w:w="1293" w:type="dxa"/>
          </w:tcPr>
          <w:p w14:paraId="33158DB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w:t>
            </w:r>
          </w:p>
        </w:tc>
        <w:tc>
          <w:tcPr>
            <w:tcW w:w="1378" w:type="dxa"/>
          </w:tcPr>
          <w:p w14:paraId="5CEA3F6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218F4C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ALL</w:t>
            </w:r>
          </w:p>
        </w:tc>
        <w:tc>
          <w:tcPr>
            <w:tcW w:w="1378" w:type="dxa"/>
          </w:tcPr>
          <w:p w14:paraId="118139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25888B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790,583</w:t>
            </w:r>
          </w:p>
        </w:tc>
        <w:tc>
          <w:tcPr>
            <w:tcW w:w="1378" w:type="dxa"/>
          </w:tcPr>
          <w:p w14:paraId="0252A0E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0.80</w:t>
            </w:r>
          </w:p>
        </w:tc>
        <w:tc>
          <w:tcPr>
            <w:tcW w:w="1267" w:type="dxa"/>
          </w:tcPr>
          <w:p w14:paraId="36F31C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2.50</w:t>
            </w:r>
          </w:p>
        </w:tc>
      </w:tr>
      <w:tr w:rsidR="00B57608" w:rsidRPr="00961F99" w14:paraId="31FF792C" w14:textId="77777777" w:rsidTr="00376A59">
        <w:trPr>
          <w:jc w:val="center"/>
        </w:trPr>
        <w:tc>
          <w:tcPr>
            <w:tcW w:w="1293" w:type="dxa"/>
          </w:tcPr>
          <w:p w14:paraId="063BD4B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w:t>
            </w:r>
          </w:p>
        </w:tc>
        <w:tc>
          <w:tcPr>
            <w:tcW w:w="1378" w:type="dxa"/>
          </w:tcPr>
          <w:p w14:paraId="405CCDB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434DDA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1CC8F5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647E42D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753,949</w:t>
            </w:r>
          </w:p>
        </w:tc>
        <w:tc>
          <w:tcPr>
            <w:tcW w:w="1378" w:type="dxa"/>
          </w:tcPr>
          <w:p w14:paraId="5AD796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0.80</w:t>
            </w:r>
          </w:p>
        </w:tc>
        <w:tc>
          <w:tcPr>
            <w:tcW w:w="1267" w:type="dxa"/>
          </w:tcPr>
          <w:p w14:paraId="1BC364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2.40</w:t>
            </w:r>
          </w:p>
        </w:tc>
      </w:tr>
      <w:tr w:rsidR="00B57608" w:rsidRPr="00961F99" w14:paraId="3ABC8BF2" w14:textId="77777777" w:rsidTr="00376A59">
        <w:trPr>
          <w:jc w:val="center"/>
        </w:trPr>
        <w:tc>
          <w:tcPr>
            <w:tcW w:w="1293" w:type="dxa"/>
          </w:tcPr>
          <w:p w14:paraId="30D85F4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w:t>
            </w:r>
          </w:p>
        </w:tc>
        <w:tc>
          <w:tcPr>
            <w:tcW w:w="1378" w:type="dxa"/>
          </w:tcPr>
          <w:p w14:paraId="77CB2B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484C489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3189713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w:t>
            </w:r>
          </w:p>
        </w:tc>
        <w:tc>
          <w:tcPr>
            <w:tcW w:w="1378" w:type="dxa"/>
          </w:tcPr>
          <w:p w14:paraId="00CA2D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498,974</w:t>
            </w:r>
          </w:p>
        </w:tc>
        <w:tc>
          <w:tcPr>
            <w:tcW w:w="1378" w:type="dxa"/>
          </w:tcPr>
          <w:p w14:paraId="6747B4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0.80</w:t>
            </w:r>
          </w:p>
        </w:tc>
        <w:tc>
          <w:tcPr>
            <w:tcW w:w="1267" w:type="dxa"/>
          </w:tcPr>
          <w:p w14:paraId="44EFB34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2.80</w:t>
            </w:r>
          </w:p>
        </w:tc>
      </w:tr>
      <w:tr w:rsidR="00B57608" w:rsidRPr="00961F99" w14:paraId="242462E4" w14:textId="77777777" w:rsidTr="00376A59">
        <w:trPr>
          <w:jc w:val="center"/>
        </w:trPr>
        <w:tc>
          <w:tcPr>
            <w:tcW w:w="1293" w:type="dxa"/>
          </w:tcPr>
          <w:p w14:paraId="6E5199C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FL</w:t>
            </w:r>
          </w:p>
        </w:tc>
        <w:tc>
          <w:tcPr>
            <w:tcW w:w="1378" w:type="dxa"/>
          </w:tcPr>
          <w:p w14:paraId="4B846E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32A191E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7B684A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w:t>
            </w:r>
          </w:p>
        </w:tc>
        <w:tc>
          <w:tcPr>
            <w:tcW w:w="1378" w:type="dxa"/>
          </w:tcPr>
          <w:p w14:paraId="6B121C4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254,975</w:t>
            </w:r>
          </w:p>
        </w:tc>
        <w:tc>
          <w:tcPr>
            <w:tcW w:w="1378" w:type="dxa"/>
          </w:tcPr>
          <w:p w14:paraId="30D3FBE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0.70</w:t>
            </w:r>
          </w:p>
        </w:tc>
        <w:tc>
          <w:tcPr>
            <w:tcW w:w="1267" w:type="dxa"/>
          </w:tcPr>
          <w:p w14:paraId="4F73AF9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1.90</w:t>
            </w:r>
          </w:p>
        </w:tc>
      </w:tr>
      <w:tr w:rsidR="00B57608" w:rsidRPr="00961F99" w14:paraId="19C03181" w14:textId="77777777" w:rsidTr="00376A59">
        <w:trPr>
          <w:jc w:val="center"/>
        </w:trPr>
        <w:tc>
          <w:tcPr>
            <w:tcW w:w="1293" w:type="dxa"/>
          </w:tcPr>
          <w:p w14:paraId="22F284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LA</w:t>
            </w:r>
          </w:p>
        </w:tc>
        <w:tc>
          <w:tcPr>
            <w:tcW w:w="1378" w:type="dxa"/>
          </w:tcPr>
          <w:p w14:paraId="4CCA055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7D3AC6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ALL</w:t>
            </w:r>
          </w:p>
        </w:tc>
        <w:tc>
          <w:tcPr>
            <w:tcW w:w="1378" w:type="dxa"/>
          </w:tcPr>
          <w:p w14:paraId="52E2A5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5BF6836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229,567</w:t>
            </w:r>
          </w:p>
        </w:tc>
        <w:tc>
          <w:tcPr>
            <w:tcW w:w="1378" w:type="dxa"/>
          </w:tcPr>
          <w:p w14:paraId="1B1C6E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c>
          <w:tcPr>
            <w:tcW w:w="1267" w:type="dxa"/>
          </w:tcPr>
          <w:p w14:paraId="2CBE409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3.60</w:t>
            </w:r>
          </w:p>
        </w:tc>
      </w:tr>
      <w:tr w:rsidR="00B57608" w:rsidRPr="00961F99" w14:paraId="04054C5D" w14:textId="77777777" w:rsidTr="00376A59">
        <w:trPr>
          <w:jc w:val="center"/>
        </w:trPr>
        <w:tc>
          <w:tcPr>
            <w:tcW w:w="1293" w:type="dxa"/>
          </w:tcPr>
          <w:p w14:paraId="7D37DD2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US</w:t>
            </w:r>
          </w:p>
        </w:tc>
        <w:tc>
          <w:tcPr>
            <w:tcW w:w="1378" w:type="dxa"/>
          </w:tcPr>
          <w:p w14:paraId="632B2E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NONRES</w:t>
            </w:r>
          </w:p>
        </w:tc>
        <w:tc>
          <w:tcPr>
            <w:tcW w:w="1378" w:type="dxa"/>
          </w:tcPr>
          <w:p w14:paraId="0AB04D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28ABB32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5E03CDE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225,791</w:t>
            </w:r>
          </w:p>
        </w:tc>
        <w:tc>
          <w:tcPr>
            <w:tcW w:w="1378" w:type="dxa"/>
          </w:tcPr>
          <w:p w14:paraId="52FE293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0.50</w:t>
            </w:r>
          </w:p>
        </w:tc>
        <w:tc>
          <w:tcPr>
            <w:tcW w:w="1267" w:type="dxa"/>
          </w:tcPr>
          <w:p w14:paraId="7B804C8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2.90</w:t>
            </w:r>
          </w:p>
        </w:tc>
      </w:tr>
      <w:tr w:rsidR="00B57608" w:rsidRPr="00961F99" w14:paraId="55E8AAE6" w14:textId="77777777" w:rsidTr="00376A59">
        <w:trPr>
          <w:jc w:val="center"/>
        </w:trPr>
        <w:tc>
          <w:tcPr>
            <w:tcW w:w="1293" w:type="dxa"/>
          </w:tcPr>
          <w:p w14:paraId="5A4F339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LA</w:t>
            </w:r>
          </w:p>
        </w:tc>
        <w:tc>
          <w:tcPr>
            <w:tcW w:w="1378" w:type="dxa"/>
          </w:tcPr>
          <w:p w14:paraId="2B7A533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0ED6288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48DDF04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0557ABD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222,349</w:t>
            </w:r>
          </w:p>
        </w:tc>
        <w:tc>
          <w:tcPr>
            <w:tcW w:w="1378" w:type="dxa"/>
          </w:tcPr>
          <w:p w14:paraId="0F67F4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c>
          <w:tcPr>
            <w:tcW w:w="1267" w:type="dxa"/>
          </w:tcPr>
          <w:p w14:paraId="22208D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3.50</w:t>
            </w:r>
          </w:p>
        </w:tc>
      </w:tr>
      <w:tr w:rsidR="00B57608" w:rsidRPr="00961F99" w14:paraId="5E13F1E4" w14:textId="77777777" w:rsidTr="00376A59">
        <w:trPr>
          <w:jc w:val="center"/>
        </w:trPr>
        <w:tc>
          <w:tcPr>
            <w:tcW w:w="1293" w:type="dxa"/>
          </w:tcPr>
          <w:p w14:paraId="59F10D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TX</w:t>
            </w:r>
          </w:p>
        </w:tc>
        <w:tc>
          <w:tcPr>
            <w:tcW w:w="1378" w:type="dxa"/>
          </w:tcPr>
          <w:p w14:paraId="0F9066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31AE995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ALL</w:t>
            </w:r>
          </w:p>
        </w:tc>
        <w:tc>
          <w:tcPr>
            <w:tcW w:w="1378" w:type="dxa"/>
          </w:tcPr>
          <w:p w14:paraId="123E338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774C1C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188,986</w:t>
            </w:r>
          </w:p>
        </w:tc>
        <w:tc>
          <w:tcPr>
            <w:tcW w:w="1378" w:type="dxa"/>
          </w:tcPr>
          <w:p w14:paraId="3DE121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c>
          <w:tcPr>
            <w:tcW w:w="1267" w:type="dxa"/>
          </w:tcPr>
          <w:p w14:paraId="00C9F0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3.30</w:t>
            </w:r>
          </w:p>
        </w:tc>
      </w:tr>
      <w:tr w:rsidR="00B57608" w:rsidRPr="00961F99" w14:paraId="738690F6" w14:textId="77777777" w:rsidTr="00376A59">
        <w:trPr>
          <w:jc w:val="center"/>
        </w:trPr>
        <w:tc>
          <w:tcPr>
            <w:tcW w:w="1293" w:type="dxa"/>
          </w:tcPr>
          <w:p w14:paraId="3E339BB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TX</w:t>
            </w:r>
          </w:p>
        </w:tc>
        <w:tc>
          <w:tcPr>
            <w:tcW w:w="1378" w:type="dxa"/>
          </w:tcPr>
          <w:p w14:paraId="5CE958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7F0564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0CF4F0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2BB6B2D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176,305</w:t>
            </w:r>
          </w:p>
        </w:tc>
        <w:tc>
          <w:tcPr>
            <w:tcW w:w="1378" w:type="dxa"/>
          </w:tcPr>
          <w:p w14:paraId="1AF8011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c>
          <w:tcPr>
            <w:tcW w:w="1267" w:type="dxa"/>
          </w:tcPr>
          <w:p w14:paraId="374F2D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2.90</w:t>
            </w:r>
          </w:p>
        </w:tc>
      </w:tr>
      <w:tr w:rsidR="00B57608" w:rsidRPr="00961F99" w14:paraId="7DD91031" w14:textId="77777777" w:rsidTr="00376A59">
        <w:trPr>
          <w:jc w:val="center"/>
        </w:trPr>
        <w:tc>
          <w:tcPr>
            <w:tcW w:w="1293" w:type="dxa"/>
          </w:tcPr>
          <w:p w14:paraId="0C7422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LA</w:t>
            </w:r>
          </w:p>
        </w:tc>
        <w:tc>
          <w:tcPr>
            <w:tcW w:w="1378" w:type="dxa"/>
          </w:tcPr>
          <w:p w14:paraId="5E5B9E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7BECC6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458A3B5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w:t>
            </w:r>
          </w:p>
        </w:tc>
        <w:tc>
          <w:tcPr>
            <w:tcW w:w="1378" w:type="dxa"/>
          </w:tcPr>
          <w:p w14:paraId="63130E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141,051</w:t>
            </w:r>
          </w:p>
        </w:tc>
        <w:tc>
          <w:tcPr>
            <w:tcW w:w="1378" w:type="dxa"/>
          </w:tcPr>
          <w:p w14:paraId="6D22664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c>
          <w:tcPr>
            <w:tcW w:w="1267" w:type="dxa"/>
          </w:tcPr>
          <w:p w14:paraId="5BB9B17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3.80</w:t>
            </w:r>
          </w:p>
        </w:tc>
      </w:tr>
      <w:tr w:rsidR="00B57608" w:rsidRPr="00961F99" w14:paraId="3E24DF3A" w14:textId="77777777" w:rsidTr="00376A59">
        <w:trPr>
          <w:jc w:val="center"/>
        </w:trPr>
        <w:tc>
          <w:tcPr>
            <w:tcW w:w="1293" w:type="dxa"/>
          </w:tcPr>
          <w:p w14:paraId="0B4F275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TX</w:t>
            </w:r>
          </w:p>
        </w:tc>
        <w:tc>
          <w:tcPr>
            <w:tcW w:w="1378" w:type="dxa"/>
          </w:tcPr>
          <w:p w14:paraId="76A4A1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24CEB9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29AACD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w:t>
            </w:r>
          </w:p>
        </w:tc>
        <w:tc>
          <w:tcPr>
            <w:tcW w:w="1378" w:type="dxa"/>
          </w:tcPr>
          <w:p w14:paraId="18A32C5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114,723</w:t>
            </w:r>
          </w:p>
        </w:tc>
        <w:tc>
          <w:tcPr>
            <w:tcW w:w="1378" w:type="dxa"/>
          </w:tcPr>
          <w:p w14:paraId="46E8E2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c>
          <w:tcPr>
            <w:tcW w:w="1267" w:type="dxa"/>
          </w:tcPr>
          <w:p w14:paraId="6F3E25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3.50</w:t>
            </w:r>
          </w:p>
        </w:tc>
      </w:tr>
      <w:tr w:rsidR="00B57608" w:rsidRPr="00961F99" w14:paraId="449F09C0" w14:textId="77777777" w:rsidTr="00376A59">
        <w:trPr>
          <w:jc w:val="center"/>
        </w:trPr>
        <w:tc>
          <w:tcPr>
            <w:tcW w:w="1293" w:type="dxa"/>
          </w:tcPr>
          <w:p w14:paraId="279490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SC</w:t>
            </w:r>
          </w:p>
        </w:tc>
        <w:tc>
          <w:tcPr>
            <w:tcW w:w="1378" w:type="dxa"/>
          </w:tcPr>
          <w:p w14:paraId="097C70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05FAE1E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ALL</w:t>
            </w:r>
          </w:p>
        </w:tc>
        <w:tc>
          <w:tcPr>
            <w:tcW w:w="1378" w:type="dxa"/>
          </w:tcPr>
          <w:p w14:paraId="04B850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2DF332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105,368</w:t>
            </w:r>
          </w:p>
        </w:tc>
        <w:tc>
          <w:tcPr>
            <w:tcW w:w="1378" w:type="dxa"/>
          </w:tcPr>
          <w:p w14:paraId="65D9DA5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1.60</w:t>
            </w:r>
          </w:p>
        </w:tc>
        <w:tc>
          <w:tcPr>
            <w:tcW w:w="1267" w:type="dxa"/>
          </w:tcPr>
          <w:p w14:paraId="719A39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9.80</w:t>
            </w:r>
          </w:p>
        </w:tc>
      </w:tr>
      <w:tr w:rsidR="00B57608" w:rsidRPr="00961F99" w14:paraId="0A537A7E" w14:textId="77777777" w:rsidTr="00376A59">
        <w:trPr>
          <w:jc w:val="center"/>
        </w:trPr>
        <w:tc>
          <w:tcPr>
            <w:tcW w:w="1293" w:type="dxa"/>
          </w:tcPr>
          <w:p w14:paraId="2445ECA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SC</w:t>
            </w:r>
          </w:p>
        </w:tc>
        <w:tc>
          <w:tcPr>
            <w:tcW w:w="1378" w:type="dxa"/>
          </w:tcPr>
          <w:p w14:paraId="2995B89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6FD62E9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06C780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2E978AD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95,095</w:t>
            </w:r>
          </w:p>
        </w:tc>
        <w:tc>
          <w:tcPr>
            <w:tcW w:w="1378" w:type="dxa"/>
          </w:tcPr>
          <w:p w14:paraId="06B5B2B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1.70</w:t>
            </w:r>
          </w:p>
        </w:tc>
        <w:tc>
          <w:tcPr>
            <w:tcW w:w="1267" w:type="dxa"/>
          </w:tcPr>
          <w:p w14:paraId="03951B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9.80</w:t>
            </w:r>
          </w:p>
        </w:tc>
      </w:tr>
      <w:tr w:rsidR="00B57608" w:rsidRPr="00961F99" w14:paraId="415E8F80" w14:textId="77777777" w:rsidTr="00376A59">
        <w:trPr>
          <w:jc w:val="center"/>
        </w:trPr>
        <w:tc>
          <w:tcPr>
            <w:tcW w:w="1293" w:type="dxa"/>
          </w:tcPr>
          <w:p w14:paraId="3F8EE1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LA</w:t>
            </w:r>
          </w:p>
        </w:tc>
        <w:tc>
          <w:tcPr>
            <w:tcW w:w="1378" w:type="dxa"/>
          </w:tcPr>
          <w:p w14:paraId="676FDDC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499AEE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57B9F07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w:t>
            </w:r>
          </w:p>
        </w:tc>
        <w:tc>
          <w:tcPr>
            <w:tcW w:w="1378" w:type="dxa"/>
          </w:tcPr>
          <w:p w14:paraId="1349E9E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81,298</w:t>
            </w:r>
          </w:p>
        </w:tc>
        <w:tc>
          <w:tcPr>
            <w:tcW w:w="1378" w:type="dxa"/>
          </w:tcPr>
          <w:p w14:paraId="159F2E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0.80</w:t>
            </w:r>
          </w:p>
        </w:tc>
        <w:tc>
          <w:tcPr>
            <w:tcW w:w="1267" w:type="dxa"/>
          </w:tcPr>
          <w:p w14:paraId="16C291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3.10</w:t>
            </w:r>
          </w:p>
        </w:tc>
      </w:tr>
      <w:tr w:rsidR="00B57608" w:rsidRPr="00961F99" w14:paraId="0084F0DB" w14:textId="77777777" w:rsidTr="00376A59">
        <w:trPr>
          <w:jc w:val="center"/>
        </w:trPr>
        <w:tc>
          <w:tcPr>
            <w:tcW w:w="1293" w:type="dxa"/>
          </w:tcPr>
          <w:p w14:paraId="63B3FB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NJ</w:t>
            </w:r>
          </w:p>
        </w:tc>
        <w:tc>
          <w:tcPr>
            <w:tcW w:w="1378" w:type="dxa"/>
          </w:tcPr>
          <w:p w14:paraId="0AB28A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7E83779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ALL</w:t>
            </w:r>
          </w:p>
        </w:tc>
        <w:tc>
          <w:tcPr>
            <w:tcW w:w="1378" w:type="dxa"/>
          </w:tcPr>
          <w:p w14:paraId="1490DB7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1441244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77,376</w:t>
            </w:r>
          </w:p>
        </w:tc>
        <w:tc>
          <w:tcPr>
            <w:tcW w:w="1378" w:type="dxa"/>
          </w:tcPr>
          <w:p w14:paraId="22187CE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1.30</w:t>
            </w:r>
          </w:p>
        </w:tc>
        <w:tc>
          <w:tcPr>
            <w:tcW w:w="1267" w:type="dxa"/>
          </w:tcPr>
          <w:p w14:paraId="207D432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7.90</w:t>
            </w:r>
          </w:p>
        </w:tc>
      </w:tr>
      <w:tr w:rsidR="00B57608" w:rsidRPr="00961F99" w14:paraId="3FB9C451" w14:textId="77777777" w:rsidTr="00376A59">
        <w:trPr>
          <w:jc w:val="center"/>
        </w:trPr>
        <w:tc>
          <w:tcPr>
            <w:tcW w:w="1293" w:type="dxa"/>
          </w:tcPr>
          <w:p w14:paraId="0718A6F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SC</w:t>
            </w:r>
          </w:p>
        </w:tc>
        <w:tc>
          <w:tcPr>
            <w:tcW w:w="1378" w:type="dxa"/>
          </w:tcPr>
          <w:p w14:paraId="57C9844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68E39D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w:t>
            </w:r>
          </w:p>
        </w:tc>
        <w:tc>
          <w:tcPr>
            <w:tcW w:w="1378" w:type="dxa"/>
          </w:tcPr>
          <w:p w14:paraId="7F3122D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w:t>
            </w:r>
          </w:p>
        </w:tc>
        <w:tc>
          <w:tcPr>
            <w:tcW w:w="1378" w:type="dxa"/>
          </w:tcPr>
          <w:p w14:paraId="1B127ED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77,128</w:t>
            </w:r>
          </w:p>
        </w:tc>
        <w:tc>
          <w:tcPr>
            <w:tcW w:w="1378" w:type="dxa"/>
          </w:tcPr>
          <w:p w14:paraId="2F98541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1.90</w:t>
            </w:r>
          </w:p>
        </w:tc>
        <w:tc>
          <w:tcPr>
            <w:tcW w:w="1267" w:type="dxa"/>
          </w:tcPr>
          <w:p w14:paraId="01DE143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10.00</w:t>
            </w:r>
          </w:p>
        </w:tc>
      </w:tr>
      <w:tr w:rsidR="00B57608" w:rsidRPr="00961F99" w14:paraId="45DD17B4" w14:textId="77777777" w:rsidTr="00376A59">
        <w:trPr>
          <w:jc w:val="center"/>
        </w:trPr>
        <w:tc>
          <w:tcPr>
            <w:tcW w:w="1293" w:type="dxa"/>
          </w:tcPr>
          <w:p w14:paraId="54AD1E7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NC</w:t>
            </w:r>
          </w:p>
        </w:tc>
        <w:tc>
          <w:tcPr>
            <w:tcW w:w="1378" w:type="dxa"/>
          </w:tcPr>
          <w:p w14:paraId="107666D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w:t>
            </w:r>
          </w:p>
        </w:tc>
        <w:tc>
          <w:tcPr>
            <w:tcW w:w="1378" w:type="dxa"/>
          </w:tcPr>
          <w:p w14:paraId="295415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ALL</w:t>
            </w:r>
          </w:p>
        </w:tc>
        <w:tc>
          <w:tcPr>
            <w:tcW w:w="1378" w:type="dxa"/>
          </w:tcPr>
          <w:p w14:paraId="19B6AB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w:t>
            </w:r>
          </w:p>
        </w:tc>
        <w:tc>
          <w:tcPr>
            <w:tcW w:w="1378" w:type="dxa"/>
          </w:tcPr>
          <w:p w14:paraId="0FDCE7D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75,182</w:t>
            </w:r>
          </w:p>
        </w:tc>
        <w:tc>
          <w:tcPr>
            <w:tcW w:w="1378" w:type="dxa"/>
          </w:tcPr>
          <w:p w14:paraId="28B72D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1.90</w:t>
            </w:r>
          </w:p>
        </w:tc>
        <w:tc>
          <w:tcPr>
            <w:tcW w:w="1267" w:type="dxa"/>
          </w:tcPr>
          <w:p w14:paraId="1661ED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9.50</w:t>
            </w:r>
          </w:p>
        </w:tc>
      </w:tr>
    </w:tbl>
    <w:p w14:paraId="4DE33054" w14:textId="77777777" w:rsidR="00B57608" w:rsidRPr="00961F99" w:rsidRDefault="00B57608" w:rsidP="00757EC6">
      <w:pPr>
        <w:spacing w:after="40"/>
        <w:jc w:val="both"/>
        <w:rPr>
          <w:rFonts w:asciiTheme="majorBidi" w:hAnsiTheme="majorBidi" w:cstheme="majorBidi"/>
        </w:rPr>
      </w:pPr>
    </w:p>
    <w:p w14:paraId="1FC1DB7D"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E2. Depth-damage functions</w:t>
      </w:r>
    </w:p>
    <w:p w14:paraId="6B0DFD22"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S27 | </w:t>
      </w:r>
      <w:r w:rsidRPr="00961F99">
        <w:rPr>
          <w:rFonts w:asciiTheme="majorBidi" w:hAnsiTheme="majorBidi" w:cstheme="majorBidi"/>
          <w:sz w:val="19"/>
          <w:szCs w:val="19"/>
        </w:rPr>
        <w:t>Above-floor depth-damage functions as implemented, expressed as the fraction of structure replacement value damaged at a given depth above the first floor. Values are linearly interpolated between the tabulated depths and held constant beyond the tabulated range. Every occupancy prototype is mapped to one of these three families; the mapping and the prototype multipliers are given in Table S29.</w:t>
      </w:r>
    </w:p>
    <w:tbl>
      <w:tblPr>
        <w:tblStyle w:val="af9"/>
        <w:tblW w:w="9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7"/>
        <w:gridCol w:w="2412"/>
        <w:gridCol w:w="2412"/>
        <w:gridCol w:w="2412"/>
      </w:tblGrid>
      <w:tr w:rsidR="00B57608" w:rsidRPr="00961F99" w14:paraId="1F0E1718" w14:textId="77777777" w:rsidTr="00376A59">
        <w:trPr>
          <w:tblHeader/>
          <w:jc w:val="center"/>
        </w:trPr>
        <w:tc>
          <w:tcPr>
            <w:tcW w:w="2237" w:type="dxa"/>
          </w:tcPr>
          <w:p w14:paraId="12B500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Depth above first floor (ft)</w:t>
            </w:r>
          </w:p>
        </w:tc>
        <w:tc>
          <w:tcPr>
            <w:tcW w:w="2412" w:type="dxa"/>
          </w:tcPr>
          <w:p w14:paraId="44DE583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Commercial and other non-residential</w:t>
            </w:r>
          </w:p>
        </w:tc>
        <w:tc>
          <w:tcPr>
            <w:tcW w:w="2412" w:type="dxa"/>
          </w:tcPr>
          <w:p w14:paraId="20EA67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Single-family residential</w:t>
            </w:r>
          </w:p>
        </w:tc>
        <w:tc>
          <w:tcPr>
            <w:tcW w:w="2412" w:type="dxa"/>
          </w:tcPr>
          <w:p w14:paraId="5B7E805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Multi-family residential</w:t>
            </w:r>
          </w:p>
        </w:tc>
      </w:tr>
      <w:tr w:rsidR="00B57608" w:rsidRPr="00961F99" w14:paraId="65B23FA9" w14:textId="77777777" w:rsidTr="00376A59">
        <w:trPr>
          <w:jc w:val="center"/>
        </w:trPr>
        <w:tc>
          <w:tcPr>
            <w:tcW w:w="2237" w:type="dxa"/>
          </w:tcPr>
          <w:p w14:paraId="7A98C1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w:t>
            </w:r>
          </w:p>
        </w:tc>
        <w:tc>
          <w:tcPr>
            <w:tcW w:w="2412" w:type="dxa"/>
          </w:tcPr>
          <w:p w14:paraId="51524C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w:t>
            </w:r>
          </w:p>
        </w:tc>
        <w:tc>
          <w:tcPr>
            <w:tcW w:w="2412" w:type="dxa"/>
          </w:tcPr>
          <w:p w14:paraId="5D58FE5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w:t>
            </w:r>
          </w:p>
        </w:tc>
        <w:tc>
          <w:tcPr>
            <w:tcW w:w="2412" w:type="dxa"/>
          </w:tcPr>
          <w:p w14:paraId="3A22D78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w:t>
            </w:r>
          </w:p>
        </w:tc>
      </w:tr>
      <w:tr w:rsidR="00B57608" w:rsidRPr="00961F99" w14:paraId="5BCDD37A" w14:textId="77777777" w:rsidTr="00376A59">
        <w:trPr>
          <w:jc w:val="center"/>
        </w:trPr>
        <w:tc>
          <w:tcPr>
            <w:tcW w:w="2237" w:type="dxa"/>
          </w:tcPr>
          <w:p w14:paraId="0241216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w:t>
            </w:r>
          </w:p>
        </w:tc>
        <w:tc>
          <w:tcPr>
            <w:tcW w:w="2412" w:type="dxa"/>
          </w:tcPr>
          <w:p w14:paraId="17AAE1D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w:t>
            </w:r>
          </w:p>
        </w:tc>
        <w:tc>
          <w:tcPr>
            <w:tcW w:w="2412" w:type="dxa"/>
          </w:tcPr>
          <w:p w14:paraId="11A750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w:t>
            </w:r>
          </w:p>
        </w:tc>
        <w:tc>
          <w:tcPr>
            <w:tcW w:w="2412" w:type="dxa"/>
          </w:tcPr>
          <w:p w14:paraId="5AD942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w:t>
            </w:r>
          </w:p>
        </w:tc>
      </w:tr>
      <w:tr w:rsidR="00B57608" w:rsidRPr="00961F99" w14:paraId="560DB2B5" w14:textId="77777777" w:rsidTr="00376A59">
        <w:trPr>
          <w:jc w:val="center"/>
        </w:trPr>
        <w:tc>
          <w:tcPr>
            <w:tcW w:w="2237" w:type="dxa"/>
          </w:tcPr>
          <w:p w14:paraId="0236E29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w:t>
            </w:r>
          </w:p>
        </w:tc>
        <w:tc>
          <w:tcPr>
            <w:tcW w:w="2412" w:type="dxa"/>
          </w:tcPr>
          <w:p w14:paraId="0E9E6FB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0.15</w:t>
            </w:r>
          </w:p>
        </w:tc>
        <w:tc>
          <w:tcPr>
            <w:tcW w:w="2412" w:type="dxa"/>
          </w:tcPr>
          <w:p w14:paraId="6F30FC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0.20</w:t>
            </w:r>
          </w:p>
        </w:tc>
        <w:tc>
          <w:tcPr>
            <w:tcW w:w="2412" w:type="dxa"/>
          </w:tcPr>
          <w:p w14:paraId="45407D2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0.10</w:t>
            </w:r>
          </w:p>
        </w:tc>
      </w:tr>
      <w:tr w:rsidR="00B57608" w:rsidRPr="00961F99" w14:paraId="1590A02B" w14:textId="77777777" w:rsidTr="00376A59">
        <w:trPr>
          <w:jc w:val="center"/>
        </w:trPr>
        <w:tc>
          <w:tcPr>
            <w:tcW w:w="2237" w:type="dxa"/>
          </w:tcPr>
          <w:p w14:paraId="668DA1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w:t>
            </w:r>
          </w:p>
        </w:tc>
        <w:tc>
          <w:tcPr>
            <w:tcW w:w="2412" w:type="dxa"/>
          </w:tcPr>
          <w:p w14:paraId="627673A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0.25</w:t>
            </w:r>
          </w:p>
        </w:tc>
        <w:tc>
          <w:tcPr>
            <w:tcW w:w="2412" w:type="dxa"/>
          </w:tcPr>
          <w:p w14:paraId="753F38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0.35</w:t>
            </w:r>
          </w:p>
        </w:tc>
        <w:tc>
          <w:tcPr>
            <w:tcW w:w="2412" w:type="dxa"/>
          </w:tcPr>
          <w:p w14:paraId="156317B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0.20</w:t>
            </w:r>
          </w:p>
        </w:tc>
      </w:tr>
      <w:tr w:rsidR="00B57608" w:rsidRPr="00961F99" w14:paraId="24718F04" w14:textId="77777777" w:rsidTr="00376A59">
        <w:trPr>
          <w:jc w:val="center"/>
        </w:trPr>
        <w:tc>
          <w:tcPr>
            <w:tcW w:w="2237" w:type="dxa"/>
          </w:tcPr>
          <w:p w14:paraId="685D54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3</w:t>
            </w:r>
          </w:p>
        </w:tc>
        <w:tc>
          <w:tcPr>
            <w:tcW w:w="2412" w:type="dxa"/>
          </w:tcPr>
          <w:p w14:paraId="5F7827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0.35</w:t>
            </w:r>
          </w:p>
        </w:tc>
        <w:tc>
          <w:tcPr>
            <w:tcW w:w="2412" w:type="dxa"/>
          </w:tcPr>
          <w:p w14:paraId="1F903A4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0.45</w:t>
            </w:r>
          </w:p>
        </w:tc>
        <w:tc>
          <w:tcPr>
            <w:tcW w:w="2412" w:type="dxa"/>
          </w:tcPr>
          <w:p w14:paraId="7B19B63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0.30</w:t>
            </w:r>
          </w:p>
        </w:tc>
      </w:tr>
      <w:tr w:rsidR="00B57608" w:rsidRPr="00961F99" w14:paraId="5D0FBD21" w14:textId="77777777" w:rsidTr="00376A59">
        <w:trPr>
          <w:jc w:val="center"/>
        </w:trPr>
        <w:tc>
          <w:tcPr>
            <w:tcW w:w="2237" w:type="dxa"/>
          </w:tcPr>
          <w:p w14:paraId="3388574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w:t>
            </w:r>
          </w:p>
        </w:tc>
        <w:tc>
          <w:tcPr>
            <w:tcW w:w="2412" w:type="dxa"/>
          </w:tcPr>
          <w:p w14:paraId="108A36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0.45</w:t>
            </w:r>
          </w:p>
        </w:tc>
        <w:tc>
          <w:tcPr>
            <w:tcW w:w="2412" w:type="dxa"/>
          </w:tcPr>
          <w:p w14:paraId="216482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0.55</w:t>
            </w:r>
          </w:p>
        </w:tc>
        <w:tc>
          <w:tcPr>
            <w:tcW w:w="2412" w:type="dxa"/>
          </w:tcPr>
          <w:p w14:paraId="27F42A8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0.40</w:t>
            </w:r>
          </w:p>
        </w:tc>
      </w:tr>
      <w:tr w:rsidR="00B57608" w:rsidRPr="00961F99" w14:paraId="21361038" w14:textId="77777777" w:rsidTr="00376A59">
        <w:trPr>
          <w:jc w:val="center"/>
        </w:trPr>
        <w:tc>
          <w:tcPr>
            <w:tcW w:w="2237" w:type="dxa"/>
          </w:tcPr>
          <w:p w14:paraId="3FD7772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5</w:t>
            </w:r>
          </w:p>
        </w:tc>
        <w:tc>
          <w:tcPr>
            <w:tcW w:w="2412" w:type="dxa"/>
          </w:tcPr>
          <w:p w14:paraId="4802D6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0.55</w:t>
            </w:r>
          </w:p>
        </w:tc>
        <w:tc>
          <w:tcPr>
            <w:tcW w:w="2412" w:type="dxa"/>
          </w:tcPr>
          <w:p w14:paraId="2FF29D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0.60</w:t>
            </w:r>
          </w:p>
        </w:tc>
        <w:tc>
          <w:tcPr>
            <w:tcW w:w="2412" w:type="dxa"/>
          </w:tcPr>
          <w:p w14:paraId="09A1DA0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0.50</w:t>
            </w:r>
          </w:p>
        </w:tc>
      </w:tr>
      <w:tr w:rsidR="00B57608" w:rsidRPr="00961F99" w14:paraId="776A0E6D" w14:textId="77777777" w:rsidTr="00376A59">
        <w:trPr>
          <w:jc w:val="center"/>
        </w:trPr>
        <w:tc>
          <w:tcPr>
            <w:tcW w:w="2237" w:type="dxa"/>
          </w:tcPr>
          <w:p w14:paraId="3218E7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w:t>
            </w:r>
          </w:p>
        </w:tc>
        <w:tc>
          <w:tcPr>
            <w:tcW w:w="2412" w:type="dxa"/>
          </w:tcPr>
          <w:p w14:paraId="0070F5B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0.60</w:t>
            </w:r>
          </w:p>
        </w:tc>
        <w:tc>
          <w:tcPr>
            <w:tcW w:w="2412" w:type="dxa"/>
          </w:tcPr>
          <w:p w14:paraId="08901F6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0.65</w:t>
            </w:r>
          </w:p>
        </w:tc>
        <w:tc>
          <w:tcPr>
            <w:tcW w:w="2412" w:type="dxa"/>
          </w:tcPr>
          <w:p w14:paraId="1C11F17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0.55</w:t>
            </w:r>
          </w:p>
        </w:tc>
      </w:tr>
      <w:tr w:rsidR="00B57608" w:rsidRPr="00961F99" w14:paraId="5742B19A" w14:textId="77777777" w:rsidTr="00376A59">
        <w:trPr>
          <w:jc w:val="center"/>
        </w:trPr>
        <w:tc>
          <w:tcPr>
            <w:tcW w:w="2237" w:type="dxa"/>
          </w:tcPr>
          <w:p w14:paraId="3AB8752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7</w:t>
            </w:r>
          </w:p>
        </w:tc>
        <w:tc>
          <w:tcPr>
            <w:tcW w:w="2412" w:type="dxa"/>
          </w:tcPr>
          <w:p w14:paraId="5172491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0.65</w:t>
            </w:r>
          </w:p>
        </w:tc>
        <w:tc>
          <w:tcPr>
            <w:tcW w:w="2412" w:type="dxa"/>
          </w:tcPr>
          <w:p w14:paraId="286A79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0.70</w:t>
            </w:r>
          </w:p>
        </w:tc>
        <w:tc>
          <w:tcPr>
            <w:tcW w:w="2412" w:type="dxa"/>
          </w:tcPr>
          <w:p w14:paraId="17B6B4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0.60</w:t>
            </w:r>
          </w:p>
        </w:tc>
      </w:tr>
      <w:tr w:rsidR="00B57608" w:rsidRPr="00961F99" w14:paraId="374F13DD" w14:textId="77777777" w:rsidTr="00376A59">
        <w:trPr>
          <w:jc w:val="center"/>
        </w:trPr>
        <w:tc>
          <w:tcPr>
            <w:tcW w:w="2237" w:type="dxa"/>
          </w:tcPr>
          <w:p w14:paraId="34A443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w:t>
            </w:r>
          </w:p>
        </w:tc>
        <w:tc>
          <w:tcPr>
            <w:tcW w:w="2412" w:type="dxa"/>
          </w:tcPr>
          <w:p w14:paraId="1CB7B3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0.70</w:t>
            </w:r>
          </w:p>
        </w:tc>
        <w:tc>
          <w:tcPr>
            <w:tcW w:w="2412" w:type="dxa"/>
          </w:tcPr>
          <w:p w14:paraId="4E7F41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0.75</w:t>
            </w:r>
          </w:p>
        </w:tc>
        <w:tc>
          <w:tcPr>
            <w:tcW w:w="2412" w:type="dxa"/>
          </w:tcPr>
          <w:p w14:paraId="02F620A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0.65</w:t>
            </w:r>
          </w:p>
        </w:tc>
      </w:tr>
      <w:tr w:rsidR="00B57608" w:rsidRPr="00961F99" w14:paraId="0C8B710D" w14:textId="77777777" w:rsidTr="00376A59">
        <w:trPr>
          <w:jc w:val="center"/>
        </w:trPr>
        <w:tc>
          <w:tcPr>
            <w:tcW w:w="2237" w:type="dxa"/>
          </w:tcPr>
          <w:p w14:paraId="6FB9C8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9</w:t>
            </w:r>
          </w:p>
        </w:tc>
        <w:tc>
          <w:tcPr>
            <w:tcW w:w="2412" w:type="dxa"/>
          </w:tcPr>
          <w:p w14:paraId="454ABE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0.75</w:t>
            </w:r>
          </w:p>
        </w:tc>
        <w:tc>
          <w:tcPr>
            <w:tcW w:w="2412" w:type="dxa"/>
          </w:tcPr>
          <w:p w14:paraId="5F7A80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0.80</w:t>
            </w:r>
          </w:p>
        </w:tc>
        <w:tc>
          <w:tcPr>
            <w:tcW w:w="2412" w:type="dxa"/>
          </w:tcPr>
          <w:p w14:paraId="79A365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0.70</w:t>
            </w:r>
          </w:p>
        </w:tc>
      </w:tr>
      <w:tr w:rsidR="00B57608" w:rsidRPr="00961F99" w14:paraId="09BC0867" w14:textId="77777777" w:rsidTr="00376A59">
        <w:trPr>
          <w:jc w:val="center"/>
        </w:trPr>
        <w:tc>
          <w:tcPr>
            <w:tcW w:w="2237" w:type="dxa"/>
          </w:tcPr>
          <w:p w14:paraId="5C7CBBB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10</w:t>
            </w:r>
          </w:p>
        </w:tc>
        <w:tc>
          <w:tcPr>
            <w:tcW w:w="2412" w:type="dxa"/>
          </w:tcPr>
          <w:p w14:paraId="383B2E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0.80</w:t>
            </w:r>
          </w:p>
        </w:tc>
        <w:tc>
          <w:tcPr>
            <w:tcW w:w="2412" w:type="dxa"/>
          </w:tcPr>
          <w:p w14:paraId="51720E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0.85</w:t>
            </w:r>
          </w:p>
        </w:tc>
        <w:tc>
          <w:tcPr>
            <w:tcW w:w="2412" w:type="dxa"/>
          </w:tcPr>
          <w:p w14:paraId="1FA14AB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0.75</w:t>
            </w:r>
          </w:p>
        </w:tc>
      </w:tr>
    </w:tbl>
    <w:p w14:paraId="0D9B1A8F" w14:textId="77777777" w:rsidR="00B57608" w:rsidRPr="00961F99" w:rsidRDefault="00B57608" w:rsidP="00757EC6">
      <w:pPr>
        <w:spacing w:after="40"/>
        <w:jc w:val="both"/>
        <w:rPr>
          <w:rFonts w:asciiTheme="majorBidi" w:hAnsiTheme="majorBidi" w:cstheme="majorBidi"/>
        </w:rPr>
      </w:pPr>
    </w:p>
    <w:p w14:paraId="125689D6" w14:textId="4A587C3E"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lastRenderedPageBreak/>
        <w:t xml:space="preserve">Supplementary Table S28 | </w:t>
      </w:r>
      <w:r w:rsidRPr="00961F99">
        <w:rPr>
          <w:rFonts w:asciiTheme="majorBidi" w:hAnsiTheme="majorBidi" w:cstheme="majorBidi"/>
          <w:sz w:val="19"/>
          <w:szCs w:val="19"/>
        </w:rPr>
        <w:t xml:space="preserve">United States Army Corps of Engineers Economic Guidance Memorandum 04-01 generic structure depth-damage functions, abridged to two-foot increments, expressed as the fraction of structure value damaged. The below-grade increment used in this study is the with-basement column minus the without-basement column at the same depth, by </w:t>
      </w:r>
      <w:r w:rsidR="00673BD8" w:rsidRPr="00961F99">
        <w:rPr>
          <w:rFonts w:asciiTheme="majorBidi" w:hAnsiTheme="majorBidi" w:cstheme="majorBidi"/>
          <w:sz w:val="19"/>
          <w:szCs w:val="19"/>
        </w:rPr>
        <w:t>story</w:t>
      </w:r>
      <w:r w:rsidRPr="00961F99">
        <w:rPr>
          <w:rFonts w:asciiTheme="majorBidi" w:hAnsiTheme="majorBidi" w:cstheme="majorBidi"/>
          <w:sz w:val="19"/>
          <w:szCs w:val="19"/>
        </w:rPr>
        <w:t xml:space="preserve"> class, and is applied only to buildings assigned a basement and only when the building is inundated. Without-basement functions are undefined below two feet beneath the first floor, where the with-basement functions carry the whole of the increment.</w:t>
      </w:r>
    </w:p>
    <w:tbl>
      <w:tblPr>
        <w:tblStyle w:val="afa"/>
        <w:tblW w:w="93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5"/>
        <w:gridCol w:w="1930"/>
        <w:gridCol w:w="1930"/>
        <w:gridCol w:w="1930"/>
        <w:gridCol w:w="1930"/>
      </w:tblGrid>
      <w:tr w:rsidR="00B57608" w:rsidRPr="00961F99" w14:paraId="3750EA45" w14:textId="77777777" w:rsidTr="00376A59">
        <w:trPr>
          <w:tblHeader/>
          <w:jc w:val="center"/>
        </w:trPr>
        <w:tc>
          <w:tcPr>
            <w:tcW w:w="1675" w:type="dxa"/>
          </w:tcPr>
          <w:p w14:paraId="1CF29E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Depth relative to first floor (ft)</w:t>
            </w:r>
          </w:p>
        </w:tc>
        <w:tc>
          <w:tcPr>
            <w:tcW w:w="1930" w:type="dxa"/>
          </w:tcPr>
          <w:p w14:paraId="22C3D474" w14:textId="716C5E00"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 xml:space="preserve">1 </w:t>
            </w:r>
            <w:r w:rsidR="00673BD8" w:rsidRPr="00961F99">
              <w:rPr>
                <w:rFonts w:asciiTheme="majorBidi" w:hAnsiTheme="majorBidi" w:cstheme="majorBidi"/>
                <w:b/>
                <w:bCs/>
                <w:sz w:val="16"/>
                <w:szCs w:val="16"/>
              </w:rPr>
              <w:t>story</w:t>
            </w:r>
            <w:r w:rsidRPr="00961F99">
              <w:rPr>
                <w:rFonts w:asciiTheme="majorBidi" w:hAnsiTheme="majorBidi" w:cstheme="majorBidi"/>
                <w:b/>
                <w:bCs/>
                <w:sz w:val="16"/>
                <w:szCs w:val="16"/>
              </w:rPr>
              <w:t>, with basement</w:t>
            </w:r>
          </w:p>
        </w:tc>
        <w:tc>
          <w:tcPr>
            <w:tcW w:w="1930" w:type="dxa"/>
          </w:tcPr>
          <w:p w14:paraId="4DBA2AC6" w14:textId="254D6332"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 xml:space="preserve">2+ </w:t>
            </w:r>
            <w:r w:rsidR="00673BD8" w:rsidRPr="00961F99">
              <w:rPr>
                <w:rFonts w:asciiTheme="majorBidi" w:hAnsiTheme="majorBidi" w:cstheme="majorBidi"/>
                <w:b/>
                <w:bCs/>
                <w:sz w:val="16"/>
                <w:szCs w:val="16"/>
              </w:rPr>
              <w:t>stories</w:t>
            </w:r>
            <w:r w:rsidRPr="00961F99">
              <w:rPr>
                <w:rFonts w:asciiTheme="majorBidi" w:hAnsiTheme="majorBidi" w:cstheme="majorBidi"/>
                <w:b/>
                <w:bCs/>
                <w:sz w:val="16"/>
                <w:szCs w:val="16"/>
              </w:rPr>
              <w:t>, with basement</w:t>
            </w:r>
          </w:p>
        </w:tc>
        <w:tc>
          <w:tcPr>
            <w:tcW w:w="1930" w:type="dxa"/>
          </w:tcPr>
          <w:p w14:paraId="7A07D674" w14:textId="0AE271C0"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1 story, no basement</w:t>
            </w:r>
          </w:p>
        </w:tc>
        <w:tc>
          <w:tcPr>
            <w:tcW w:w="1930" w:type="dxa"/>
          </w:tcPr>
          <w:p w14:paraId="19BB08E5" w14:textId="7C9C9485"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6"/>
                <w:szCs w:val="16"/>
              </w:rPr>
              <w:t xml:space="preserve">2+ </w:t>
            </w:r>
            <w:r w:rsidR="00673BD8" w:rsidRPr="00961F99">
              <w:rPr>
                <w:rFonts w:asciiTheme="majorBidi" w:hAnsiTheme="majorBidi" w:cstheme="majorBidi"/>
                <w:b/>
                <w:bCs/>
                <w:sz w:val="16"/>
                <w:szCs w:val="16"/>
              </w:rPr>
              <w:t>stories</w:t>
            </w:r>
            <w:r w:rsidRPr="00961F99">
              <w:rPr>
                <w:rFonts w:asciiTheme="majorBidi" w:hAnsiTheme="majorBidi" w:cstheme="majorBidi"/>
                <w:b/>
                <w:bCs/>
                <w:sz w:val="16"/>
                <w:szCs w:val="16"/>
              </w:rPr>
              <w:t>, no basement</w:t>
            </w:r>
          </w:p>
        </w:tc>
      </w:tr>
      <w:tr w:rsidR="00B57608" w:rsidRPr="00961F99" w14:paraId="29441027" w14:textId="77777777" w:rsidTr="00376A59">
        <w:trPr>
          <w:jc w:val="center"/>
        </w:trPr>
        <w:tc>
          <w:tcPr>
            <w:tcW w:w="1675" w:type="dxa"/>
          </w:tcPr>
          <w:p w14:paraId="363831E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w:t>
            </w:r>
          </w:p>
        </w:tc>
        <w:tc>
          <w:tcPr>
            <w:tcW w:w="1930" w:type="dxa"/>
          </w:tcPr>
          <w:p w14:paraId="24E061A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0.000</w:t>
            </w:r>
          </w:p>
        </w:tc>
        <w:tc>
          <w:tcPr>
            <w:tcW w:w="1930" w:type="dxa"/>
          </w:tcPr>
          <w:p w14:paraId="4F0E6C7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0.017</w:t>
            </w:r>
          </w:p>
        </w:tc>
        <w:tc>
          <w:tcPr>
            <w:tcW w:w="1930" w:type="dxa"/>
          </w:tcPr>
          <w:p w14:paraId="7763677E" w14:textId="77777777" w:rsidR="00B57608" w:rsidRPr="00961F99" w:rsidRDefault="00B57608" w:rsidP="00757EC6">
            <w:pPr>
              <w:spacing w:after="20"/>
              <w:jc w:val="both"/>
              <w:rPr>
                <w:rFonts w:asciiTheme="majorBidi" w:hAnsiTheme="majorBidi" w:cstheme="majorBidi"/>
              </w:rPr>
            </w:pPr>
          </w:p>
        </w:tc>
        <w:tc>
          <w:tcPr>
            <w:tcW w:w="1930" w:type="dxa"/>
          </w:tcPr>
          <w:p w14:paraId="3B86464F" w14:textId="77777777" w:rsidR="00B57608" w:rsidRPr="00961F99" w:rsidRDefault="00B57608" w:rsidP="00757EC6">
            <w:pPr>
              <w:spacing w:after="20"/>
              <w:jc w:val="both"/>
              <w:rPr>
                <w:rFonts w:asciiTheme="majorBidi" w:hAnsiTheme="majorBidi" w:cstheme="majorBidi"/>
              </w:rPr>
            </w:pPr>
          </w:p>
        </w:tc>
      </w:tr>
      <w:tr w:rsidR="00B57608" w:rsidRPr="00961F99" w14:paraId="126C0612" w14:textId="77777777" w:rsidTr="00376A59">
        <w:trPr>
          <w:jc w:val="center"/>
        </w:trPr>
        <w:tc>
          <w:tcPr>
            <w:tcW w:w="1675" w:type="dxa"/>
          </w:tcPr>
          <w:p w14:paraId="332C7EA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w:t>
            </w:r>
          </w:p>
        </w:tc>
        <w:tc>
          <w:tcPr>
            <w:tcW w:w="1930" w:type="dxa"/>
          </w:tcPr>
          <w:p w14:paraId="4D02FE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0.008</w:t>
            </w:r>
          </w:p>
        </w:tc>
        <w:tc>
          <w:tcPr>
            <w:tcW w:w="1930" w:type="dxa"/>
          </w:tcPr>
          <w:p w14:paraId="06DF7D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0.019</w:t>
            </w:r>
          </w:p>
        </w:tc>
        <w:tc>
          <w:tcPr>
            <w:tcW w:w="1930" w:type="dxa"/>
          </w:tcPr>
          <w:p w14:paraId="46D93C84" w14:textId="77777777" w:rsidR="00B57608" w:rsidRPr="00961F99" w:rsidRDefault="00B57608" w:rsidP="00757EC6">
            <w:pPr>
              <w:spacing w:after="20"/>
              <w:jc w:val="both"/>
              <w:rPr>
                <w:rFonts w:asciiTheme="majorBidi" w:hAnsiTheme="majorBidi" w:cstheme="majorBidi"/>
              </w:rPr>
            </w:pPr>
          </w:p>
        </w:tc>
        <w:tc>
          <w:tcPr>
            <w:tcW w:w="1930" w:type="dxa"/>
          </w:tcPr>
          <w:p w14:paraId="16F364BB" w14:textId="77777777" w:rsidR="00B57608" w:rsidRPr="00961F99" w:rsidRDefault="00B57608" w:rsidP="00757EC6">
            <w:pPr>
              <w:spacing w:after="20"/>
              <w:jc w:val="both"/>
              <w:rPr>
                <w:rFonts w:asciiTheme="majorBidi" w:hAnsiTheme="majorBidi" w:cstheme="majorBidi"/>
              </w:rPr>
            </w:pPr>
          </w:p>
        </w:tc>
      </w:tr>
      <w:tr w:rsidR="00B57608" w:rsidRPr="00961F99" w14:paraId="48E1185D" w14:textId="77777777" w:rsidTr="00376A59">
        <w:trPr>
          <w:jc w:val="center"/>
        </w:trPr>
        <w:tc>
          <w:tcPr>
            <w:tcW w:w="1675" w:type="dxa"/>
          </w:tcPr>
          <w:p w14:paraId="5531937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w:t>
            </w:r>
          </w:p>
        </w:tc>
        <w:tc>
          <w:tcPr>
            <w:tcW w:w="1930" w:type="dxa"/>
          </w:tcPr>
          <w:p w14:paraId="69F410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0.052</w:t>
            </w:r>
          </w:p>
        </w:tc>
        <w:tc>
          <w:tcPr>
            <w:tcW w:w="1930" w:type="dxa"/>
          </w:tcPr>
          <w:p w14:paraId="5317D2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0.047</w:t>
            </w:r>
          </w:p>
        </w:tc>
        <w:tc>
          <w:tcPr>
            <w:tcW w:w="1930" w:type="dxa"/>
          </w:tcPr>
          <w:p w14:paraId="53FE0E42" w14:textId="77777777" w:rsidR="00B57608" w:rsidRPr="00961F99" w:rsidRDefault="00B57608" w:rsidP="00757EC6">
            <w:pPr>
              <w:spacing w:after="20"/>
              <w:jc w:val="both"/>
              <w:rPr>
                <w:rFonts w:asciiTheme="majorBidi" w:hAnsiTheme="majorBidi" w:cstheme="majorBidi"/>
              </w:rPr>
            </w:pPr>
          </w:p>
        </w:tc>
        <w:tc>
          <w:tcPr>
            <w:tcW w:w="1930" w:type="dxa"/>
          </w:tcPr>
          <w:p w14:paraId="5475DE61" w14:textId="77777777" w:rsidR="00B57608" w:rsidRPr="00961F99" w:rsidRDefault="00B57608" w:rsidP="00757EC6">
            <w:pPr>
              <w:spacing w:after="20"/>
              <w:jc w:val="both"/>
              <w:rPr>
                <w:rFonts w:asciiTheme="majorBidi" w:hAnsiTheme="majorBidi" w:cstheme="majorBidi"/>
              </w:rPr>
            </w:pPr>
          </w:p>
        </w:tc>
      </w:tr>
      <w:tr w:rsidR="00B57608" w:rsidRPr="00961F99" w14:paraId="60669AFC" w14:textId="77777777" w:rsidTr="00376A59">
        <w:trPr>
          <w:jc w:val="center"/>
        </w:trPr>
        <w:tc>
          <w:tcPr>
            <w:tcW w:w="1675" w:type="dxa"/>
          </w:tcPr>
          <w:p w14:paraId="7E707B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w:t>
            </w:r>
          </w:p>
        </w:tc>
        <w:tc>
          <w:tcPr>
            <w:tcW w:w="1930" w:type="dxa"/>
          </w:tcPr>
          <w:p w14:paraId="3C40D3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0.138</w:t>
            </w:r>
          </w:p>
        </w:tc>
        <w:tc>
          <w:tcPr>
            <w:tcW w:w="1930" w:type="dxa"/>
          </w:tcPr>
          <w:p w14:paraId="1DF5F2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0.102</w:t>
            </w:r>
          </w:p>
        </w:tc>
        <w:tc>
          <w:tcPr>
            <w:tcW w:w="1930" w:type="dxa"/>
          </w:tcPr>
          <w:p w14:paraId="7F6243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0.000</w:t>
            </w:r>
          </w:p>
        </w:tc>
        <w:tc>
          <w:tcPr>
            <w:tcW w:w="1930" w:type="dxa"/>
          </w:tcPr>
          <w:p w14:paraId="77B7C7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0.000</w:t>
            </w:r>
          </w:p>
        </w:tc>
      </w:tr>
      <w:tr w:rsidR="00B57608" w:rsidRPr="00961F99" w14:paraId="7DBE444F" w14:textId="77777777" w:rsidTr="00376A59">
        <w:trPr>
          <w:jc w:val="center"/>
        </w:trPr>
        <w:tc>
          <w:tcPr>
            <w:tcW w:w="1675" w:type="dxa"/>
          </w:tcPr>
          <w:p w14:paraId="5B549BA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w:t>
            </w:r>
          </w:p>
        </w:tc>
        <w:tc>
          <w:tcPr>
            <w:tcW w:w="1930" w:type="dxa"/>
          </w:tcPr>
          <w:p w14:paraId="57E5056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0.255</w:t>
            </w:r>
          </w:p>
        </w:tc>
        <w:tc>
          <w:tcPr>
            <w:tcW w:w="1930" w:type="dxa"/>
          </w:tcPr>
          <w:p w14:paraId="080E0E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0.179</w:t>
            </w:r>
          </w:p>
        </w:tc>
        <w:tc>
          <w:tcPr>
            <w:tcW w:w="1930" w:type="dxa"/>
          </w:tcPr>
          <w:p w14:paraId="1E55C1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0.134</w:t>
            </w:r>
          </w:p>
        </w:tc>
        <w:tc>
          <w:tcPr>
            <w:tcW w:w="1930" w:type="dxa"/>
          </w:tcPr>
          <w:p w14:paraId="5AF82C0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0.093</w:t>
            </w:r>
          </w:p>
        </w:tc>
      </w:tr>
      <w:tr w:rsidR="00B57608" w:rsidRPr="00961F99" w14:paraId="59C9A50F" w14:textId="77777777" w:rsidTr="00376A59">
        <w:trPr>
          <w:jc w:val="center"/>
        </w:trPr>
        <w:tc>
          <w:tcPr>
            <w:tcW w:w="1675" w:type="dxa"/>
          </w:tcPr>
          <w:p w14:paraId="074F92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2</w:t>
            </w:r>
          </w:p>
        </w:tc>
        <w:tc>
          <w:tcPr>
            <w:tcW w:w="1930" w:type="dxa"/>
          </w:tcPr>
          <w:p w14:paraId="12AA44F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0.387</w:t>
            </w:r>
          </w:p>
        </w:tc>
        <w:tc>
          <w:tcPr>
            <w:tcW w:w="1930" w:type="dxa"/>
          </w:tcPr>
          <w:p w14:paraId="2925906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0.270</w:t>
            </w:r>
          </w:p>
        </w:tc>
        <w:tc>
          <w:tcPr>
            <w:tcW w:w="1930" w:type="dxa"/>
          </w:tcPr>
          <w:p w14:paraId="212187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0.321</w:t>
            </w:r>
          </w:p>
        </w:tc>
        <w:tc>
          <w:tcPr>
            <w:tcW w:w="1930" w:type="dxa"/>
          </w:tcPr>
          <w:p w14:paraId="1E6668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0.209</w:t>
            </w:r>
          </w:p>
        </w:tc>
      </w:tr>
      <w:tr w:rsidR="00B57608" w:rsidRPr="00961F99" w14:paraId="4F3D95D6" w14:textId="77777777" w:rsidTr="00376A59">
        <w:trPr>
          <w:jc w:val="center"/>
        </w:trPr>
        <w:tc>
          <w:tcPr>
            <w:tcW w:w="1675" w:type="dxa"/>
          </w:tcPr>
          <w:p w14:paraId="27CE1AD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4</w:t>
            </w:r>
          </w:p>
        </w:tc>
        <w:tc>
          <w:tcPr>
            <w:tcW w:w="1930" w:type="dxa"/>
          </w:tcPr>
          <w:p w14:paraId="28E8CDF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0.522</w:t>
            </w:r>
          </w:p>
        </w:tc>
        <w:tc>
          <w:tcPr>
            <w:tcW w:w="1930" w:type="dxa"/>
          </w:tcPr>
          <w:p w14:paraId="0632AC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0.369</w:t>
            </w:r>
          </w:p>
        </w:tc>
        <w:tc>
          <w:tcPr>
            <w:tcW w:w="1930" w:type="dxa"/>
          </w:tcPr>
          <w:p w14:paraId="611C7BD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0.471</w:t>
            </w:r>
          </w:p>
        </w:tc>
        <w:tc>
          <w:tcPr>
            <w:tcW w:w="1930" w:type="dxa"/>
          </w:tcPr>
          <w:p w14:paraId="1CC867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0.314</w:t>
            </w:r>
          </w:p>
        </w:tc>
      </w:tr>
      <w:tr w:rsidR="00B57608" w:rsidRPr="00961F99" w14:paraId="791BA129" w14:textId="77777777" w:rsidTr="00376A59">
        <w:trPr>
          <w:jc w:val="center"/>
        </w:trPr>
        <w:tc>
          <w:tcPr>
            <w:tcW w:w="1675" w:type="dxa"/>
          </w:tcPr>
          <w:p w14:paraId="08AA0B9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6</w:t>
            </w:r>
          </w:p>
        </w:tc>
        <w:tc>
          <w:tcPr>
            <w:tcW w:w="1930" w:type="dxa"/>
          </w:tcPr>
          <w:p w14:paraId="7E8C23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0.645</w:t>
            </w:r>
          </w:p>
        </w:tc>
        <w:tc>
          <w:tcPr>
            <w:tcW w:w="1930" w:type="dxa"/>
          </w:tcPr>
          <w:p w14:paraId="613A0E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0.469</w:t>
            </w:r>
          </w:p>
        </w:tc>
        <w:tc>
          <w:tcPr>
            <w:tcW w:w="1930" w:type="dxa"/>
          </w:tcPr>
          <w:p w14:paraId="0B42CFE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0.586</w:t>
            </w:r>
          </w:p>
        </w:tc>
        <w:tc>
          <w:tcPr>
            <w:tcW w:w="1930" w:type="dxa"/>
          </w:tcPr>
          <w:p w14:paraId="1D2D97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0.407</w:t>
            </w:r>
          </w:p>
        </w:tc>
      </w:tr>
      <w:tr w:rsidR="00B57608" w:rsidRPr="00961F99" w14:paraId="248E02C3" w14:textId="77777777" w:rsidTr="00376A59">
        <w:trPr>
          <w:jc w:val="center"/>
        </w:trPr>
        <w:tc>
          <w:tcPr>
            <w:tcW w:w="1675" w:type="dxa"/>
          </w:tcPr>
          <w:p w14:paraId="340290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8</w:t>
            </w:r>
          </w:p>
        </w:tc>
        <w:tc>
          <w:tcPr>
            <w:tcW w:w="1930" w:type="dxa"/>
          </w:tcPr>
          <w:p w14:paraId="617968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0.742</w:t>
            </w:r>
          </w:p>
        </w:tc>
        <w:tc>
          <w:tcPr>
            <w:tcW w:w="1930" w:type="dxa"/>
          </w:tcPr>
          <w:p w14:paraId="09AFBA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0.564</w:t>
            </w:r>
          </w:p>
        </w:tc>
        <w:tc>
          <w:tcPr>
            <w:tcW w:w="1930" w:type="dxa"/>
          </w:tcPr>
          <w:p w14:paraId="359C8F4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0.672</w:t>
            </w:r>
          </w:p>
        </w:tc>
        <w:tc>
          <w:tcPr>
            <w:tcW w:w="1930" w:type="dxa"/>
          </w:tcPr>
          <w:p w14:paraId="52305D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0.488</w:t>
            </w:r>
          </w:p>
        </w:tc>
      </w:tr>
      <w:tr w:rsidR="00B57608" w:rsidRPr="00961F99" w14:paraId="6E82BBE0" w14:textId="77777777" w:rsidTr="00376A59">
        <w:trPr>
          <w:jc w:val="center"/>
        </w:trPr>
        <w:tc>
          <w:tcPr>
            <w:tcW w:w="1675" w:type="dxa"/>
          </w:tcPr>
          <w:p w14:paraId="770CC90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10</w:t>
            </w:r>
          </w:p>
        </w:tc>
        <w:tc>
          <w:tcPr>
            <w:tcW w:w="1930" w:type="dxa"/>
          </w:tcPr>
          <w:p w14:paraId="408827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0.801</w:t>
            </w:r>
          </w:p>
        </w:tc>
        <w:tc>
          <w:tcPr>
            <w:tcW w:w="1930" w:type="dxa"/>
          </w:tcPr>
          <w:p w14:paraId="425572E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0.648</w:t>
            </w:r>
          </w:p>
        </w:tc>
        <w:tc>
          <w:tcPr>
            <w:tcW w:w="1930" w:type="dxa"/>
          </w:tcPr>
          <w:p w14:paraId="6326B0E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0.732</w:t>
            </w:r>
          </w:p>
        </w:tc>
        <w:tc>
          <w:tcPr>
            <w:tcW w:w="1930" w:type="dxa"/>
          </w:tcPr>
          <w:p w14:paraId="5E5E9B9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0.557</w:t>
            </w:r>
          </w:p>
        </w:tc>
      </w:tr>
      <w:tr w:rsidR="00B57608" w:rsidRPr="00961F99" w14:paraId="63CA45CC" w14:textId="77777777" w:rsidTr="00376A59">
        <w:trPr>
          <w:jc w:val="center"/>
        </w:trPr>
        <w:tc>
          <w:tcPr>
            <w:tcW w:w="1675" w:type="dxa"/>
          </w:tcPr>
          <w:p w14:paraId="286E75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12</w:t>
            </w:r>
          </w:p>
        </w:tc>
        <w:tc>
          <w:tcPr>
            <w:tcW w:w="1930" w:type="dxa"/>
          </w:tcPr>
          <w:p w14:paraId="308CD36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0.811</w:t>
            </w:r>
          </w:p>
        </w:tc>
        <w:tc>
          <w:tcPr>
            <w:tcW w:w="1930" w:type="dxa"/>
          </w:tcPr>
          <w:p w14:paraId="2597F1C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0.714</w:t>
            </w:r>
          </w:p>
        </w:tc>
        <w:tc>
          <w:tcPr>
            <w:tcW w:w="1930" w:type="dxa"/>
          </w:tcPr>
          <w:p w14:paraId="5123892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0.772</w:t>
            </w:r>
          </w:p>
        </w:tc>
        <w:tc>
          <w:tcPr>
            <w:tcW w:w="1930" w:type="dxa"/>
          </w:tcPr>
          <w:p w14:paraId="5B5194E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0.614</w:t>
            </w:r>
          </w:p>
        </w:tc>
      </w:tr>
      <w:tr w:rsidR="00B57608" w:rsidRPr="00961F99" w14:paraId="4BC712E3" w14:textId="77777777" w:rsidTr="00376A59">
        <w:trPr>
          <w:jc w:val="center"/>
        </w:trPr>
        <w:tc>
          <w:tcPr>
            <w:tcW w:w="1675" w:type="dxa"/>
          </w:tcPr>
          <w:p w14:paraId="61E481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14</w:t>
            </w:r>
          </w:p>
        </w:tc>
        <w:tc>
          <w:tcPr>
            <w:tcW w:w="1930" w:type="dxa"/>
          </w:tcPr>
          <w:p w14:paraId="16551F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0.811</w:t>
            </w:r>
          </w:p>
        </w:tc>
        <w:tc>
          <w:tcPr>
            <w:tcW w:w="1930" w:type="dxa"/>
          </w:tcPr>
          <w:p w14:paraId="5AA7F1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0.754</w:t>
            </w:r>
          </w:p>
        </w:tc>
        <w:tc>
          <w:tcPr>
            <w:tcW w:w="1930" w:type="dxa"/>
          </w:tcPr>
          <w:p w14:paraId="77EAE1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0.795</w:t>
            </w:r>
          </w:p>
        </w:tc>
        <w:tc>
          <w:tcPr>
            <w:tcW w:w="1930" w:type="dxa"/>
          </w:tcPr>
          <w:p w14:paraId="08DAC51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0.659</w:t>
            </w:r>
          </w:p>
        </w:tc>
      </w:tr>
      <w:tr w:rsidR="00B57608" w:rsidRPr="00961F99" w14:paraId="1A2FA13F" w14:textId="77777777" w:rsidTr="00376A59">
        <w:trPr>
          <w:jc w:val="center"/>
        </w:trPr>
        <w:tc>
          <w:tcPr>
            <w:tcW w:w="1675" w:type="dxa"/>
          </w:tcPr>
          <w:p w14:paraId="2F2C76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16</w:t>
            </w:r>
          </w:p>
        </w:tc>
        <w:tc>
          <w:tcPr>
            <w:tcW w:w="1930" w:type="dxa"/>
          </w:tcPr>
          <w:p w14:paraId="57B8525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0.811</w:t>
            </w:r>
          </w:p>
        </w:tc>
        <w:tc>
          <w:tcPr>
            <w:tcW w:w="1930" w:type="dxa"/>
          </w:tcPr>
          <w:p w14:paraId="553BBA1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0.764</w:t>
            </w:r>
          </w:p>
        </w:tc>
        <w:tc>
          <w:tcPr>
            <w:tcW w:w="1930" w:type="dxa"/>
          </w:tcPr>
          <w:p w14:paraId="6F5F8A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0.807</w:t>
            </w:r>
          </w:p>
        </w:tc>
        <w:tc>
          <w:tcPr>
            <w:tcW w:w="1930" w:type="dxa"/>
          </w:tcPr>
          <w:p w14:paraId="3F46CCE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6"/>
                <w:szCs w:val="16"/>
              </w:rPr>
              <w:t>0.692</w:t>
            </w:r>
          </w:p>
        </w:tc>
      </w:tr>
    </w:tbl>
    <w:p w14:paraId="3049B3DF" w14:textId="77777777" w:rsidR="00B57608" w:rsidRPr="00961F99" w:rsidRDefault="00B57608" w:rsidP="00757EC6">
      <w:pPr>
        <w:spacing w:after="40"/>
        <w:jc w:val="both"/>
        <w:rPr>
          <w:rFonts w:asciiTheme="majorBidi" w:hAnsiTheme="majorBidi" w:cstheme="majorBidi"/>
        </w:rPr>
      </w:pPr>
    </w:p>
    <w:p w14:paraId="16863E84"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S29 | </w:t>
      </w:r>
      <w:r w:rsidRPr="00961F99">
        <w:rPr>
          <w:rFonts w:asciiTheme="majorBidi" w:hAnsiTheme="majorBidi" w:cstheme="majorBidi"/>
          <w:sz w:val="19"/>
          <w:szCs w:val="19"/>
        </w:rPr>
        <w:t xml:space="preserve">Mapping of </w:t>
      </w:r>
      <w:proofErr w:type="spellStart"/>
      <w:r w:rsidRPr="00961F99">
        <w:rPr>
          <w:rFonts w:asciiTheme="majorBidi" w:hAnsiTheme="majorBidi" w:cstheme="majorBidi"/>
          <w:sz w:val="19"/>
          <w:szCs w:val="19"/>
        </w:rPr>
        <w:t>Hazus</w:t>
      </w:r>
      <w:proofErr w:type="spellEnd"/>
      <w:r w:rsidRPr="00961F99">
        <w:rPr>
          <w:rFonts w:asciiTheme="majorBidi" w:hAnsiTheme="majorBidi" w:cstheme="majorBidi"/>
          <w:sz w:val="19"/>
          <w:szCs w:val="19"/>
        </w:rPr>
        <w:t xml:space="preserve"> occupancy prototypes to depth-damage families and the prototype multipliers applied to the above-floor damage ratio. These multipliers are fixed structural constants of the damage model. They are not fitted, and no global rescaling is applied to any function.</w:t>
      </w:r>
    </w:p>
    <w:tbl>
      <w:tblPr>
        <w:tblStyle w:val="afb"/>
        <w:tblW w:w="94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6"/>
        <w:gridCol w:w="3216"/>
        <w:gridCol w:w="3216"/>
      </w:tblGrid>
      <w:tr w:rsidR="00B57608" w:rsidRPr="00961F99" w14:paraId="48E731FE" w14:textId="77777777" w:rsidTr="00376A59">
        <w:trPr>
          <w:tblHeader/>
          <w:jc w:val="center"/>
        </w:trPr>
        <w:tc>
          <w:tcPr>
            <w:tcW w:w="3046" w:type="dxa"/>
          </w:tcPr>
          <w:p w14:paraId="371912E3" w14:textId="77777777" w:rsidR="00B57608" w:rsidRPr="00961F99" w:rsidRDefault="003B27C7" w:rsidP="00757EC6">
            <w:pPr>
              <w:spacing w:after="20"/>
              <w:jc w:val="both"/>
              <w:rPr>
                <w:rFonts w:asciiTheme="majorBidi" w:hAnsiTheme="majorBidi" w:cstheme="majorBidi"/>
              </w:rPr>
            </w:pPr>
            <w:proofErr w:type="spellStart"/>
            <w:r w:rsidRPr="00961F99">
              <w:rPr>
                <w:rFonts w:asciiTheme="majorBidi" w:hAnsiTheme="majorBidi" w:cstheme="majorBidi"/>
                <w:b/>
                <w:bCs/>
                <w:sz w:val="15"/>
                <w:szCs w:val="15"/>
              </w:rPr>
              <w:t>Hazus</w:t>
            </w:r>
            <w:proofErr w:type="spellEnd"/>
            <w:r w:rsidRPr="00961F99">
              <w:rPr>
                <w:rFonts w:asciiTheme="majorBidi" w:hAnsiTheme="majorBidi" w:cstheme="majorBidi"/>
                <w:b/>
                <w:bCs/>
                <w:sz w:val="15"/>
                <w:szCs w:val="15"/>
              </w:rPr>
              <w:t xml:space="preserve"> occupancy prototype</w:t>
            </w:r>
          </w:p>
        </w:tc>
        <w:tc>
          <w:tcPr>
            <w:tcW w:w="3216" w:type="dxa"/>
          </w:tcPr>
          <w:p w14:paraId="57F66C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Depth-damage family</w:t>
            </w:r>
          </w:p>
        </w:tc>
        <w:tc>
          <w:tcPr>
            <w:tcW w:w="3216" w:type="dxa"/>
          </w:tcPr>
          <w:p w14:paraId="23AD42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5"/>
                <w:szCs w:val="15"/>
              </w:rPr>
              <w:t>Multiplier</w:t>
            </w:r>
          </w:p>
        </w:tc>
      </w:tr>
      <w:tr w:rsidR="00B57608" w:rsidRPr="00961F99" w14:paraId="3CB2A083" w14:textId="77777777" w:rsidTr="00376A59">
        <w:trPr>
          <w:jc w:val="center"/>
        </w:trPr>
        <w:tc>
          <w:tcPr>
            <w:tcW w:w="3046" w:type="dxa"/>
          </w:tcPr>
          <w:p w14:paraId="6875C0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RES1I</w:t>
            </w:r>
          </w:p>
        </w:tc>
        <w:tc>
          <w:tcPr>
            <w:tcW w:w="3216" w:type="dxa"/>
          </w:tcPr>
          <w:p w14:paraId="0865F50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Single-family residential</w:t>
            </w:r>
          </w:p>
        </w:tc>
        <w:tc>
          <w:tcPr>
            <w:tcW w:w="3216" w:type="dxa"/>
          </w:tcPr>
          <w:p w14:paraId="4A766FF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1.10</w:t>
            </w:r>
          </w:p>
        </w:tc>
      </w:tr>
      <w:tr w:rsidR="00B57608" w:rsidRPr="00961F99" w14:paraId="1941952D" w14:textId="77777777" w:rsidTr="00376A59">
        <w:trPr>
          <w:jc w:val="center"/>
        </w:trPr>
        <w:tc>
          <w:tcPr>
            <w:tcW w:w="3046" w:type="dxa"/>
          </w:tcPr>
          <w:p w14:paraId="2BC4A18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RES2I</w:t>
            </w:r>
          </w:p>
        </w:tc>
        <w:tc>
          <w:tcPr>
            <w:tcW w:w="3216" w:type="dxa"/>
          </w:tcPr>
          <w:p w14:paraId="3174722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Single-family residential</w:t>
            </w:r>
          </w:p>
        </w:tc>
        <w:tc>
          <w:tcPr>
            <w:tcW w:w="3216" w:type="dxa"/>
          </w:tcPr>
          <w:p w14:paraId="5B4C4D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1.10</w:t>
            </w:r>
          </w:p>
        </w:tc>
      </w:tr>
      <w:tr w:rsidR="00B57608" w:rsidRPr="00961F99" w14:paraId="31FD9634" w14:textId="77777777" w:rsidTr="00376A59">
        <w:trPr>
          <w:jc w:val="center"/>
        </w:trPr>
        <w:tc>
          <w:tcPr>
            <w:tcW w:w="3046" w:type="dxa"/>
          </w:tcPr>
          <w:p w14:paraId="04049A6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RES3AI</w:t>
            </w:r>
          </w:p>
        </w:tc>
        <w:tc>
          <w:tcPr>
            <w:tcW w:w="3216" w:type="dxa"/>
          </w:tcPr>
          <w:p w14:paraId="3FA3CD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Multi-family residential</w:t>
            </w:r>
          </w:p>
        </w:tc>
        <w:tc>
          <w:tcPr>
            <w:tcW w:w="3216" w:type="dxa"/>
          </w:tcPr>
          <w:p w14:paraId="0A06628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694E8EF2" w14:textId="77777777" w:rsidTr="00376A59">
        <w:trPr>
          <w:jc w:val="center"/>
        </w:trPr>
        <w:tc>
          <w:tcPr>
            <w:tcW w:w="3046" w:type="dxa"/>
          </w:tcPr>
          <w:p w14:paraId="68780A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RES3BI</w:t>
            </w:r>
          </w:p>
        </w:tc>
        <w:tc>
          <w:tcPr>
            <w:tcW w:w="3216" w:type="dxa"/>
          </w:tcPr>
          <w:p w14:paraId="602D3BE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Multi-family residential</w:t>
            </w:r>
          </w:p>
        </w:tc>
        <w:tc>
          <w:tcPr>
            <w:tcW w:w="3216" w:type="dxa"/>
          </w:tcPr>
          <w:p w14:paraId="425F9E7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6DFCD9E3" w14:textId="77777777" w:rsidTr="00376A59">
        <w:trPr>
          <w:jc w:val="center"/>
        </w:trPr>
        <w:tc>
          <w:tcPr>
            <w:tcW w:w="3046" w:type="dxa"/>
          </w:tcPr>
          <w:p w14:paraId="05CECCB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RES3CI</w:t>
            </w:r>
          </w:p>
        </w:tc>
        <w:tc>
          <w:tcPr>
            <w:tcW w:w="3216" w:type="dxa"/>
          </w:tcPr>
          <w:p w14:paraId="698FF9B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Multi-family residential</w:t>
            </w:r>
          </w:p>
        </w:tc>
        <w:tc>
          <w:tcPr>
            <w:tcW w:w="3216" w:type="dxa"/>
          </w:tcPr>
          <w:p w14:paraId="536BEA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0A416AA3" w14:textId="77777777" w:rsidTr="00376A59">
        <w:trPr>
          <w:jc w:val="center"/>
        </w:trPr>
        <w:tc>
          <w:tcPr>
            <w:tcW w:w="3046" w:type="dxa"/>
          </w:tcPr>
          <w:p w14:paraId="183FDC2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RES3DI</w:t>
            </w:r>
          </w:p>
        </w:tc>
        <w:tc>
          <w:tcPr>
            <w:tcW w:w="3216" w:type="dxa"/>
          </w:tcPr>
          <w:p w14:paraId="64ED22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Multi-family residential</w:t>
            </w:r>
          </w:p>
        </w:tc>
        <w:tc>
          <w:tcPr>
            <w:tcW w:w="3216" w:type="dxa"/>
          </w:tcPr>
          <w:p w14:paraId="785259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742A6818" w14:textId="77777777" w:rsidTr="00376A59">
        <w:trPr>
          <w:jc w:val="center"/>
        </w:trPr>
        <w:tc>
          <w:tcPr>
            <w:tcW w:w="3046" w:type="dxa"/>
          </w:tcPr>
          <w:p w14:paraId="0AA4938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RES3EI</w:t>
            </w:r>
          </w:p>
        </w:tc>
        <w:tc>
          <w:tcPr>
            <w:tcW w:w="3216" w:type="dxa"/>
          </w:tcPr>
          <w:p w14:paraId="66BD8C1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Multi-family residential</w:t>
            </w:r>
          </w:p>
        </w:tc>
        <w:tc>
          <w:tcPr>
            <w:tcW w:w="3216" w:type="dxa"/>
          </w:tcPr>
          <w:p w14:paraId="10B468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6D0E1C59" w14:textId="77777777" w:rsidTr="00376A59">
        <w:trPr>
          <w:jc w:val="center"/>
        </w:trPr>
        <w:tc>
          <w:tcPr>
            <w:tcW w:w="3046" w:type="dxa"/>
          </w:tcPr>
          <w:p w14:paraId="19E867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RES3FI</w:t>
            </w:r>
          </w:p>
        </w:tc>
        <w:tc>
          <w:tcPr>
            <w:tcW w:w="3216" w:type="dxa"/>
          </w:tcPr>
          <w:p w14:paraId="03DDC3D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Multi-family residential</w:t>
            </w:r>
          </w:p>
        </w:tc>
        <w:tc>
          <w:tcPr>
            <w:tcW w:w="3216" w:type="dxa"/>
          </w:tcPr>
          <w:p w14:paraId="6DAEFC3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42133A18" w14:textId="77777777" w:rsidTr="00376A59">
        <w:trPr>
          <w:jc w:val="center"/>
        </w:trPr>
        <w:tc>
          <w:tcPr>
            <w:tcW w:w="3046" w:type="dxa"/>
          </w:tcPr>
          <w:p w14:paraId="51626AD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COM1I</w:t>
            </w:r>
          </w:p>
        </w:tc>
        <w:tc>
          <w:tcPr>
            <w:tcW w:w="3216" w:type="dxa"/>
          </w:tcPr>
          <w:p w14:paraId="47AA3C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68DB59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768B55F7" w14:textId="77777777" w:rsidTr="00376A59">
        <w:trPr>
          <w:jc w:val="center"/>
        </w:trPr>
        <w:tc>
          <w:tcPr>
            <w:tcW w:w="3046" w:type="dxa"/>
          </w:tcPr>
          <w:p w14:paraId="76A877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COM2I</w:t>
            </w:r>
          </w:p>
        </w:tc>
        <w:tc>
          <w:tcPr>
            <w:tcW w:w="3216" w:type="dxa"/>
          </w:tcPr>
          <w:p w14:paraId="37EFAA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007729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563DA4DC" w14:textId="77777777" w:rsidTr="00376A59">
        <w:trPr>
          <w:jc w:val="center"/>
        </w:trPr>
        <w:tc>
          <w:tcPr>
            <w:tcW w:w="3046" w:type="dxa"/>
          </w:tcPr>
          <w:p w14:paraId="5A6DE34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COM3I</w:t>
            </w:r>
          </w:p>
        </w:tc>
        <w:tc>
          <w:tcPr>
            <w:tcW w:w="3216" w:type="dxa"/>
          </w:tcPr>
          <w:p w14:paraId="44B544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792331E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029D81DA" w14:textId="77777777" w:rsidTr="00376A59">
        <w:trPr>
          <w:jc w:val="center"/>
        </w:trPr>
        <w:tc>
          <w:tcPr>
            <w:tcW w:w="3046" w:type="dxa"/>
          </w:tcPr>
          <w:p w14:paraId="15EA6C3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COM4I</w:t>
            </w:r>
          </w:p>
        </w:tc>
        <w:tc>
          <w:tcPr>
            <w:tcW w:w="3216" w:type="dxa"/>
          </w:tcPr>
          <w:p w14:paraId="5D45F0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5F23FC9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52CB22F5" w14:textId="77777777" w:rsidTr="00376A59">
        <w:trPr>
          <w:jc w:val="center"/>
        </w:trPr>
        <w:tc>
          <w:tcPr>
            <w:tcW w:w="3046" w:type="dxa"/>
          </w:tcPr>
          <w:p w14:paraId="6F8B31A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COM5I</w:t>
            </w:r>
          </w:p>
        </w:tc>
        <w:tc>
          <w:tcPr>
            <w:tcW w:w="3216" w:type="dxa"/>
          </w:tcPr>
          <w:p w14:paraId="49FBD87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5DAD0C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2A9A2201" w14:textId="77777777" w:rsidTr="00376A59">
        <w:trPr>
          <w:jc w:val="center"/>
        </w:trPr>
        <w:tc>
          <w:tcPr>
            <w:tcW w:w="3046" w:type="dxa"/>
          </w:tcPr>
          <w:p w14:paraId="5608E4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COM6I</w:t>
            </w:r>
          </w:p>
        </w:tc>
        <w:tc>
          <w:tcPr>
            <w:tcW w:w="3216" w:type="dxa"/>
          </w:tcPr>
          <w:p w14:paraId="2E45FC3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4DEA24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4E5D6932" w14:textId="77777777" w:rsidTr="00376A59">
        <w:trPr>
          <w:jc w:val="center"/>
        </w:trPr>
        <w:tc>
          <w:tcPr>
            <w:tcW w:w="3046" w:type="dxa"/>
          </w:tcPr>
          <w:p w14:paraId="7617524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COM7I</w:t>
            </w:r>
          </w:p>
        </w:tc>
        <w:tc>
          <w:tcPr>
            <w:tcW w:w="3216" w:type="dxa"/>
          </w:tcPr>
          <w:p w14:paraId="77BB9C4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7366EB4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2225ED23" w14:textId="77777777" w:rsidTr="00376A59">
        <w:trPr>
          <w:jc w:val="center"/>
        </w:trPr>
        <w:tc>
          <w:tcPr>
            <w:tcW w:w="3046" w:type="dxa"/>
          </w:tcPr>
          <w:p w14:paraId="709991F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COM8I</w:t>
            </w:r>
          </w:p>
        </w:tc>
        <w:tc>
          <w:tcPr>
            <w:tcW w:w="3216" w:type="dxa"/>
          </w:tcPr>
          <w:p w14:paraId="4E823CD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7564413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4E25062D" w14:textId="77777777" w:rsidTr="00376A59">
        <w:trPr>
          <w:jc w:val="center"/>
        </w:trPr>
        <w:tc>
          <w:tcPr>
            <w:tcW w:w="3046" w:type="dxa"/>
          </w:tcPr>
          <w:p w14:paraId="240726C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COM9I</w:t>
            </w:r>
          </w:p>
        </w:tc>
        <w:tc>
          <w:tcPr>
            <w:tcW w:w="3216" w:type="dxa"/>
          </w:tcPr>
          <w:p w14:paraId="4166F8E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2666BB1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53068ADE" w14:textId="77777777" w:rsidTr="00376A59">
        <w:trPr>
          <w:jc w:val="center"/>
        </w:trPr>
        <w:tc>
          <w:tcPr>
            <w:tcW w:w="3046" w:type="dxa"/>
          </w:tcPr>
          <w:p w14:paraId="7D6AC07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COM10I</w:t>
            </w:r>
          </w:p>
        </w:tc>
        <w:tc>
          <w:tcPr>
            <w:tcW w:w="3216" w:type="dxa"/>
          </w:tcPr>
          <w:p w14:paraId="03677AF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33E4290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27006F01" w14:textId="77777777" w:rsidTr="00376A59">
        <w:trPr>
          <w:jc w:val="center"/>
        </w:trPr>
        <w:tc>
          <w:tcPr>
            <w:tcW w:w="3046" w:type="dxa"/>
          </w:tcPr>
          <w:p w14:paraId="3D0A4FA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IND1I</w:t>
            </w:r>
          </w:p>
        </w:tc>
        <w:tc>
          <w:tcPr>
            <w:tcW w:w="3216" w:type="dxa"/>
          </w:tcPr>
          <w:p w14:paraId="4F9D72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665005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038C7D21" w14:textId="77777777" w:rsidTr="00376A59">
        <w:trPr>
          <w:jc w:val="center"/>
        </w:trPr>
        <w:tc>
          <w:tcPr>
            <w:tcW w:w="3046" w:type="dxa"/>
          </w:tcPr>
          <w:p w14:paraId="56AF304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IND2I</w:t>
            </w:r>
          </w:p>
        </w:tc>
        <w:tc>
          <w:tcPr>
            <w:tcW w:w="3216" w:type="dxa"/>
          </w:tcPr>
          <w:p w14:paraId="19DC3F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318983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5C764681" w14:textId="77777777" w:rsidTr="00376A59">
        <w:trPr>
          <w:jc w:val="center"/>
        </w:trPr>
        <w:tc>
          <w:tcPr>
            <w:tcW w:w="3046" w:type="dxa"/>
          </w:tcPr>
          <w:p w14:paraId="3FA91E3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IND3I</w:t>
            </w:r>
          </w:p>
        </w:tc>
        <w:tc>
          <w:tcPr>
            <w:tcW w:w="3216" w:type="dxa"/>
          </w:tcPr>
          <w:p w14:paraId="55F861B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34CAA0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1BA0F006" w14:textId="77777777" w:rsidTr="00376A59">
        <w:trPr>
          <w:jc w:val="center"/>
        </w:trPr>
        <w:tc>
          <w:tcPr>
            <w:tcW w:w="3046" w:type="dxa"/>
          </w:tcPr>
          <w:p w14:paraId="407BAA5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IND4I</w:t>
            </w:r>
          </w:p>
        </w:tc>
        <w:tc>
          <w:tcPr>
            <w:tcW w:w="3216" w:type="dxa"/>
          </w:tcPr>
          <w:p w14:paraId="63429F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0DEEC2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5494842D" w14:textId="77777777" w:rsidTr="00376A59">
        <w:trPr>
          <w:jc w:val="center"/>
        </w:trPr>
        <w:tc>
          <w:tcPr>
            <w:tcW w:w="3046" w:type="dxa"/>
          </w:tcPr>
          <w:p w14:paraId="0824C6D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IND5I</w:t>
            </w:r>
          </w:p>
        </w:tc>
        <w:tc>
          <w:tcPr>
            <w:tcW w:w="3216" w:type="dxa"/>
          </w:tcPr>
          <w:p w14:paraId="05EBC89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417C31E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76DBE51B" w14:textId="77777777" w:rsidTr="00376A59">
        <w:trPr>
          <w:jc w:val="center"/>
        </w:trPr>
        <w:tc>
          <w:tcPr>
            <w:tcW w:w="3046" w:type="dxa"/>
          </w:tcPr>
          <w:p w14:paraId="609F90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IND6I</w:t>
            </w:r>
          </w:p>
        </w:tc>
        <w:tc>
          <w:tcPr>
            <w:tcW w:w="3216" w:type="dxa"/>
          </w:tcPr>
          <w:p w14:paraId="6484171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3A76B3C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675EA869" w14:textId="77777777" w:rsidTr="00376A59">
        <w:trPr>
          <w:jc w:val="center"/>
        </w:trPr>
        <w:tc>
          <w:tcPr>
            <w:tcW w:w="3046" w:type="dxa"/>
          </w:tcPr>
          <w:p w14:paraId="6CF13AC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MFG1I</w:t>
            </w:r>
          </w:p>
        </w:tc>
        <w:tc>
          <w:tcPr>
            <w:tcW w:w="3216" w:type="dxa"/>
          </w:tcPr>
          <w:p w14:paraId="7D6831B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214822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3653B264" w14:textId="77777777" w:rsidTr="00376A59">
        <w:trPr>
          <w:jc w:val="center"/>
        </w:trPr>
        <w:tc>
          <w:tcPr>
            <w:tcW w:w="3046" w:type="dxa"/>
          </w:tcPr>
          <w:p w14:paraId="356FB00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AGR1I</w:t>
            </w:r>
          </w:p>
        </w:tc>
        <w:tc>
          <w:tcPr>
            <w:tcW w:w="3216" w:type="dxa"/>
          </w:tcPr>
          <w:p w14:paraId="18C15F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4D68536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0.90</w:t>
            </w:r>
          </w:p>
        </w:tc>
      </w:tr>
      <w:tr w:rsidR="00B57608" w:rsidRPr="00961F99" w14:paraId="319AB18C" w14:textId="77777777" w:rsidTr="00376A59">
        <w:trPr>
          <w:jc w:val="center"/>
        </w:trPr>
        <w:tc>
          <w:tcPr>
            <w:tcW w:w="3046" w:type="dxa"/>
          </w:tcPr>
          <w:p w14:paraId="43EF6D5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REL1I</w:t>
            </w:r>
          </w:p>
        </w:tc>
        <w:tc>
          <w:tcPr>
            <w:tcW w:w="3216" w:type="dxa"/>
          </w:tcPr>
          <w:p w14:paraId="534343C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568B1B1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35446A3C" w14:textId="77777777" w:rsidTr="00376A59">
        <w:trPr>
          <w:jc w:val="center"/>
        </w:trPr>
        <w:tc>
          <w:tcPr>
            <w:tcW w:w="3046" w:type="dxa"/>
          </w:tcPr>
          <w:p w14:paraId="169A153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GOV1I</w:t>
            </w:r>
          </w:p>
        </w:tc>
        <w:tc>
          <w:tcPr>
            <w:tcW w:w="3216" w:type="dxa"/>
          </w:tcPr>
          <w:p w14:paraId="302B974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135815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52415FEE" w14:textId="77777777" w:rsidTr="00376A59">
        <w:trPr>
          <w:jc w:val="center"/>
        </w:trPr>
        <w:tc>
          <w:tcPr>
            <w:tcW w:w="3046" w:type="dxa"/>
          </w:tcPr>
          <w:p w14:paraId="1CAC583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GOV2I</w:t>
            </w:r>
          </w:p>
        </w:tc>
        <w:tc>
          <w:tcPr>
            <w:tcW w:w="3216" w:type="dxa"/>
          </w:tcPr>
          <w:p w14:paraId="1AC0F65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77B768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415F4F84" w14:textId="77777777" w:rsidTr="00376A59">
        <w:trPr>
          <w:jc w:val="center"/>
        </w:trPr>
        <w:tc>
          <w:tcPr>
            <w:tcW w:w="3046" w:type="dxa"/>
          </w:tcPr>
          <w:p w14:paraId="310A15D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EDU1I</w:t>
            </w:r>
          </w:p>
        </w:tc>
        <w:tc>
          <w:tcPr>
            <w:tcW w:w="3216" w:type="dxa"/>
          </w:tcPr>
          <w:p w14:paraId="6AF48D8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42E760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r w:rsidR="00B57608" w:rsidRPr="00961F99" w14:paraId="5C0577B6" w14:textId="77777777" w:rsidTr="00376A59">
        <w:trPr>
          <w:jc w:val="center"/>
        </w:trPr>
        <w:tc>
          <w:tcPr>
            <w:tcW w:w="3046" w:type="dxa"/>
          </w:tcPr>
          <w:p w14:paraId="007A550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EDU2I</w:t>
            </w:r>
          </w:p>
        </w:tc>
        <w:tc>
          <w:tcPr>
            <w:tcW w:w="3216" w:type="dxa"/>
          </w:tcPr>
          <w:p w14:paraId="701C61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Commercial and other non-residential</w:t>
            </w:r>
          </w:p>
        </w:tc>
        <w:tc>
          <w:tcPr>
            <w:tcW w:w="3216" w:type="dxa"/>
          </w:tcPr>
          <w:p w14:paraId="0BC33C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5"/>
                <w:szCs w:val="15"/>
              </w:rPr>
              <w:t>0.95</w:t>
            </w:r>
          </w:p>
        </w:tc>
      </w:tr>
    </w:tbl>
    <w:p w14:paraId="58CE679E" w14:textId="77777777" w:rsidR="00B57608" w:rsidRPr="00961F99" w:rsidRDefault="00B57608" w:rsidP="00757EC6">
      <w:pPr>
        <w:spacing w:after="40"/>
        <w:jc w:val="both"/>
        <w:rPr>
          <w:rFonts w:asciiTheme="majorBidi" w:hAnsiTheme="majorBidi" w:cstheme="majorBidi"/>
        </w:rPr>
      </w:pPr>
    </w:p>
    <w:p w14:paraId="016A04D3"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S30 | </w:t>
      </w:r>
      <w:r w:rsidRPr="00961F99">
        <w:rPr>
          <w:rFonts w:asciiTheme="majorBidi" w:hAnsiTheme="majorBidi" w:cstheme="majorBidi"/>
          <w:sz w:val="19"/>
          <w:szCs w:val="19"/>
        </w:rPr>
        <w:t>Census Survey of Construction basement prevalence by census division, used as the terminal fallback for residential basement assignment where county and state strata from the NFIP records contain too few observations. A national share of 16.7% is used for non-residential buildings. Under the central seed the resulting assignment gives 3,110,951 buildings (24.1% of the processed inventory) a basement.</w:t>
      </w:r>
    </w:p>
    <w:tbl>
      <w:tblPr>
        <w:tblStyle w:val="afc"/>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4"/>
        <w:gridCol w:w="4701"/>
      </w:tblGrid>
      <w:tr w:rsidR="00B57608" w:rsidRPr="00961F99" w14:paraId="58B35C8A" w14:textId="77777777" w:rsidTr="00376A59">
        <w:trPr>
          <w:tblHeader/>
          <w:jc w:val="center"/>
        </w:trPr>
        <w:tc>
          <w:tcPr>
            <w:tcW w:w="4654" w:type="dxa"/>
          </w:tcPr>
          <w:p w14:paraId="5B47BF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Census division</w:t>
            </w:r>
          </w:p>
        </w:tc>
        <w:tc>
          <w:tcPr>
            <w:tcW w:w="4701" w:type="dxa"/>
          </w:tcPr>
          <w:p w14:paraId="6A945CA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Basement share of new construction</w:t>
            </w:r>
          </w:p>
        </w:tc>
      </w:tr>
      <w:tr w:rsidR="00B57608" w:rsidRPr="00961F99" w14:paraId="0E64559C" w14:textId="77777777" w:rsidTr="00376A59">
        <w:trPr>
          <w:jc w:val="center"/>
        </w:trPr>
        <w:tc>
          <w:tcPr>
            <w:tcW w:w="4654" w:type="dxa"/>
          </w:tcPr>
          <w:p w14:paraId="73F20D3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New England</w:t>
            </w:r>
          </w:p>
        </w:tc>
        <w:tc>
          <w:tcPr>
            <w:tcW w:w="4701" w:type="dxa"/>
          </w:tcPr>
          <w:p w14:paraId="27F21D8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0.62</w:t>
            </w:r>
          </w:p>
        </w:tc>
      </w:tr>
      <w:tr w:rsidR="00B57608" w:rsidRPr="00961F99" w14:paraId="41AE1233" w14:textId="77777777" w:rsidTr="00376A59">
        <w:trPr>
          <w:jc w:val="center"/>
        </w:trPr>
        <w:tc>
          <w:tcPr>
            <w:tcW w:w="4654" w:type="dxa"/>
          </w:tcPr>
          <w:p w14:paraId="3A34FB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Middle Atlantic</w:t>
            </w:r>
          </w:p>
        </w:tc>
        <w:tc>
          <w:tcPr>
            <w:tcW w:w="4701" w:type="dxa"/>
          </w:tcPr>
          <w:p w14:paraId="1DA799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0.48</w:t>
            </w:r>
          </w:p>
        </w:tc>
      </w:tr>
      <w:tr w:rsidR="00B57608" w:rsidRPr="00961F99" w14:paraId="04FF8E0C" w14:textId="77777777" w:rsidTr="00376A59">
        <w:trPr>
          <w:jc w:val="center"/>
        </w:trPr>
        <w:tc>
          <w:tcPr>
            <w:tcW w:w="4654" w:type="dxa"/>
          </w:tcPr>
          <w:p w14:paraId="4DFCF6F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East North Central</w:t>
            </w:r>
          </w:p>
        </w:tc>
        <w:tc>
          <w:tcPr>
            <w:tcW w:w="4701" w:type="dxa"/>
          </w:tcPr>
          <w:p w14:paraId="7C9BEDD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0.48</w:t>
            </w:r>
          </w:p>
        </w:tc>
      </w:tr>
      <w:tr w:rsidR="00B57608" w:rsidRPr="00961F99" w14:paraId="423F83A0" w14:textId="77777777" w:rsidTr="00376A59">
        <w:trPr>
          <w:jc w:val="center"/>
        </w:trPr>
        <w:tc>
          <w:tcPr>
            <w:tcW w:w="4654" w:type="dxa"/>
          </w:tcPr>
          <w:p w14:paraId="5AF9267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West North Central</w:t>
            </w:r>
          </w:p>
        </w:tc>
        <w:tc>
          <w:tcPr>
            <w:tcW w:w="4701" w:type="dxa"/>
          </w:tcPr>
          <w:p w14:paraId="2345A7B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0.64</w:t>
            </w:r>
          </w:p>
        </w:tc>
      </w:tr>
      <w:tr w:rsidR="00B57608" w:rsidRPr="00961F99" w14:paraId="78205959" w14:textId="77777777" w:rsidTr="00376A59">
        <w:trPr>
          <w:jc w:val="center"/>
        </w:trPr>
        <w:tc>
          <w:tcPr>
            <w:tcW w:w="4654" w:type="dxa"/>
          </w:tcPr>
          <w:p w14:paraId="19A965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South Atlantic</w:t>
            </w:r>
          </w:p>
        </w:tc>
        <w:tc>
          <w:tcPr>
            <w:tcW w:w="4701" w:type="dxa"/>
          </w:tcPr>
          <w:p w14:paraId="12B300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0.08</w:t>
            </w:r>
          </w:p>
        </w:tc>
      </w:tr>
      <w:tr w:rsidR="00B57608" w:rsidRPr="00961F99" w14:paraId="711636FF" w14:textId="77777777" w:rsidTr="00376A59">
        <w:trPr>
          <w:jc w:val="center"/>
        </w:trPr>
        <w:tc>
          <w:tcPr>
            <w:tcW w:w="4654" w:type="dxa"/>
          </w:tcPr>
          <w:p w14:paraId="0C10AC7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East South Central</w:t>
            </w:r>
          </w:p>
        </w:tc>
        <w:tc>
          <w:tcPr>
            <w:tcW w:w="4701" w:type="dxa"/>
          </w:tcPr>
          <w:p w14:paraId="76B3F6F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0.12</w:t>
            </w:r>
          </w:p>
        </w:tc>
      </w:tr>
      <w:tr w:rsidR="00B57608" w:rsidRPr="00961F99" w14:paraId="6EDD0CCF" w14:textId="77777777" w:rsidTr="00376A59">
        <w:trPr>
          <w:jc w:val="center"/>
        </w:trPr>
        <w:tc>
          <w:tcPr>
            <w:tcW w:w="4654" w:type="dxa"/>
          </w:tcPr>
          <w:p w14:paraId="7C48C9B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West South Central</w:t>
            </w:r>
          </w:p>
        </w:tc>
        <w:tc>
          <w:tcPr>
            <w:tcW w:w="4701" w:type="dxa"/>
          </w:tcPr>
          <w:p w14:paraId="0F70A0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0.02</w:t>
            </w:r>
          </w:p>
        </w:tc>
      </w:tr>
      <w:tr w:rsidR="00B57608" w:rsidRPr="00961F99" w14:paraId="590D1D35" w14:textId="77777777" w:rsidTr="00376A59">
        <w:trPr>
          <w:jc w:val="center"/>
        </w:trPr>
        <w:tc>
          <w:tcPr>
            <w:tcW w:w="4654" w:type="dxa"/>
          </w:tcPr>
          <w:p w14:paraId="314147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Mountain</w:t>
            </w:r>
          </w:p>
        </w:tc>
        <w:tc>
          <w:tcPr>
            <w:tcW w:w="4701" w:type="dxa"/>
          </w:tcPr>
          <w:p w14:paraId="3062CA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0.30</w:t>
            </w:r>
          </w:p>
        </w:tc>
      </w:tr>
      <w:tr w:rsidR="00B57608" w:rsidRPr="00961F99" w14:paraId="50DE4960" w14:textId="77777777" w:rsidTr="00376A59">
        <w:trPr>
          <w:jc w:val="center"/>
        </w:trPr>
        <w:tc>
          <w:tcPr>
            <w:tcW w:w="4654" w:type="dxa"/>
          </w:tcPr>
          <w:p w14:paraId="6726587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Pacific</w:t>
            </w:r>
          </w:p>
        </w:tc>
        <w:tc>
          <w:tcPr>
            <w:tcW w:w="4701" w:type="dxa"/>
          </w:tcPr>
          <w:p w14:paraId="451BA6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0.10</w:t>
            </w:r>
          </w:p>
        </w:tc>
      </w:tr>
    </w:tbl>
    <w:p w14:paraId="7AB1CBD3" w14:textId="77777777" w:rsidR="00B57608" w:rsidRPr="00961F99" w:rsidRDefault="00B57608" w:rsidP="00757EC6">
      <w:pPr>
        <w:spacing w:after="40"/>
        <w:jc w:val="both"/>
        <w:rPr>
          <w:rFonts w:asciiTheme="majorBidi" w:hAnsiTheme="majorBidi" w:cstheme="majorBidi"/>
        </w:rPr>
      </w:pPr>
    </w:p>
    <w:p w14:paraId="11E569B2"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S31 | </w:t>
      </w:r>
      <w:r w:rsidRPr="00961F99">
        <w:rPr>
          <w:rFonts w:asciiTheme="majorBidi" w:hAnsiTheme="majorBidi" w:cstheme="majorBidi"/>
          <w:sz w:val="19"/>
          <w:szCs w:val="19"/>
        </w:rPr>
        <w:t>Gaussian mixture model selection across two to six components, evaluated on a random diagnostic sample of 6,000 valid tracts with a fixed seed. Lower information criteria indicate better penalized fit and higher silhouette width indicates better-separated clusters. Neither criterion selects four components; the four-component solution is an interpretability choice, as stated in the main text and in the caption to Figure S8.</w:t>
      </w:r>
    </w:p>
    <w:tbl>
      <w:tblPr>
        <w:tblStyle w:val="afd"/>
        <w:tblW w:w="94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1930"/>
        <w:gridCol w:w="1930"/>
        <w:gridCol w:w="1930"/>
        <w:gridCol w:w="1900"/>
      </w:tblGrid>
      <w:tr w:rsidR="00B57608" w:rsidRPr="00961F99" w14:paraId="4D7CBDAF" w14:textId="77777777" w:rsidTr="00376A59">
        <w:trPr>
          <w:tblHeader/>
          <w:jc w:val="center"/>
        </w:trPr>
        <w:tc>
          <w:tcPr>
            <w:tcW w:w="1755" w:type="dxa"/>
          </w:tcPr>
          <w:p w14:paraId="291497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Number of components, k</w:t>
            </w:r>
          </w:p>
        </w:tc>
        <w:tc>
          <w:tcPr>
            <w:tcW w:w="1930" w:type="dxa"/>
          </w:tcPr>
          <w:p w14:paraId="1613276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Bayesian information criterion</w:t>
            </w:r>
          </w:p>
        </w:tc>
        <w:tc>
          <w:tcPr>
            <w:tcW w:w="1930" w:type="dxa"/>
          </w:tcPr>
          <w:p w14:paraId="77DC12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Akaike information criterion</w:t>
            </w:r>
          </w:p>
        </w:tc>
        <w:tc>
          <w:tcPr>
            <w:tcW w:w="1930" w:type="dxa"/>
          </w:tcPr>
          <w:p w14:paraId="50CA47F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Mean silhouette width</w:t>
            </w:r>
          </w:p>
        </w:tc>
        <w:tc>
          <w:tcPr>
            <w:tcW w:w="1900" w:type="dxa"/>
          </w:tcPr>
          <w:p w14:paraId="7B38CF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7"/>
                <w:szCs w:val="17"/>
              </w:rPr>
              <w:t>Converged</w:t>
            </w:r>
          </w:p>
        </w:tc>
      </w:tr>
      <w:tr w:rsidR="00B57608" w:rsidRPr="00961F99" w14:paraId="6F554687" w14:textId="77777777" w:rsidTr="00376A59">
        <w:trPr>
          <w:jc w:val="center"/>
        </w:trPr>
        <w:tc>
          <w:tcPr>
            <w:tcW w:w="1755" w:type="dxa"/>
          </w:tcPr>
          <w:p w14:paraId="4585C3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w:t>
            </w:r>
          </w:p>
        </w:tc>
        <w:tc>
          <w:tcPr>
            <w:tcW w:w="1930" w:type="dxa"/>
          </w:tcPr>
          <w:p w14:paraId="37A2744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-13,460.1</w:t>
            </w:r>
          </w:p>
        </w:tc>
        <w:tc>
          <w:tcPr>
            <w:tcW w:w="1930" w:type="dxa"/>
          </w:tcPr>
          <w:p w14:paraId="6E53CC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-13,587.3</w:t>
            </w:r>
          </w:p>
        </w:tc>
        <w:tc>
          <w:tcPr>
            <w:tcW w:w="1930" w:type="dxa"/>
          </w:tcPr>
          <w:p w14:paraId="1FC78C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0.148</w:t>
            </w:r>
          </w:p>
        </w:tc>
        <w:tc>
          <w:tcPr>
            <w:tcW w:w="1900" w:type="dxa"/>
          </w:tcPr>
          <w:p w14:paraId="455F2D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Yes</w:t>
            </w:r>
          </w:p>
        </w:tc>
      </w:tr>
      <w:tr w:rsidR="00B57608" w:rsidRPr="00961F99" w14:paraId="40F95D3B" w14:textId="77777777" w:rsidTr="00376A59">
        <w:trPr>
          <w:jc w:val="center"/>
        </w:trPr>
        <w:tc>
          <w:tcPr>
            <w:tcW w:w="1755" w:type="dxa"/>
          </w:tcPr>
          <w:p w14:paraId="357F9CC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3</w:t>
            </w:r>
          </w:p>
        </w:tc>
        <w:tc>
          <w:tcPr>
            <w:tcW w:w="1930" w:type="dxa"/>
          </w:tcPr>
          <w:p w14:paraId="7BAF7D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-16,623.6</w:t>
            </w:r>
          </w:p>
        </w:tc>
        <w:tc>
          <w:tcPr>
            <w:tcW w:w="1930" w:type="dxa"/>
          </w:tcPr>
          <w:p w14:paraId="165F285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-16,817.9</w:t>
            </w:r>
          </w:p>
        </w:tc>
        <w:tc>
          <w:tcPr>
            <w:tcW w:w="1930" w:type="dxa"/>
          </w:tcPr>
          <w:p w14:paraId="5B9C2A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0.177</w:t>
            </w:r>
          </w:p>
        </w:tc>
        <w:tc>
          <w:tcPr>
            <w:tcW w:w="1900" w:type="dxa"/>
          </w:tcPr>
          <w:p w14:paraId="11067D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Yes</w:t>
            </w:r>
          </w:p>
        </w:tc>
      </w:tr>
      <w:tr w:rsidR="00B57608" w:rsidRPr="00961F99" w14:paraId="713F24CB" w14:textId="77777777" w:rsidTr="00376A59">
        <w:trPr>
          <w:jc w:val="center"/>
        </w:trPr>
        <w:tc>
          <w:tcPr>
            <w:tcW w:w="1755" w:type="dxa"/>
          </w:tcPr>
          <w:p w14:paraId="397A68A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4</w:t>
            </w:r>
          </w:p>
        </w:tc>
        <w:tc>
          <w:tcPr>
            <w:tcW w:w="1930" w:type="dxa"/>
          </w:tcPr>
          <w:p w14:paraId="280E1F7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-19,335.8</w:t>
            </w:r>
          </w:p>
        </w:tc>
        <w:tc>
          <w:tcPr>
            <w:tcW w:w="1930" w:type="dxa"/>
          </w:tcPr>
          <w:p w14:paraId="40DB07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-19,597.1</w:t>
            </w:r>
          </w:p>
        </w:tc>
        <w:tc>
          <w:tcPr>
            <w:tcW w:w="1930" w:type="dxa"/>
          </w:tcPr>
          <w:p w14:paraId="2DBCAF5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0.117</w:t>
            </w:r>
          </w:p>
        </w:tc>
        <w:tc>
          <w:tcPr>
            <w:tcW w:w="1900" w:type="dxa"/>
          </w:tcPr>
          <w:p w14:paraId="3A9E982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Yes</w:t>
            </w:r>
          </w:p>
        </w:tc>
      </w:tr>
      <w:tr w:rsidR="00B57608" w:rsidRPr="00961F99" w14:paraId="74269AA5" w14:textId="77777777" w:rsidTr="00376A59">
        <w:trPr>
          <w:jc w:val="center"/>
        </w:trPr>
        <w:tc>
          <w:tcPr>
            <w:tcW w:w="1755" w:type="dxa"/>
          </w:tcPr>
          <w:p w14:paraId="1E7374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5</w:t>
            </w:r>
          </w:p>
        </w:tc>
        <w:tc>
          <w:tcPr>
            <w:tcW w:w="1930" w:type="dxa"/>
          </w:tcPr>
          <w:p w14:paraId="4E5412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-21,396.0</w:t>
            </w:r>
          </w:p>
        </w:tc>
        <w:tc>
          <w:tcPr>
            <w:tcW w:w="1930" w:type="dxa"/>
          </w:tcPr>
          <w:p w14:paraId="0A5187B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-21,724.3</w:t>
            </w:r>
          </w:p>
        </w:tc>
        <w:tc>
          <w:tcPr>
            <w:tcW w:w="1930" w:type="dxa"/>
          </w:tcPr>
          <w:p w14:paraId="74CFB8E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0.141</w:t>
            </w:r>
          </w:p>
        </w:tc>
        <w:tc>
          <w:tcPr>
            <w:tcW w:w="1900" w:type="dxa"/>
          </w:tcPr>
          <w:p w14:paraId="5FF5CF8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Yes</w:t>
            </w:r>
          </w:p>
        </w:tc>
      </w:tr>
      <w:tr w:rsidR="00B57608" w:rsidRPr="00961F99" w14:paraId="5854F6F3" w14:textId="77777777" w:rsidTr="00376A59">
        <w:trPr>
          <w:jc w:val="center"/>
        </w:trPr>
        <w:tc>
          <w:tcPr>
            <w:tcW w:w="1755" w:type="dxa"/>
          </w:tcPr>
          <w:p w14:paraId="0807A5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6</w:t>
            </w:r>
          </w:p>
        </w:tc>
        <w:tc>
          <w:tcPr>
            <w:tcW w:w="1930" w:type="dxa"/>
          </w:tcPr>
          <w:p w14:paraId="286F844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-20,901.1</w:t>
            </w:r>
          </w:p>
        </w:tc>
        <w:tc>
          <w:tcPr>
            <w:tcW w:w="1930" w:type="dxa"/>
          </w:tcPr>
          <w:p w14:paraId="59319D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-21,296.4</w:t>
            </w:r>
          </w:p>
        </w:tc>
        <w:tc>
          <w:tcPr>
            <w:tcW w:w="1930" w:type="dxa"/>
          </w:tcPr>
          <w:p w14:paraId="5F85B2D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0.042</w:t>
            </w:r>
          </w:p>
        </w:tc>
        <w:tc>
          <w:tcPr>
            <w:tcW w:w="1900" w:type="dxa"/>
          </w:tcPr>
          <w:p w14:paraId="272BD9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7"/>
                <w:szCs w:val="17"/>
              </w:rPr>
              <w:t>Yes</w:t>
            </w:r>
          </w:p>
        </w:tc>
      </w:tr>
    </w:tbl>
    <w:p w14:paraId="4E92A08B" w14:textId="77777777" w:rsidR="00B57608" w:rsidRPr="00961F99" w:rsidRDefault="00B57608" w:rsidP="00757EC6">
      <w:pPr>
        <w:spacing w:after="40"/>
        <w:jc w:val="both"/>
        <w:rPr>
          <w:rFonts w:asciiTheme="majorBidi" w:hAnsiTheme="majorBidi" w:cstheme="majorBidi"/>
        </w:rPr>
      </w:pPr>
    </w:p>
    <w:p w14:paraId="6A25CD49" w14:textId="77777777" w:rsidR="00B57608" w:rsidRPr="00961F99" w:rsidRDefault="003B27C7" w:rsidP="00757EC6">
      <w:pPr>
        <w:keepNext/>
        <w:keepLines/>
        <w:spacing w:before="80" w:after="200"/>
        <w:jc w:val="both"/>
        <w:rPr>
          <w:rFonts w:asciiTheme="majorBidi" w:hAnsiTheme="majorBidi" w:cstheme="majorBidi"/>
        </w:rPr>
      </w:pPr>
      <w:r w:rsidRPr="00961F99">
        <w:rPr>
          <w:rFonts w:asciiTheme="majorBidi" w:hAnsiTheme="majorBidi" w:cstheme="majorBidi"/>
          <w:b/>
          <w:bCs/>
          <w:sz w:val="19"/>
          <w:szCs w:val="19"/>
        </w:rPr>
        <w:t xml:space="preserve">Supplementary Table S32 | </w:t>
      </w:r>
      <w:r w:rsidRPr="00961F99">
        <w:rPr>
          <w:rFonts w:asciiTheme="majorBidi" w:hAnsiTheme="majorBidi" w:cstheme="majorBidi"/>
          <w:sz w:val="19"/>
          <w:szCs w:val="19"/>
        </w:rPr>
        <w:t>State-level composition of written policy cost and coverage, showing the two ratios that convert allocated written policy cost into the building-coverage risk-premium base. The first 25 states are shown; the complete table is provided in the Supplementary Data.</w:t>
      </w:r>
    </w:p>
    <w:tbl>
      <w:tblPr>
        <w:tblStyle w:val="afe"/>
        <w:tblW w:w="93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1378"/>
        <w:gridCol w:w="1378"/>
        <w:gridCol w:w="1378"/>
        <w:gridCol w:w="1378"/>
        <w:gridCol w:w="1378"/>
        <w:gridCol w:w="1378"/>
      </w:tblGrid>
      <w:tr w:rsidR="00B57608" w:rsidRPr="00961F99" w14:paraId="66BB8757" w14:textId="77777777" w:rsidTr="00376A59">
        <w:trPr>
          <w:tblHeader/>
          <w:jc w:val="center"/>
        </w:trPr>
        <w:tc>
          <w:tcPr>
            <w:tcW w:w="1123" w:type="dxa"/>
          </w:tcPr>
          <w:p w14:paraId="47414C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State</w:t>
            </w:r>
          </w:p>
        </w:tc>
        <w:tc>
          <w:tcPr>
            <w:tcW w:w="1378" w:type="dxa"/>
          </w:tcPr>
          <w:p w14:paraId="2F2941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Written policy cost ($M)</w:t>
            </w:r>
          </w:p>
        </w:tc>
        <w:tc>
          <w:tcPr>
            <w:tcW w:w="1378" w:type="dxa"/>
          </w:tcPr>
          <w:p w14:paraId="5CD3107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Insurance premium ($M)</w:t>
            </w:r>
          </w:p>
        </w:tc>
        <w:tc>
          <w:tcPr>
            <w:tcW w:w="1378" w:type="dxa"/>
          </w:tcPr>
          <w:p w14:paraId="282A95B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Building coverage ($B)</w:t>
            </w:r>
          </w:p>
        </w:tc>
        <w:tc>
          <w:tcPr>
            <w:tcW w:w="1378" w:type="dxa"/>
          </w:tcPr>
          <w:p w14:paraId="04BF79F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Contents coverage ($B)</w:t>
            </w:r>
          </w:p>
        </w:tc>
        <w:tc>
          <w:tcPr>
            <w:tcW w:w="1378" w:type="dxa"/>
          </w:tcPr>
          <w:p w14:paraId="40B58C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Premium share of policy cost</w:t>
            </w:r>
          </w:p>
        </w:tc>
        <w:tc>
          <w:tcPr>
            <w:tcW w:w="1378" w:type="dxa"/>
          </w:tcPr>
          <w:p w14:paraId="0FDB2F8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b/>
                <w:bCs/>
                <w:sz w:val="14"/>
                <w:szCs w:val="14"/>
              </w:rPr>
              <w:t>Building share of coverage</w:t>
            </w:r>
          </w:p>
        </w:tc>
      </w:tr>
      <w:tr w:rsidR="00B57608" w:rsidRPr="00961F99" w14:paraId="70937431" w14:textId="77777777" w:rsidTr="00376A59">
        <w:trPr>
          <w:jc w:val="center"/>
        </w:trPr>
        <w:tc>
          <w:tcPr>
            <w:tcW w:w="1123" w:type="dxa"/>
          </w:tcPr>
          <w:p w14:paraId="4343F60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AK</w:t>
            </w:r>
          </w:p>
        </w:tc>
        <w:tc>
          <w:tcPr>
            <w:tcW w:w="1378" w:type="dxa"/>
          </w:tcPr>
          <w:p w14:paraId="2141B0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42.8</w:t>
            </w:r>
          </w:p>
        </w:tc>
        <w:tc>
          <w:tcPr>
            <w:tcW w:w="1378" w:type="dxa"/>
          </w:tcPr>
          <w:p w14:paraId="700AB55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35.0</w:t>
            </w:r>
          </w:p>
        </w:tc>
        <w:tc>
          <w:tcPr>
            <w:tcW w:w="1378" w:type="dxa"/>
          </w:tcPr>
          <w:p w14:paraId="65DB984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10.11</w:t>
            </w:r>
          </w:p>
        </w:tc>
        <w:tc>
          <w:tcPr>
            <w:tcW w:w="1378" w:type="dxa"/>
          </w:tcPr>
          <w:p w14:paraId="346ED01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1.97</w:t>
            </w:r>
          </w:p>
        </w:tc>
        <w:tc>
          <w:tcPr>
            <w:tcW w:w="1378" w:type="dxa"/>
          </w:tcPr>
          <w:p w14:paraId="1A32B1F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0.8176</w:t>
            </w:r>
          </w:p>
        </w:tc>
        <w:tc>
          <w:tcPr>
            <w:tcW w:w="1378" w:type="dxa"/>
          </w:tcPr>
          <w:p w14:paraId="25E22AD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0.8370</w:t>
            </w:r>
          </w:p>
        </w:tc>
      </w:tr>
      <w:tr w:rsidR="00B57608" w:rsidRPr="00961F99" w14:paraId="486A1039" w14:textId="77777777" w:rsidTr="00376A59">
        <w:trPr>
          <w:jc w:val="center"/>
        </w:trPr>
        <w:tc>
          <w:tcPr>
            <w:tcW w:w="1123" w:type="dxa"/>
          </w:tcPr>
          <w:p w14:paraId="63DD6B1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AL</w:t>
            </w:r>
          </w:p>
        </w:tc>
        <w:tc>
          <w:tcPr>
            <w:tcW w:w="1378" w:type="dxa"/>
          </w:tcPr>
          <w:p w14:paraId="4061615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723.6</w:t>
            </w:r>
          </w:p>
        </w:tc>
        <w:tc>
          <w:tcPr>
            <w:tcW w:w="1378" w:type="dxa"/>
          </w:tcPr>
          <w:p w14:paraId="72E00B3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588.2</w:t>
            </w:r>
          </w:p>
        </w:tc>
        <w:tc>
          <w:tcPr>
            <w:tcW w:w="1378" w:type="dxa"/>
          </w:tcPr>
          <w:p w14:paraId="181C0B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175.36</w:t>
            </w:r>
          </w:p>
        </w:tc>
        <w:tc>
          <w:tcPr>
            <w:tcW w:w="1378" w:type="dxa"/>
          </w:tcPr>
          <w:p w14:paraId="06F9216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34.79</w:t>
            </w:r>
          </w:p>
        </w:tc>
        <w:tc>
          <w:tcPr>
            <w:tcW w:w="1378" w:type="dxa"/>
          </w:tcPr>
          <w:p w14:paraId="1E83245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0.8129</w:t>
            </w:r>
          </w:p>
        </w:tc>
        <w:tc>
          <w:tcPr>
            <w:tcW w:w="1378" w:type="dxa"/>
          </w:tcPr>
          <w:p w14:paraId="2814FE3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0.8344</w:t>
            </w:r>
          </w:p>
        </w:tc>
      </w:tr>
      <w:tr w:rsidR="00B57608" w:rsidRPr="00961F99" w14:paraId="037F4221" w14:textId="77777777" w:rsidTr="00376A59">
        <w:trPr>
          <w:jc w:val="center"/>
        </w:trPr>
        <w:tc>
          <w:tcPr>
            <w:tcW w:w="1123" w:type="dxa"/>
          </w:tcPr>
          <w:p w14:paraId="27FD3F0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AR</w:t>
            </w:r>
          </w:p>
        </w:tc>
        <w:tc>
          <w:tcPr>
            <w:tcW w:w="1378" w:type="dxa"/>
          </w:tcPr>
          <w:p w14:paraId="39681E6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253.3</w:t>
            </w:r>
          </w:p>
        </w:tc>
        <w:tc>
          <w:tcPr>
            <w:tcW w:w="1378" w:type="dxa"/>
          </w:tcPr>
          <w:p w14:paraId="6A6413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203.4</w:t>
            </w:r>
          </w:p>
        </w:tc>
        <w:tc>
          <w:tcPr>
            <w:tcW w:w="1378" w:type="dxa"/>
          </w:tcPr>
          <w:p w14:paraId="1C4C7E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40.57</w:t>
            </w:r>
          </w:p>
        </w:tc>
        <w:tc>
          <w:tcPr>
            <w:tcW w:w="1378" w:type="dxa"/>
          </w:tcPr>
          <w:p w14:paraId="3DA650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8.35</w:t>
            </w:r>
          </w:p>
        </w:tc>
        <w:tc>
          <w:tcPr>
            <w:tcW w:w="1378" w:type="dxa"/>
          </w:tcPr>
          <w:p w14:paraId="3071018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0.8032</w:t>
            </w:r>
          </w:p>
        </w:tc>
        <w:tc>
          <w:tcPr>
            <w:tcW w:w="1378" w:type="dxa"/>
          </w:tcPr>
          <w:p w14:paraId="7A53FF8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0.8292</w:t>
            </w:r>
          </w:p>
        </w:tc>
      </w:tr>
      <w:tr w:rsidR="00B57608" w:rsidRPr="00961F99" w14:paraId="739A19EB" w14:textId="77777777" w:rsidTr="00376A59">
        <w:trPr>
          <w:jc w:val="center"/>
        </w:trPr>
        <w:tc>
          <w:tcPr>
            <w:tcW w:w="1123" w:type="dxa"/>
          </w:tcPr>
          <w:p w14:paraId="44189C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AZ</w:t>
            </w:r>
          </w:p>
        </w:tc>
        <w:tc>
          <w:tcPr>
            <w:tcW w:w="1378" w:type="dxa"/>
          </w:tcPr>
          <w:p w14:paraId="7F2BEF9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407.2</w:t>
            </w:r>
          </w:p>
        </w:tc>
        <w:tc>
          <w:tcPr>
            <w:tcW w:w="1378" w:type="dxa"/>
          </w:tcPr>
          <w:p w14:paraId="5393691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326.1</w:t>
            </w:r>
          </w:p>
        </w:tc>
        <w:tc>
          <w:tcPr>
            <w:tcW w:w="1378" w:type="dxa"/>
          </w:tcPr>
          <w:p w14:paraId="5934881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108.36</w:t>
            </w:r>
          </w:p>
        </w:tc>
        <w:tc>
          <w:tcPr>
            <w:tcW w:w="1378" w:type="dxa"/>
          </w:tcPr>
          <w:p w14:paraId="4F553B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20.34</w:t>
            </w:r>
          </w:p>
        </w:tc>
        <w:tc>
          <w:tcPr>
            <w:tcW w:w="1378" w:type="dxa"/>
          </w:tcPr>
          <w:p w14:paraId="13D7E42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0.8009</w:t>
            </w:r>
          </w:p>
        </w:tc>
        <w:tc>
          <w:tcPr>
            <w:tcW w:w="1378" w:type="dxa"/>
          </w:tcPr>
          <w:p w14:paraId="5C59944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0.8420</w:t>
            </w:r>
          </w:p>
        </w:tc>
      </w:tr>
      <w:tr w:rsidR="00B57608" w:rsidRPr="00961F99" w14:paraId="17719D84" w14:textId="77777777" w:rsidTr="00376A59">
        <w:trPr>
          <w:jc w:val="center"/>
        </w:trPr>
        <w:tc>
          <w:tcPr>
            <w:tcW w:w="1123" w:type="dxa"/>
          </w:tcPr>
          <w:p w14:paraId="79E13A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CA</w:t>
            </w:r>
          </w:p>
        </w:tc>
        <w:tc>
          <w:tcPr>
            <w:tcW w:w="1378" w:type="dxa"/>
          </w:tcPr>
          <w:p w14:paraId="507D75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3,728.4</w:t>
            </w:r>
          </w:p>
        </w:tc>
        <w:tc>
          <w:tcPr>
            <w:tcW w:w="1378" w:type="dxa"/>
          </w:tcPr>
          <w:p w14:paraId="77FF085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3,074.3</w:t>
            </w:r>
          </w:p>
        </w:tc>
        <w:tc>
          <w:tcPr>
            <w:tcW w:w="1378" w:type="dxa"/>
          </w:tcPr>
          <w:p w14:paraId="0DF110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900.09</w:t>
            </w:r>
          </w:p>
        </w:tc>
        <w:tc>
          <w:tcPr>
            <w:tcW w:w="1378" w:type="dxa"/>
          </w:tcPr>
          <w:p w14:paraId="7409959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203.08</w:t>
            </w:r>
          </w:p>
        </w:tc>
        <w:tc>
          <w:tcPr>
            <w:tcW w:w="1378" w:type="dxa"/>
          </w:tcPr>
          <w:p w14:paraId="2EBD4F2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0.8246</w:t>
            </w:r>
          </w:p>
        </w:tc>
        <w:tc>
          <w:tcPr>
            <w:tcW w:w="1378" w:type="dxa"/>
          </w:tcPr>
          <w:p w14:paraId="2F9237C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0.8159</w:t>
            </w:r>
          </w:p>
        </w:tc>
      </w:tr>
      <w:tr w:rsidR="00B57608" w:rsidRPr="00961F99" w14:paraId="44926781" w14:textId="77777777" w:rsidTr="00376A59">
        <w:trPr>
          <w:jc w:val="center"/>
        </w:trPr>
        <w:tc>
          <w:tcPr>
            <w:tcW w:w="1123" w:type="dxa"/>
          </w:tcPr>
          <w:p w14:paraId="7CB47F7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CO</w:t>
            </w:r>
          </w:p>
        </w:tc>
        <w:tc>
          <w:tcPr>
            <w:tcW w:w="1378" w:type="dxa"/>
          </w:tcPr>
          <w:p w14:paraId="338B8A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332.5</w:t>
            </w:r>
          </w:p>
        </w:tc>
        <w:tc>
          <w:tcPr>
            <w:tcW w:w="1378" w:type="dxa"/>
          </w:tcPr>
          <w:p w14:paraId="0B40707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272.7</w:t>
            </w:r>
          </w:p>
        </w:tc>
        <w:tc>
          <w:tcPr>
            <w:tcW w:w="1378" w:type="dxa"/>
          </w:tcPr>
          <w:p w14:paraId="4227145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70.20</w:t>
            </w:r>
          </w:p>
        </w:tc>
        <w:tc>
          <w:tcPr>
            <w:tcW w:w="1378" w:type="dxa"/>
          </w:tcPr>
          <w:p w14:paraId="7045282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16.16</w:t>
            </w:r>
          </w:p>
        </w:tc>
        <w:tc>
          <w:tcPr>
            <w:tcW w:w="1378" w:type="dxa"/>
          </w:tcPr>
          <w:p w14:paraId="282217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0.8202</w:t>
            </w:r>
          </w:p>
        </w:tc>
        <w:tc>
          <w:tcPr>
            <w:tcW w:w="1378" w:type="dxa"/>
          </w:tcPr>
          <w:p w14:paraId="3ED9CC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0.8128</w:t>
            </w:r>
          </w:p>
        </w:tc>
      </w:tr>
      <w:tr w:rsidR="00B57608" w:rsidRPr="00961F99" w14:paraId="2C419DCA" w14:textId="77777777" w:rsidTr="00376A59">
        <w:trPr>
          <w:jc w:val="center"/>
        </w:trPr>
        <w:tc>
          <w:tcPr>
            <w:tcW w:w="1123" w:type="dxa"/>
          </w:tcPr>
          <w:p w14:paraId="3F999EF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CT</w:t>
            </w:r>
          </w:p>
        </w:tc>
        <w:tc>
          <w:tcPr>
            <w:tcW w:w="1378" w:type="dxa"/>
          </w:tcPr>
          <w:p w14:paraId="0373970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914.9</w:t>
            </w:r>
          </w:p>
        </w:tc>
        <w:tc>
          <w:tcPr>
            <w:tcW w:w="1378" w:type="dxa"/>
          </w:tcPr>
          <w:p w14:paraId="047513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777.2</w:t>
            </w:r>
          </w:p>
        </w:tc>
        <w:tc>
          <w:tcPr>
            <w:tcW w:w="1378" w:type="dxa"/>
          </w:tcPr>
          <w:p w14:paraId="1A7BCA5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133.19</w:t>
            </w:r>
          </w:p>
        </w:tc>
        <w:tc>
          <w:tcPr>
            <w:tcW w:w="1378" w:type="dxa"/>
          </w:tcPr>
          <w:p w14:paraId="1A0D1A7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23.14</w:t>
            </w:r>
          </w:p>
        </w:tc>
        <w:tc>
          <w:tcPr>
            <w:tcW w:w="1378" w:type="dxa"/>
          </w:tcPr>
          <w:p w14:paraId="03BDBC1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0.8495</w:t>
            </w:r>
          </w:p>
        </w:tc>
        <w:tc>
          <w:tcPr>
            <w:tcW w:w="1378" w:type="dxa"/>
          </w:tcPr>
          <w:p w14:paraId="20E5D5A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0.8520</w:t>
            </w:r>
          </w:p>
        </w:tc>
      </w:tr>
      <w:tr w:rsidR="00B57608" w:rsidRPr="00961F99" w14:paraId="2C8EB4D2" w14:textId="77777777" w:rsidTr="00376A59">
        <w:trPr>
          <w:jc w:val="center"/>
        </w:trPr>
        <w:tc>
          <w:tcPr>
            <w:tcW w:w="1123" w:type="dxa"/>
          </w:tcPr>
          <w:p w14:paraId="6C4F247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DC</w:t>
            </w:r>
          </w:p>
        </w:tc>
        <w:tc>
          <w:tcPr>
            <w:tcW w:w="1378" w:type="dxa"/>
          </w:tcPr>
          <w:p w14:paraId="33372AD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24.5</w:t>
            </w:r>
          </w:p>
        </w:tc>
        <w:tc>
          <w:tcPr>
            <w:tcW w:w="1378" w:type="dxa"/>
          </w:tcPr>
          <w:p w14:paraId="6673881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19.8</w:t>
            </w:r>
          </w:p>
        </w:tc>
        <w:tc>
          <w:tcPr>
            <w:tcW w:w="1378" w:type="dxa"/>
          </w:tcPr>
          <w:p w14:paraId="7938E29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6.10</w:t>
            </w:r>
          </w:p>
        </w:tc>
        <w:tc>
          <w:tcPr>
            <w:tcW w:w="1378" w:type="dxa"/>
          </w:tcPr>
          <w:p w14:paraId="165903C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1.78</w:t>
            </w:r>
          </w:p>
        </w:tc>
        <w:tc>
          <w:tcPr>
            <w:tcW w:w="1378" w:type="dxa"/>
          </w:tcPr>
          <w:p w14:paraId="6FF2FC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0.8073</w:t>
            </w:r>
          </w:p>
        </w:tc>
        <w:tc>
          <w:tcPr>
            <w:tcW w:w="1378" w:type="dxa"/>
          </w:tcPr>
          <w:p w14:paraId="57CE9DF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0.7736</w:t>
            </w:r>
          </w:p>
        </w:tc>
      </w:tr>
      <w:tr w:rsidR="00B57608" w:rsidRPr="00961F99" w14:paraId="74AEEF22" w14:textId="77777777" w:rsidTr="00376A59">
        <w:trPr>
          <w:jc w:val="center"/>
        </w:trPr>
        <w:tc>
          <w:tcPr>
            <w:tcW w:w="1123" w:type="dxa"/>
          </w:tcPr>
          <w:p w14:paraId="79BB969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DE</w:t>
            </w:r>
          </w:p>
        </w:tc>
        <w:tc>
          <w:tcPr>
            <w:tcW w:w="1378" w:type="dxa"/>
          </w:tcPr>
          <w:p w14:paraId="2C8CB81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376.4</w:t>
            </w:r>
          </w:p>
        </w:tc>
        <w:tc>
          <w:tcPr>
            <w:tcW w:w="1378" w:type="dxa"/>
          </w:tcPr>
          <w:p w14:paraId="2D7FC5E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297.3</w:t>
            </w:r>
          </w:p>
        </w:tc>
        <w:tc>
          <w:tcPr>
            <w:tcW w:w="1378" w:type="dxa"/>
          </w:tcPr>
          <w:p w14:paraId="19D78CC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96.20</w:t>
            </w:r>
          </w:p>
        </w:tc>
        <w:tc>
          <w:tcPr>
            <w:tcW w:w="1378" w:type="dxa"/>
          </w:tcPr>
          <w:p w14:paraId="7D3F822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18.70</w:t>
            </w:r>
          </w:p>
        </w:tc>
        <w:tc>
          <w:tcPr>
            <w:tcW w:w="1378" w:type="dxa"/>
          </w:tcPr>
          <w:p w14:paraId="0872162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0.7899</w:t>
            </w:r>
          </w:p>
        </w:tc>
        <w:tc>
          <w:tcPr>
            <w:tcW w:w="1378" w:type="dxa"/>
          </w:tcPr>
          <w:p w14:paraId="1BC877F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0.8372</w:t>
            </w:r>
          </w:p>
        </w:tc>
      </w:tr>
      <w:tr w:rsidR="00B57608" w:rsidRPr="00961F99" w14:paraId="56BB6EFF" w14:textId="77777777" w:rsidTr="00376A59">
        <w:trPr>
          <w:jc w:val="center"/>
        </w:trPr>
        <w:tc>
          <w:tcPr>
            <w:tcW w:w="1123" w:type="dxa"/>
          </w:tcPr>
          <w:p w14:paraId="7618D2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FL</w:t>
            </w:r>
          </w:p>
        </w:tc>
        <w:tc>
          <w:tcPr>
            <w:tcW w:w="1378" w:type="dxa"/>
          </w:tcPr>
          <w:p w14:paraId="3145E40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20,768.7</w:t>
            </w:r>
          </w:p>
        </w:tc>
        <w:tc>
          <w:tcPr>
            <w:tcW w:w="1378" w:type="dxa"/>
          </w:tcPr>
          <w:p w14:paraId="614A664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16,876.3</w:t>
            </w:r>
          </w:p>
        </w:tc>
        <w:tc>
          <w:tcPr>
            <w:tcW w:w="1378" w:type="dxa"/>
          </w:tcPr>
          <w:p w14:paraId="7E422A9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6,391.06</w:t>
            </w:r>
          </w:p>
        </w:tc>
        <w:tc>
          <w:tcPr>
            <w:tcW w:w="1378" w:type="dxa"/>
          </w:tcPr>
          <w:p w14:paraId="4B691F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1,284.91</w:t>
            </w:r>
          </w:p>
        </w:tc>
        <w:tc>
          <w:tcPr>
            <w:tcW w:w="1378" w:type="dxa"/>
          </w:tcPr>
          <w:p w14:paraId="1AD720B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0.8126</w:t>
            </w:r>
          </w:p>
        </w:tc>
        <w:tc>
          <w:tcPr>
            <w:tcW w:w="1378" w:type="dxa"/>
          </w:tcPr>
          <w:p w14:paraId="4A0FAF0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0.8326</w:t>
            </w:r>
          </w:p>
        </w:tc>
      </w:tr>
      <w:tr w:rsidR="00B57608" w:rsidRPr="00961F99" w14:paraId="1EBA8B40" w14:textId="77777777" w:rsidTr="00376A59">
        <w:trPr>
          <w:jc w:val="center"/>
        </w:trPr>
        <w:tc>
          <w:tcPr>
            <w:tcW w:w="1123" w:type="dxa"/>
          </w:tcPr>
          <w:p w14:paraId="6F9E0E5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GA</w:t>
            </w:r>
          </w:p>
        </w:tc>
        <w:tc>
          <w:tcPr>
            <w:tcW w:w="1378" w:type="dxa"/>
          </w:tcPr>
          <w:p w14:paraId="1D991A6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1,213.3</w:t>
            </w:r>
          </w:p>
        </w:tc>
        <w:tc>
          <w:tcPr>
            <w:tcW w:w="1378" w:type="dxa"/>
          </w:tcPr>
          <w:p w14:paraId="1597234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991.8</w:t>
            </w:r>
          </w:p>
        </w:tc>
        <w:tc>
          <w:tcPr>
            <w:tcW w:w="1378" w:type="dxa"/>
          </w:tcPr>
          <w:p w14:paraId="6230712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301.66</w:t>
            </w:r>
          </w:p>
        </w:tc>
        <w:tc>
          <w:tcPr>
            <w:tcW w:w="1378" w:type="dxa"/>
          </w:tcPr>
          <w:p w14:paraId="77716D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83.48</w:t>
            </w:r>
          </w:p>
        </w:tc>
        <w:tc>
          <w:tcPr>
            <w:tcW w:w="1378" w:type="dxa"/>
          </w:tcPr>
          <w:p w14:paraId="55934D5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0.8174</w:t>
            </w:r>
          </w:p>
        </w:tc>
        <w:tc>
          <w:tcPr>
            <w:tcW w:w="1378" w:type="dxa"/>
          </w:tcPr>
          <w:p w14:paraId="0F0A71C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0.7832</w:t>
            </w:r>
          </w:p>
        </w:tc>
      </w:tr>
      <w:tr w:rsidR="00B57608" w:rsidRPr="00961F99" w14:paraId="3314435B" w14:textId="77777777" w:rsidTr="00376A59">
        <w:trPr>
          <w:jc w:val="center"/>
        </w:trPr>
        <w:tc>
          <w:tcPr>
            <w:tcW w:w="1123" w:type="dxa"/>
          </w:tcPr>
          <w:p w14:paraId="757CC81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GU</w:t>
            </w:r>
          </w:p>
        </w:tc>
        <w:tc>
          <w:tcPr>
            <w:tcW w:w="1378" w:type="dxa"/>
          </w:tcPr>
          <w:p w14:paraId="4F1479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7.1</w:t>
            </w:r>
          </w:p>
        </w:tc>
        <w:tc>
          <w:tcPr>
            <w:tcW w:w="1378" w:type="dxa"/>
          </w:tcPr>
          <w:p w14:paraId="5F76285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6.1</w:t>
            </w:r>
          </w:p>
        </w:tc>
        <w:tc>
          <w:tcPr>
            <w:tcW w:w="1378" w:type="dxa"/>
          </w:tcPr>
          <w:p w14:paraId="52F597C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0.68</w:t>
            </w:r>
          </w:p>
        </w:tc>
        <w:tc>
          <w:tcPr>
            <w:tcW w:w="1378" w:type="dxa"/>
          </w:tcPr>
          <w:p w14:paraId="32CC536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0.03</w:t>
            </w:r>
          </w:p>
        </w:tc>
        <w:tc>
          <w:tcPr>
            <w:tcW w:w="1378" w:type="dxa"/>
          </w:tcPr>
          <w:p w14:paraId="63A98E4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0.8592</w:t>
            </w:r>
          </w:p>
        </w:tc>
        <w:tc>
          <w:tcPr>
            <w:tcW w:w="1378" w:type="dxa"/>
          </w:tcPr>
          <w:p w14:paraId="7AC358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0.9562</w:t>
            </w:r>
          </w:p>
        </w:tc>
      </w:tr>
      <w:tr w:rsidR="00B57608" w:rsidRPr="00961F99" w14:paraId="0DD52584" w14:textId="77777777" w:rsidTr="00376A59">
        <w:trPr>
          <w:jc w:val="center"/>
        </w:trPr>
        <w:tc>
          <w:tcPr>
            <w:tcW w:w="1123" w:type="dxa"/>
          </w:tcPr>
          <w:p w14:paraId="2B68D3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HI</w:t>
            </w:r>
          </w:p>
        </w:tc>
        <w:tc>
          <w:tcPr>
            <w:tcW w:w="1378" w:type="dxa"/>
          </w:tcPr>
          <w:p w14:paraId="6F7371C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721.5</w:t>
            </w:r>
          </w:p>
        </w:tc>
        <w:tc>
          <w:tcPr>
            <w:tcW w:w="1378" w:type="dxa"/>
          </w:tcPr>
          <w:p w14:paraId="3AE0C3C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608.1</w:t>
            </w:r>
          </w:p>
        </w:tc>
        <w:tc>
          <w:tcPr>
            <w:tcW w:w="1378" w:type="dxa"/>
          </w:tcPr>
          <w:p w14:paraId="5BC34CB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215.51</w:t>
            </w:r>
          </w:p>
        </w:tc>
        <w:tc>
          <w:tcPr>
            <w:tcW w:w="1378" w:type="dxa"/>
          </w:tcPr>
          <w:p w14:paraId="6E639EE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13.34</w:t>
            </w:r>
          </w:p>
        </w:tc>
        <w:tc>
          <w:tcPr>
            <w:tcW w:w="1378" w:type="dxa"/>
          </w:tcPr>
          <w:p w14:paraId="7ED44FF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0.8428</w:t>
            </w:r>
          </w:p>
        </w:tc>
        <w:tc>
          <w:tcPr>
            <w:tcW w:w="1378" w:type="dxa"/>
          </w:tcPr>
          <w:p w14:paraId="320BE82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0.9417</w:t>
            </w:r>
          </w:p>
        </w:tc>
      </w:tr>
      <w:tr w:rsidR="00B57608" w:rsidRPr="00961F99" w14:paraId="701EF50A" w14:textId="77777777" w:rsidTr="00376A59">
        <w:trPr>
          <w:jc w:val="center"/>
        </w:trPr>
        <w:tc>
          <w:tcPr>
            <w:tcW w:w="1123" w:type="dxa"/>
          </w:tcPr>
          <w:p w14:paraId="450CDF2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IA</w:t>
            </w:r>
          </w:p>
        </w:tc>
        <w:tc>
          <w:tcPr>
            <w:tcW w:w="1378" w:type="dxa"/>
          </w:tcPr>
          <w:p w14:paraId="19DA40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252.7</w:t>
            </w:r>
          </w:p>
        </w:tc>
        <w:tc>
          <w:tcPr>
            <w:tcW w:w="1378" w:type="dxa"/>
          </w:tcPr>
          <w:p w14:paraId="64EA2E9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209.7</w:t>
            </w:r>
          </w:p>
        </w:tc>
        <w:tc>
          <w:tcPr>
            <w:tcW w:w="1378" w:type="dxa"/>
          </w:tcPr>
          <w:p w14:paraId="070A55D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35.30</w:t>
            </w:r>
          </w:p>
        </w:tc>
        <w:tc>
          <w:tcPr>
            <w:tcW w:w="1378" w:type="dxa"/>
          </w:tcPr>
          <w:p w14:paraId="328CAE3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10.18</w:t>
            </w:r>
          </w:p>
        </w:tc>
        <w:tc>
          <w:tcPr>
            <w:tcW w:w="1378" w:type="dxa"/>
          </w:tcPr>
          <w:p w14:paraId="5A035C6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0.8300</w:t>
            </w:r>
          </w:p>
        </w:tc>
        <w:tc>
          <w:tcPr>
            <w:tcW w:w="1378" w:type="dxa"/>
          </w:tcPr>
          <w:p w14:paraId="4DFCA3A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0.7761</w:t>
            </w:r>
          </w:p>
        </w:tc>
      </w:tr>
      <w:tr w:rsidR="00B57608" w:rsidRPr="00961F99" w14:paraId="10FAE19D" w14:textId="77777777" w:rsidTr="00376A59">
        <w:trPr>
          <w:jc w:val="center"/>
        </w:trPr>
        <w:tc>
          <w:tcPr>
            <w:tcW w:w="1123" w:type="dxa"/>
          </w:tcPr>
          <w:p w14:paraId="6EAB6363"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ID</w:t>
            </w:r>
          </w:p>
        </w:tc>
        <w:tc>
          <w:tcPr>
            <w:tcW w:w="1378" w:type="dxa"/>
          </w:tcPr>
          <w:p w14:paraId="4010B66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93.3</w:t>
            </w:r>
          </w:p>
        </w:tc>
        <w:tc>
          <w:tcPr>
            <w:tcW w:w="1378" w:type="dxa"/>
          </w:tcPr>
          <w:p w14:paraId="5C31E3A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75.7</w:t>
            </w:r>
          </w:p>
        </w:tc>
        <w:tc>
          <w:tcPr>
            <w:tcW w:w="1378" w:type="dxa"/>
          </w:tcPr>
          <w:p w14:paraId="00F883C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21.85</w:t>
            </w:r>
          </w:p>
        </w:tc>
        <w:tc>
          <w:tcPr>
            <w:tcW w:w="1378" w:type="dxa"/>
          </w:tcPr>
          <w:p w14:paraId="58E301B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4.96</w:t>
            </w:r>
          </w:p>
        </w:tc>
        <w:tc>
          <w:tcPr>
            <w:tcW w:w="1378" w:type="dxa"/>
          </w:tcPr>
          <w:p w14:paraId="17C4ABD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0.8116</w:t>
            </w:r>
          </w:p>
        </w:tc>
        <w:tc>
          <w:tcPr>
            <w:tcW w:w="1378" w:type="dxa"/>
          </w:tcPr>
          <w:p w14:paraId="6F00E91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0.8149</w:t>
            </w:r>
          </w:p>
        </w:tc>
      </w:tr>
      <w:tr w:rsidR="00B57608" w:rsidRPr="00961F99" w14:paraId="3F559BD8" w14:textId="77777777" w:rsidTr="00376A59">
        <w:trPr>
          <w:jc w:val="center"/>
        </w:trPr>
        <w:tc>
          <w:tcPr>
            <w:tcW w:w="1123" w:type="dxa"/>
          </w:tcPr>
          <w:p w14:paraId="03ADF7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IL</w:t>
            </w:r>
          </w:p>
        </w:tc>
        <w:tc>
          <w:tcPr>
            <w:tcW w:w="1378" w:type="dxa"/>
          </w:tcPr>
          <w:p w14:paraId="4408ADB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751.3</w:t>
            </w:r>
          </w:p>
        </w:tc>
        <w:tc>
          <w:tcPr>
            <w:tcW w:w="1378" w:type="dxa"/>
          </w:tcPr>
          <w:p w14:paraId="1BFE41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633.2</w:t>
            </w:r>
          </w:p>
        </w:tc>
        <w:tc>
          <w:tcPr>
            <w:tcW w:w="1378" w:type="dxa"/>
          </w:tcPr>
          <w:p w14:paraId="041BA9F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113.66</w:t>
            </w:r>
          </w:p>
        </w:tc>
        <w:tc>
          <w:tcPr>
            <w:tcW w:w="1378" w:type="dxa"/>
          </w:tcPr>
          <w:p w14:paraId="3454732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21.32</w:t>
            </w:r>
          </w:p>
        </w:tc>
        <w:tc>
          <w:tcPr>
            <w:tcW w:w="1378" w:type="dxa"/>
          </w:tcPr>
          <w:p w14:paraId="26D158E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0.8428</w:t>
            </w:r>
          </w:p>
        </w:tc>
        <w:tc>
          <w:tcPr>
            <w:tcW w:w="1378" w:type="dxa"/>
          </w:tcPr>
          <w:p w14:paraId="484CA4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0.8421</w:t>
            </w:r>
          </w:p>
        </w:tc>
      </w:tr>
      <w:tr w:rsidR="00B57608" w:rsidRPr="00961F99" w14:paraId="12D1BDC9" w14:textId="77777777" w:rsidTr="00376A59">
        <w:trPr>
          <w:jc w:val="center"/>
        </w:trPr>
        <w:tc>
          <w:tcPr>
            <w:tcW w:w="1123" w:type="dxa"/>
          </w:tcPr>
          <w:p w14:paraId="52488D0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IN</w:t>
            </w:r>
          </w:p>
        </w:tc>
        <w:tc>
          <w:tcPr>
            <w:tcW w:w="1378" w:type="dxa"/>
          </w:tcPr>
          <w:p w14:paraId="4456298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425.3</w:t>
            </w:r>
          </w:p>
        </w:tc>
        <w:tc>
          <w:tcPr>
            <w:tcW w:w="1378" w:type="dxa"/>
          </w:tcPr>
          <w:p w14:paraId="38848C9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357.3</w:t>
            </w:r>
          </w:p>
        </w:tc>
        <w:tc>
          <w:tcPr>
            <w:tcW w:w="1378" w:type="dxa"/>
          </w:tcPr>
          <w:p w14:paraId="5012678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63.60</w:t>
            </w:r>
          </w:p>
        </w:tc>
        <w:tc>
          <w:tcPr>
            <w:tcW w:w="1378" w:type="dxa"/>
          </w:tcPr>
          <w:p w14:paraId="6D1B7F3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13.70</w:t>
            </w:r>
          </w:p>
        </w:tc>
        <w:tc>
          <w:tcPr>
            <w:tcW w:w="1378" w:type="dxa"/>
          </w:tcPr>
          <w:p w14:paraId="52ED1A0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0.8400</w:t>
            </w:r>
          </w:p>
        </w:tc>
        <w:tc>
          <w:tcPr>
            <w:tcW w:w="1378" w:type="dxa"/>
          </w:tcPr>
          <w:p w14:paraId="6D0C7AD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0.8228</w:t>
            </w:r>
          </w:p>
        </w:tc>
      </w:tr>
      <w:tr w:rsidR="00B57608" w:rsidRPr="00961F99" w14:paraId="3509486F" w14:textId="77777777" w:rsidTr="00376A59">
        <w:trPr>
          <w:jc w:val="center"/>
        </w:trPr>
        <w:tc>
          <w:tcPr>
            <w:tcW w:w="1123" w:type="dxa"/>
          </w:tcPr>
          <w:p w14:paraId="136A91A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KS</w:t>
            </w:r>
          </w:p>
        </w:tc>
        <w:tc>
          <w:tcPr>
            <w:tcW w:w="1378" w:type="dxa"/>
          </w:tcPr>
          <w:p w14:paraId="7A6362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166.8</w:t>
            </w:r>
          </w:p>
        </w:tc>
        <w:tc>
          <w:tcPr>
            <w:tcW w:w="1378" w:type="dxa"/>
          </w:tcPr>
          <w:p w14:paraId="51C7B63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137.7</w:t>
            </w:r>
          </w:p>
        </w:tc>
        <w:tc>
          <w:tcPr>
            <w:tcW w:w="1378" w:type="dxa"/>
          </w:tcPr>
          <w:p w14:paraId="75A6992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25.17</w:t>
            </w:r>
          </w:p>
        </w:tc>
        <w:tc>
          <w:tcPr>
            <w:tcW w:w="1378" w:type="dxa"/>
          </w:tcPr>
          <w:p w14:paraId="134F1F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6.96</w:t>
            </w:r>
          </w:p>
        </w:tc>
        <w:tc>
          <w:tcPr>
            <w:tcW w:w="1378" w:type="dxa"/>
          </w:tcPr>
          <w:p w14:paraId="5D7753C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0.8257</w:t>
            </w:r>
          </w:p>
        </w:tc>
        <w:tc>
          <w:tcPr>
            <w:tcW w:w="1378" w:type="dxa"/>
          </w:tcPr>
          <w:p w14:paraId="45D5C59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0.7833</w:t>
            </w:r>
          </w:p>
        </w:tc>
      </w:tr>
      <w:tr w:rsidR="00B57608" w:rsidRPr="00961F99" w14:paraId="6073EA19" w14:textId="77777777" w:rsidTr="00376A59">
        <w:trPr>
          <w:jc w:val="center"/>
        </w:trPr>
        <w:tc>
          <w:tcPr>
            <w:tcW w:w="1123" w:type="dxa"/>
          </w:tcPr>
          <w:p w14:paraId="402C8E5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KY</w:t>
            </w:r>
          </w:p>
        </w:tc>
        <w:tc>
          <w:tcPr>
            <w:tcW w:w="1378" w:type="dxa"/>
          </w:tcPr>
          <w:p w14:paraId="085E36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389.2</w:t>
            </w:r>
          </w:p>
        </w:tc>
        <w:tc>
          <w:tcPr>
            <w:tcW w:w="1378" w:type="dxa"/>
          </w:tcPr>
          <w:p w14:paraId="216015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319.7</w:t>
            </w:r>
          </w:p>
        </w:tc>
        <w:tc>
          <w:tcPr>
            <w:tcW w:w="1378" w:type="dxa"/>
          </w:tcPr>
          <w:p w14:paraId="7E2C156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50.08</w:t>
            </w:r>
          </w:p>
        </w:tc>
        <w:tc>
          <w:tcPr>
            <w:tcW w:w="1378" w:type="dxa"/>
          </w:tcPr>
          <w:p w14:paraId="7C3E6A9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9.74</w:t>
            </w:r>
          </w:p>
        </w:tc>
        <w:tc>
          <w:tcPr>
            <w:tcW w:w="1378" w:type="dxa"/>
          </w:tcPr>
          <w:p w14:paraId="018CBA1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0.8214</w:t>
            </w:r>
          </w:p>
        </w:tc>
        <w:tc>
          <w:tcPr>
            <w:tcW w:w="1378" w:type="dxa"/>
          </w:tcPr>
          <w:p w14:paraId="0ECCC3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0.8372</w:t>
            </w:r>
          </w:p>
        </w:tc>
      </w:tr>
      <w:tr w:rsidR="00B57608" w:rsidRPr="00961F99" w14:paraId="65F6319E" w14:textId="77777777" w:rsidTr="00376A59">
        <w:trPr>
          <w:jc w:val="center"/>
        </w:trPr>
        <w:tc>
          <w:tcPr>
            <w:tcW w:w="1123" w:type="dxa"/>
          </w:tcPr>
          <w:p w14:paraId="59E8B1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LA</w:t>
            </w:r>
          </w:p>
        </w:tc>
        <w:tc>
          <w:tcPr>
            <w:tcW w:w="1378" w:type="dxa"/>
          </w:tcPr>
          <w:p w14:paraId="4EDD8B3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6,884.5</w:t>
            </w:r>
          </w:p>
        </w:tc>
        <w:tc>
          <w:tcPr>
            <w:tcW w:w="1378" w:type="dxa"/>
          </w:tcPr>
          <w:p w14:paraId="243316CD"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5,605.8</w:t>
            </w:r>
          </w:p>
        </w:tc>
        <w:tc>
          <w:tcPr>
            <w:tcW w:w="1378" w:type="dxa"/>
          </w:tcPr>
          <w:p w14:paraId="56FE6B1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1,576.50</w:t>
            </w:r>
          </w:p>
        </w:tc>
        <w:tc>
          <w:tcPr>
            <w:tcW w:w="1378" w:type="dxa"/>
          </w:tcPr>
          <w:p w14:paraId="795E7F0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484.79</w:t>
            </w:r>
          </w:p>
        </w:tc>
        <w:tc>
          <w:tcPr>
            <w:tcW w:w="1378" w:type="dxa"/>
          </w:tcPr>
          <w:p w14:paraId="393B580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0.8143</w:t>
            </w:r>
          </w:p>
        </w:tc>
        <w:tc>
          <w:tcPr>
            <w:tcW w:w="1378" w:type="dxa"/>
          </w:tcPr>
          <w:p w14:paraId="34ACD86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0.7648</w:t>
            </w:r>
          </w:p>
        </w:tc>
      </w:tr>
      <w:tr w:rsidR="00B57608" w:rsidRPr="00961F99" w14:paraId="6DE07E54" w14:textId="77777777" w:rsidTr="00376A59">
        <w:trPr>
          <w:jc w:val="center"/>
        </w:trPr>
        <w:tc>
          <w:tcPr>
            <w:tcW w:w="1123" w:type="dxa"/>
          </w:tcPr>
          <w:p w14:paraId="30DA6A9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MA</w:t>
            </w:r>
          </w:p>
        </w:tc>
        <w:tc>
          <w:tcPr>
            <w:tcW w:w="1378" w:type="dxa"/>
          </w:tcPr>
          <w:p w14:paraId="4637134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1,342.6</w:t>
            </w:r>
          </w:p>
        </w:tc>
        <w:tc>
          <w:tcPr>
            <w:tcW w:w="1378" w:type="dxa"/>
          </w:tcPr>
          <w:p w14:paraId="49EBFD3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1,124.1</w:t>
            </w:r>
          </w:p>
        </w:tc>
        <w:tc>
          <w:tcPr>
            <w:tcW w:w="1378" w:type="dxa"/>
          </w:tcPr>
          <w:p w14:paraId="7D5CE53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211.26</w:t>
            </w:r>
          </w:p>
        </w:tc>
        <w:tc>
          <w:tcPr>
            <w:tcW w:w="1378" w:type="dxa"/>
          </w:tcPr>
          <w:p w14:paraId="6FD2537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36.64</w:t>
            </w:r>
          </w:p>
        </w:tc>
        <w:tc>
          <w:tcPr>
            <w:tcW w:w="1378" w:type="dxa"/>
          </w:tcPr>
          <w:p w14:paraId="72D89FA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0.8372</w:t>
            </w:r>
          </w:p>
        </w:tc>
        <w:tc>
          <w:tcPr>
            <w:tcW w:w="1378" w:type="dxa"/>
          </w:tcPr>
          <w:p w14:paraId="7B72602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0.8522</w:t>
            </w:r>
          </w:p>
        </w:tc>
      </w:tr>
      <w:tr w:rsidR="00B57608" w:rsidRPr="00961F99" w14:paraId="1A34E31D" w14:textId="77777777" w:rsidTr="00376A59">
        <w:trPr>
          <w:jc w:val="center"/>
        </w:trPr>
        <w:tc>
          <w:tcPr>
            <w:tcW w:w="1123" w:type="dxa"/>
          </w:tcPr>
          <w:p w14:paraId="585B5094"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MD</w:t>
            </w:r>
          </w:p>
        </w:tc>
        <w:tc>
          <w:tcPr>
            <w:tcW w:w="1378" w:type="dxa"/>
          </w:tcPr>
          <w:p w14:paraId="422F258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743.2</w:t>
            </w:r>
          </w:p>
        </w:tc>
        <w:tc>
          <w:tcPr>
            <w:tcW w:w="1378" w:type="dxa"/>
          </w:tcPr>
          <w:p w14:paraId="25C00EE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598.4</w:t>
            </w:r>
          </w:p>
        </w:tc>
        <w:tc>
          <w:tcPr>
            <w:tcW w:w="1378" w:type="dxa"/>
          </w:tcPr>
          <w:p w14:paraId="5409743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227.85</w:t>
            </w:r>
          </w:p>
        </w:tc>
        <w:tc>
          <w:tcPr>
            <w:tcW w:w="1378" w:type="dxa"/>
          </w:tcPr>
          <w:p w14:paraId="09BD0F5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40.29</w:t>
            </w:r>
          </w:p>
        </w:tc>
        <w:tc>
          <w:tcPr>
            <w:tcW w:w="1378" w:type="dxa"/>
          </w:tcPr>
          <w:p w14:paraId="35026BE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0.8053</w:t>
            </w:r>
          </w:p>
        </w:tc>
        <w:tc>
          <w:tcPr>
            <w:tcW w:w="1378" w:type="dxa"/>
          </w:tcPr>
          <w:p w14:paraId="38F1401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0.8497</w:t>
            </w:r>
          </w:p>
        </w:tc>
      </w:tr>
      <w:tr w:rsidR="00B57608" w:rsidRPr="00961F99" w14:paraId="422DF7EC" w14:textId="77777777" w:rsidTr="00376A59">
        <w:trPr>
          <w:jc w:val="center"/>
        </w:trPr>
        <w:tc>
          <w:tcPr>
            <w:tcW w:w="1123" w:type="dxa"/>
          </w:tcPr>
          <w:p w14:paraId="79F995D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lastRenderedPageBreak/>
              <w:t>ME</w:t>
            </w:r>
          </w:p>
        </w:tc>
        <w:tc>
          <w:tcPr>
            <w:tcW w:w="1378" w:type="dxa"/>
          </w:tcPr>
          <w:p w14:paraId="76F55B4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176.9</w:t>
            </w:r>
          </w:p>
        </w:tc>
        <w:tc>
          <w:tcPr>
            <w:tcW w:w="1378" w:type="dxa"/>
          </w:tcPr>
          <w:p w14:paraId="3DBC73D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143.5</w:t>
            </w:r>
          </w:p>
        </w:tc>
        <w:tc>
          <w:tcPr>
            <w:tcW w:w="1378" w:type="dxa"/>
          </w:tcPr>
          <w:p w14:paraId="01B5A58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27.63</w:t>
            </w:r>
          </w:p>
        </w:tc>
        <w:tc>
          <w:tcPr>
            <w:tcW w:w="1378" w:type="dxa"/>
          </w:tcPr>
          <w:p w14:paraId="309AEC87"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6.28</w:t>
            </w:r>
          </w:p>
        </w:tc>
        <w:tc>
          <w:tcPr>
            <w:tcW w:w="1378" w:type="dxa"/>
          </w:tcPr>
          <w:p w14:paraId="4270C66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0.8113</w:t>
            </w:r>
          </w:p>
        </w:tc>
        <w:tc>
          <w:tcPr>
            <w:tcW w:w="1378" w:type="dxa"/>
          </w:tcPr>
          <w:p w14:paraId="7B77E8E1"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0.8149</w:t>
            </w:r>
          </w:p>
        </w:tc>
      </w:tr>
      <w:tr w:rsidR="00B57608" w:rsidRPr="00961F99" w14:paraId="5D8C96BB" w14:textId="77777777" w:rsidTr="00376A59">
        <w:trPr>
          <w:jc w:val="center"/>
        </w:trPr>
        <w:tc>
          <w:tcPr>
            <w:tcW w:w="1123" w:type="dxa"/>
          </w:tcPr>
          <w:p w14:paraId="788D000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MI</w:t>
            </w:r>
          </w:p>
        </w:tc>
        <w:tc>
          <w:tcPr>
            <w:tcW w:w="1378" w:type="dxa"/>
          </w:tcPr>
          <w:p w14:paraId="54482BC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397.1</w:t>
            </w:r>
          </w:p>
        </w:tc>
        <w:tc>
          <w:tcPr>
            <w:tcW w:w="1378" w:type="dxa"/>
          </w:tcPr>
          <w:p w14:paraId="6FC4FDC2"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331.4</w:t>
            </w:r>
          </w:p>
        </w:tc>
        <w:tc>
          <w:tcPr>
            <w:tcW w:w="1378" w:type="dxa"/>
          </w:tcPr>
          <w:p w14:paraId="7347F4B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61.81</w:t>
            </w:r>
          </w:p>
        </w:tc>
        <w:tc>
          <w:tcPr>
            <w:tcW w:w="1378" w:type="dxa"/>
          </w:tcPr>
          <w:p w14:paraId="2A83C010"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10.67</w:t>
            </w:r>
          </w:p>
        </w:tc>
        <w:tc>
          <w:tcPr>
            <w:tcW w:w="1378" w:type="dxa"/>
          </w:tcPr>
          <w:p w14:paraId="1B6BE67A"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0.8345</w:t>
            </w:r>
          </w:p>
        </w:tc>
        <w:tc>
          <w:tcPr>
            <w:tcW w:w="1378" w:type="dxa"/>
          </w:tcPr>
          <w:p w14:paraId="1575A6CC"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0.8528</w:t>
            </w:r>
          </w:p>
        </w:tc>
      </w:tr>
      <w:tr w:rsidR="00B57608" w:rsidRPr="00961F99" w14:paraId="0F0A8612" w14:textId="77777777" w:rsidTr="00376A59">
        <w:trPr>
          <w:jc w:val="center"/>
        </w:trPr>
        <w:tc>
          <w:tcPr>
            <w:tcW w:w="1123" w:type="dxa"/>
          </w:tcPr>
          <w:p w14:paraId="757F6DBB"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MN</w:t>
            </w:r>
          </w:p>
        </w:tc>
        <w:tc>
          <w:tcPr>
            <w:tcW w:w="1378" w:type="dxa"/>
          </w:tcPr>
          <w:p w14:paraId="34A18B0E"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166.3</w:t>
            </w:r>
          </w:p>
        </w:tc>
        <w:tc>
          <w:tcPr>
            <w:tcW w:w="1378" w:type="dxa"/>
          </w:tcPr>
          <w:p w14:paraId="3460761F"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138.9</w:t>
            </w:r>
          </w:p>
        </w:tc>
        <w:tc>
          <w:tcPr>
            <w:tcW w:w="1378" w:type="dxa"/>
          </w:tcPr>
          <w:p w14:paraId="73A05B86"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32.08</w:t>
            </w:r>
          </w:p>
        </w:tc>
        <w:tc>
          <w:tcPr>
            <w:tcW w:w="1378" w:type="dxa"/>
          </w:tcPr>
          <w:p w14:paraId="69E422D5"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9.35</w:t>
            </w:r>
          </w:p>
        </w:tc>
        <w:tc>
          <w:tcPr>
            <w:tcW w:w="1378" w:type="dxa"/>
          </w:tcPr>
          <w:p w14:paraId="701928A8"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0.8354</w:t>
            </w:r>
          </w:p>
        </w:tc>
        <w:tc>
          <w:tcPr>
            <w:tcW w:w="1378" w:type="dxa"/>
          </w:tcPr>
          <w:p w14:paraId="1039A8B9" w14:textId="77777777" w:rsidR="00B57608" w:rsidRPr="00961F99" w:rsidRDefault="003B27C7" w:rsidP="00757EC6">
            <w:pPr>
              <w:spacing w:after="20"/>
              <w:jc w:val="both"/>
              <w:rPr>
                <w:rFonts w:asciiTheme="majorBidi" w:hAnsiTheme="majorBidi" w:cstheme="majorBidi"/>
              </w:rPr>
            </w:pPr>
            <w:r w:rsidRPr="00961F99">
              <w:rPr>
                <w:rFonts w:asciiTheme="majorBidi" w:hAnsiTheme="majorBidi" w:cstheme="majorBidi"/>
                <w:sz w:val="14"/>
                <w:szCs w:val="14"/>
              </w:rPr>
              <w:t>0.7743</w:t>
            </w:r>
          </w:p>
        </w:tc>
      </w:tr>
    </w:tbl>
    <w:p w14:paraId="21C6113F" w14:textId="77777777" w:rsidR="00B57608" w:rsidRPr="00961F99" w:rsidRDefault="00B57608" w:rsidP="00757EC6">
      <w:pPr>
        <w:spacing w:after="40"/>
        <w:jc w:val="both"/>
        <w:rPr>
          <w:rFonts w:asciiTheme="majorBidi" w:hAnsiTheme="majorBidi" w:cstheme="majorBidi"/>
        </w:rPr>
      </w:pPr>
    </w:p>
    <w:p w14:paraId="469053E9" w14:textId="77777777" w:rsidR="00B57608" w:rsidRPr="00961F99" w:rsidRDefault="003B27C7" w:rsidP="00757EC6">
      <w:pPr>
        <w:pStyle w:val="Heading1"/>
        <w:spacing w:before="280" w:after="80"/>
        <w:jc w:val="both"/>
        <w:rPr>
          <w:rFonts w:asciiTheme="majorBidi" w:eastAsia="Times New Roman" w:hAnsiTheme="majorBidi" w:cstheme="majorBidi"/>
        </w:rPr>
      </w:pPr>
      <w:r w:rsidRPr="00961F99">
        <w:rPr>
          <w:rFonts w:asciiTheme="majorBidi" w:eastAsia="Times New Roman" w:hAnsiTheme="majorBidi" w:cstheme="majorBidi"/>
        </w:rPr>
        <w:t>Part F. Limitations</w:t>
      </w:r>
    </w:p>
    <w:p w14:paraId="29EFEA10"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The limitations below are grouped by where they arise in the workflow. They are stated as constraints on interpretation rather than as caveats, because several of them bound </w:t>
      </w:r>
      <w:proofErr w:type="gramStart"/>
      <w:r w:rsidRPr="00961F99">
        <w:rPr>
          <w:rFonts w:asciiTheme="majorBidi" w:hAnsiTheme="majorBidi" w:cstheme="majorBidi"/>
        </w:rPr>
        <w:t>the conclusions</w:t>
      </w:r>
      <w:proofErr w:type="gramEnd"/>
      <w:r w:rsidRPr="00961F99">
        <w:rPr>
          <w:rFonts w:asciiTheme="majorBidi" w:hAnsiTheme="majorBidi" w:cstheme="majorBidi"/>
        </w:rPr>
        <w:t xml:space="preserve"> in specific and quantified ways.</w:t>
      </w:r>
    </w:p>
    <w:p w14:paraId="73F3282C"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F1. Scope of the loss estimate</w:t>
      </w:r>
    </w:p>
    <w:p w14:paraId="5259214F"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The reconstruction is structure-only. It excludes contents, vehicles, business interruption, public infrastructure, agricultural loss and land, and it therefore cannot be compared directly with all-property or total-economic-loss assessments without the scope adjustments set out in Part C. Losses are expected annual quantities under a single present-day hazard epoch; no climate trend, exposure growth or adaptation response is modeled, so the estimates describe the current allocation of expected loss rather than its future trajectory.</w:t>
      </w:r>
    </w:p>
    <w:p w14:paraId="405FC152"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F2. Hazard representation</w:t>
      </w:r>
    </w:p>
    <w:p w14:paraId="348836AA"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The hazard fields come from a single national model. Other national models delineate the pluvial and fluvial domains differently, and in this framework rainfall-driven flooding in small headwater channels is carried partly within the pluvial layer, so the pluvial–fluvial division is model-defined rather than physical. Only four return periods are available, so the annualization interpolates the frequent-to-moderate range coarsely and does not represent events more frequent than the 5-year layer at all; this is conservative for regions whose losses concentrate in frequent, shallow flooding. The combined layer avoids double counting by taking the maximum hazard-specific depth at each return period, but it does not simulate compound or sequential flooding, so genuinely compound events are represented by their most severe single component rather than by their joint effect.</w:t>
      </w:r>
    </w:p>
    <w:p w14:paraId="68A5E35C"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F3. Exposure and vulnerability</w:t>
      </w:r>
    </w:p>
    <w:p w14:paraId="3F1024D3" w14:textId="3DFEDAAF"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Occupancy prototype, replacement value, </w:t>
      </w:r>
      <w:r w:rsidR="00673BD8" w:rsidRPr="00961F99">
        <w:rPr>
          <w:rFonts w:asciiTheme="majorBidi" w:hAnsiTheme="majorBidi" w:cstheme="majorBidi"/>
        </w:rPr>
        <w:t>story</w:t>
      </w:r>
      <w:r w:rsidRPr="00961F99">
        <w:rPr>
          <w:rFonts w:asciiTheme="majorBidi" w:hAnsiTheme="majorBidi" w:cstheme="majorBidi"/>
        </w:rPr>
        <w:t xml:space="preserve"> count and gross floor area are all inferred rather than observed, and no national ground-truth dataset exists against which the inference could be scored. The below-grade pathway contributes roughly two fifths of national expected annual loss while resting on basement prevalence inferred from a policy population selected toward insured properties in mapped zones; the exclusion row of Table S14 is the honest bound on it, and the alternative-seed row bounds only the sampling variability of the assignment, not the accuracy of the underlying prevalence. First-floor heights come from surveyed Elevation Certificates that are likewise held disproportionately by insured, post-FIRM properties in mapped flood zones, and the quartile scenarios in Table S14 are </w:t>
      </w:r>
      <w:proofErr w:type="gramStart"/>
      <w:r w:rsidRPr="00961F99">
        <w:rPr>
          <w:rFonts w:asciiTheme="majorBidi" w:hAnsiTheme="majorBidi" w:cstheme="majorBidi"/>
        </w:rPr>
        <w:t>the bound</w:t>
      </w:r>
      <w:proofErr w:type="gramEnd"/>
      <w:r w:rsidRPr="00961F99">
        <w:rPr>
          <w:rFonts w:asciiTheme="majorBidi" w:hAnsiTheme="majorBidi" w:cstheme="majorBidi"/>
        </w:rPr>
        <w:t xml:space="preserve"> on that selection.</w:t>
      </w:r>
    </w:p>
    <w:p w14:paraId="69619BC6"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F4. Insurance reconstruction</w:t>
      </w:r>
    </w:p>
    <w:p w14:paraId="60A1F510"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Building-level coverage and premium are reconstructed by allocating spatially generalized policy records to likely buildings; they are not observed parcel-level contracts. As Table S11 shows, fewer than one policy in a thousand could be placed by footprint containment and roughly three in ten were placed stochastically, </w:t>
      </w:r>
      <w:r w:rsidRPr="00961F99">
        <w:rPr>
          <w:rFonts w:asciiTheme="majorBidi" w:hAnsiTheme="majorBidi" w:cstheme="majorBidi"/>
        </w:rPr>
        <w:lastRenderedPageBreak/>
        <w:t>so the reconstruction is well constrained at tract scale and weak at the scale of any individual building. Building-level attributions should not be read as statements about identifiable properties.</w:t>
      </w:r>
    </w:p>
    <w:p w14:paraId="40434380"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Privately underwritten and surplus-lines flood coverage is not observed in the policy files and is therefore absent from the reconstruction. Its omission overstates public shortfall in regions and market segments where private penetration is meaningful. The private flood market differs from the NFIP structurally as well as in size: private carriers exercise risk selection and underwriting discretion, price closer to modeled risk, offer higher and more flexible limits, cede risk through reinsurance, and in the surplus-lines segment operate outside admitted-market rate and form regulation with capacity supplied in part by London and other specialty markets. </w:t>
      </w:r>
      <w:proofErr w:type="gramStart"/>
      <w:r w:rsidRPr="00961F99">
        <w:rPr>
          <w:rFonts w:asciiTheme="majorBidi" w:hAnsiTheme="majorBidi" w:cstheme="majorBidi"/>
        </w:rPr>
        <w:t>The NFIP</w:t>
      </w:r>
      <w:proofErr w:type="gramEnd"/>
      <w:r w:rsidRPr="00961F99">
        <w:rPr>
          <w:rFonts w:asciiTheme="majorBidi" w:hAnsiTheme="majorBidi" w:cstheme="majorBidi"/>
        </w:rPr>
        <w:t xml:space="preserve"> is therefore not a proxy for the private market, and the reconstruction should be read as describing the NFIP-observed insurance pathway rather than the full flood-insurance marketplace. Incorporating state surplus-lines premium data, regulatory filings, lender data and carrier or managing-general-agent portfolio samples is the natural extension.</w:t>
      </w:r>
    </w:p>
    <w:p w14:paraId="6F81536C" w14:textId="3CA50775"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The premium base carries two further caveats. The building share applied to premium is a coverage-weighted ratio, which assumes building and contents premium are proportional to their respective coverage amounts within a state; the policy files do not report the split directly. </w:t>
      </w:r>
      <w:sdt>
        <w:sdtPr>
          <w:rPr>
            <w:rFonts w:asciiTheme="majorBidi" w:hAnsiTheme="majorBidi" w:cstheme="majorBidi"/>
          </w:rPr>
          <w:tag w:val="goog_rdk_6"/>
          <w:id w:val="1001773215"/>
        </w:sdtPr>
        <w:sdtContent>
          <w:r w:rsidRPr="00961F99">
            <w:rPr>
              <w:rFonts w:asciiTheme="majorBidi" w:hAnsiTheme="majorBidi" w:cstheme="majorBidi"/>
            </w:rPr>
            <w:t xml:space="preserve">Further, </w:t>
          </w:r>
        </w:sdtContent>
      </w:sdt>
      <w:sdt>
        <w:sdtPr>
          <w:rPr>
            <w:rFonts w:asciiTheme="majorBidi" w:hAnsiTheme="majorBidi" w:cstheme="majorBidi"/>
          </w:rPr>
          <w:tag w:val="goog_rdk_7"/>
          <w:id w:val="970564408"/>
          <w:showingPlcHdr/>
        </w:sdtPr>
        <w:sdtContent>
          <w:r w:rsidR="006A36D2" w:rsidRPr="00961F99">
            <w:rPr>
              <w:rFonts w:asciiTheme="majorBidi" w:hAnsiTheme="majorBidi" w:cstheme="majorBidi"/>
            </w:rPr>
            <w:t xml:space="preserve">     </w:t>
          </w:r>
        </w:sdtContent>
      </w:sdt>
      <w:r w:rsidRPr="00961F99">
        <w:rPr>
          <w:rFonts w:asciiTheme="majorBidi" w:hAnsiTheme="majorBidi" w:cstheme="majorBidi"/>
        </w:rPr>
        <w:t>expense, underwriting and increased-cost-of-compliance components cannot be separated from the available fields, so the base retains loadings that a pure risk premium would exclude, which makes the NFIP shortfall measured against it conservative.</w:t>
      </w:r>
    </w:p>
    <w:p w14:paraId="4F6A52D7"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F5. Scope of the burden channels</w:t>
      </w:r>
    </w:p>
    <w:p w14:paraId="3CF8DEA4" w14:textId="6E2950E8"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Public shortfall is the loss remaining outside expected NFIP payout. It is not a measure of government expenditure, and the analysis does not represent the wider set of resources through which households and communities </w:t>
      </w:r>
      <w:proofErr w:type="gramStart"/>
      <w:r w:rsidRPr="00961F99">
        <w:rPr>
          <w:rFonts w:asciiTheme="majorBidi" w:hAnsiTheme="majorBidi" w:cstheme="majorBidi"/>
        </w:rPr>
        <w:t>actually recover</w:t>
      </w:r>
      <w:proofErr w:type="gramEnd"/>
      <w:r w:rsidRPr="00961F99">
        <w:rPr>
          <w:rFonts w:asciiTheme="majorBidi" w:hAnsiTheme="majorBidi" w:cstheme="majorBidi"/>
        </w:rPr>
        <w:t xml:space="preserve">, including federal individual assistance, Small Business Administration lending, household savings, charitable assistance, private credit and state or local recovery programs. NFIP shortfall is a diagnostic of premium-deficit pressure within the reconstructed portfolio and excludes administrative costs, reserves, capital requirements and reinsurance; it is not a solvency estimate and the </w:t>
      </w:r>
      <w:proofErr w:type="gramStart"/>
      <w:r w:rsidRPr="00961F99">
        <w:rPr>
          <w:rFonts w:asciiTheme="majorBidi" w:hAnsiTheme="majorBidi" w:cstheme="majorBidi"/>
        </w:rPr>
        <w:t>implied ratio of expected</w:t>
      </w:r>
      <w:proofErr w:type="gramEnd"/>
      <w:r w:rsidRPr="00961F99">
        <w:rPr>
          <w:rFonts w:asciiTheme="majorBidi" w:hAnsiTheme="majorBidi" w:cstheme="majorBidi"/>
        </w:rPr>
        <w:t xml:space="preserve"> payout to premium base should not be read as an actuarial loss ratio for the actual program book. The tract-level premium-deficit pressure metric uses allocated written policy cost as its denominator rather than the risk-premium base, so it is a relative indicator across tracts and is not on the same basis as the building-level shortfall numerator.</w:t>
      </w:r>
    </w:p>
    <w:p w14:paraId="32821FEE"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F6. Geographic completeness</w:t>
      </w:r>
    </w:p>
    <w:p w14:paraId="450FCBF2" w14:textId="77777777" w:rsidR="00B57608" w:rsidRDefault="003B27C7" w:rsidP="00757EC6">
      <w:pPr>
        <w:jc w:val="both"/>
        <w:rPr>
          <w:rFonts w:asciiTheme="majorBidi" w:hAnsiTheme="majorBidi" w:cstheme="majorBidi"/>
        </w:rPr>
      </w:pPr>
      <w:r w:rsidRPr="00961F99">
        <w:rPr>
          <w:rFonts w:asciiTheme="majorBidi" w:hAnsiTheme="majorBidi" w:cstheme="majorBidi"/>
        </w:rPr>
        <w:t xml:space="preserve">Alabama, Connecticut and North Dakota are absent from the processed building inventory because the upstream building-to-tract assignment did not carry buildings in these states through. National totals exclude them and are conservative to that extent; the affected states appear as </w:t>
      </w:r>
      <w:proofErr w:type="gramStart"/>
      <w:r w:rsidRPr="00961F99">
        <w:rPr>
          <w:rFonts w:asciiTheme="majorBidi" w:hAnsiTheme="majorBidi" w:cstheme="majorBidi"/>
        </w:rPr>
        <w:t>no</w:t>
      </w:r>
      <w:proofErr w:type="gramEnd"/>
      <w:r w:rsidRPr="00961F99">
        <w:rPr>
          <w:rFonts w:asciiTheme="majorBidi" w:hAnsiTheme="majorBidi" w:cstheme="majorBidi"/>
        </w:rPr>
        <w:t xml:space="preserve">-data areas in every national map, and state-level results should be read with the omission in mind. Separately, the National Flood Hazard Layer is not </w:t>
      </w:r>
      <w:proofErr w:type="gramStart"/>
      <w:r w:rsidRPr="00961F99">
        <w:rPr>
          <w:rFonts w:asciiTheme="majorBidi" w:hAnsiTheme="majorBidi" w:cstheme="majorBidi"/>
        </w:rPr>
        <w:t>a seamless</w:t>
      </w:r>
      <w:proofErr w:type="gramEnd"/>
      <w:r w:rsidRPr="00961F99">
        <w:rPr>
          <w:rFonts w:asciiTheme="majorBidi" w:hAnsiTheme="majorBidi" w:cstheme="majorBidi"/>
        </w:rPr>
        <w:t xml:space="preserve"> national coverage, and buildings in areas without digitized coverage are classified as outside the Special Flood Hazard Area by construction; Tables S22 and S21 report how much of the outside-SFHA result rests on mapped evidence rather than on the absence of mapping.</w:t>
      </w:r>
    </w:p>
    <w:p w14:paraId="00050107" w14:textId="77777777" w:rsidR="00376A59" w:rsidRPr="00961F99" w:rsidRDefault="00376A59" w:rsidP="00757EC6">
      <w:pPr>
        <w:jc w:val="both"/>
        <w:rPr>
          <w:rFonts w:asciiTheme="majorBidi" w:hAnsiTheme="majorBidi" w:cstheme="majorBidi"/>
        </w:rPr>
      </w:pPr>
    </w:p>
    <w:p w14:paraId="0A0FDEA1"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lastRenderedPageBreak/>
        <w:t>F7. Statistical status of the burden regimes</w:t>
      </w:r>
    </w:p>
    <w:p w14:paraId="1DDC868E" w14:textId="77777777" w:rsidR="00B57608" w:rsidRPr="00961F99" w:rsidRDefault="003B27C7" w:rsidP="00757EC6">
      <w:pPr>
        <w:jc w:val="both"/>
        <w:rPr>
          <w:rFonts w:asciiTheme="majorBidi" w:hAnsiTheme="majorBidi" w:cstheme="majorBidi"/>
        </w:rPr>
      </w:pPr>
      <w:r w:rsidRPr="00961F99">
        <w:rPr>
          <w:rFonts w:asciiTheme="majorBidi" w:hAnsiTheme="majorBidi" w:cstheme="majorBidi"/>
        </w:rPr>
        <w:t xml:space="preserve">The four regimes are empirical </w:t>
      </w:r>
      <w:proofErr w:type="gramStart"/>
      <w:r w:rsidRPr="00961F99">
        <w:rPr>
          <w:rFonts w:asciiTheme="majorBidi" w:hAnsiTheme="majorBidi" w:cstheme="majorBidi"/>
        </w:rPr>
        <w:t>typologies,</w:t>
      </w:r>
      <w:proofErr w:type="gramEnd"/>
      <w:r w:rsidRPr="00961F99">
        <w:rPr>
          <w:rFonts w:asciiTheme="majorBidi" w:hAnsiTheme="majorBidi" w:cstheme="majorBidi"/>
        </w:rPr>
        <w:t xml:space="preserve"> not discrete classes recovered from a mixture that the data support uniquely. As Table S31 and Figure S8 show, neither the information criteria nor the silhouette </w:t>
      </w:r>
      <w:proofErr w:type="gramStart"/>
      <w:r w:rsidRPr="00961F99">
        <w:rPr>
          <w:rFonts w:asciiTheme="majorBidi" w:hAnsiTheme="majorBidi" w:cstheme="majorBidi"/>
        </w:rPr>
        <w:t>statistic selects</w:t>
      </w:r>
      <w:proofErr w:type="gramEnd"/>
      <w:r w:rsidRPr="00961F99">
        <w:rPr>
          <w:rFonts w:asciiTheme="majorBidi" w:hAnsiTheme="majorBidi" w:cstheme="majorBidi"/>
        </w:rPr>
        <w:t xml:space="preserve"> four components: the burden space is continuous and the components overlap materially, with assignment uncertainty highest in the major burden, mostly uncovered regime. The regimes should be used as an organizing description of a continuous gradient, and the classification should not be treated as an actuarial or regulatory categorization.</w:t>
      </w:r>
    </w:p>
    <w:p w14:paraId="3022B4AD" w14:textId="77777777" w:rsidR="00B57608" w:rsidRPr="00961F99" w:rsidRDefault="003B27C7" w:rsidP="00757EC6">
      <w:pPr>
        <w:pStyle w:val="Heading2"/>
        <w:spacing w:after="80"/>
        <w:jc w:val="both"/>
        <w:rPr>
          <w:rFonts w:asciiTheme="majorBidi" w:eastAsia="Times New Roman" w:hAnsiTheme="majorBidi" w:cstheme="majorBidi"/>
        </w:rPr>
      </w:pPr>
      <w:r w:rsidRPr="00961F99">
        <w:rPr>
          <w:rFonts w:asciiTheme="majorBidi" w:eastAsia="Times New Roman" w:hAnsiTheme="majorBidi" w:cstheme="majorBidi"/>
        </w:rPr>
        <w:t>F8. Validation status</w:t>
      </w:r>
    </w:p>
    <w:p w14:paraId="3E7A2870" w14:textId="3F17A616" w:rsidR="00B57608" w:rsidRPr="00961F99" w:rsidRDefault="003B27C7" w:rsidP="00757EC6">
      <w:pPr>
        <w:jc w:val="both"/>
        <w:rPr>
          <w:rFonts w:asciiTheme="majorBidi" w:hAnsiTheme="majorBidi" w:cstheme="majorBidi"/>
        </w:rPr>
      </w:pPr>
      <w:r w:rsidRPr="00961F99">
        <w:rPr>
          <w:rFonts w:asciiTheme="majorBidi" w:hAnsiTheme="majorBidi" w:cstheme="majorBidi"/>
        </w:rPr>
        <w:t>The reconstruction has not been validated against observed NFIP claims. Only the policy files were used, so the comparisons in Part C are against published aggregates rather than against realized loss records, and the closest available anchor is the federal expected-claims and net-shortfall estimate for the same program. Comparing the reconstructed channels against event-level claims, which would test both the loss model and the allocation directly, is the single most valuable extension of this work and requires claims data that were not used here.</w:t>
      </w:r>
    </w:p>
    <w:p w14:paraId="6F6E377D" w14:textId="77777777" w:rsidR="00B57608" w:rsidRPr="00961F99" w:rsidRDefault="00B57608" w:rsidP="00757EC6">
      <w:pPr>
        <w:jc w:val="both"/>
        <w:rPr>
          <w:rFonts w:asciiTheme="majorBidi" w:hAnsiTheme="majorBidi" w:cstheme="majorBidi"/>
        </w:rPr>
      </w:pPr>
    </w:p>
    <w:sectPr w:rsidR="00B57608" w:rsidRPr="00961F99" w:rsidSect="00961F99">
      <w:footerReference w:type="even" r:id="rId22"/>
      <w:footerReference w:type="default" r:id="rId23"/>
      <w:footerReference w:type="first" r:id="rId24"/>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CAC1A" w14:textId="77777777" w:rsidR="00934817" w:rsidRDefault="00934817" w:rsidP="006A36D2">
      <w:pPr>
        <w:spacing w:after="0" w:line="240" w:lineRule="auto"/>
      </w:pPr>
      <w:r>
        <w:separator/>
      </w:r>
    </w:p>
  </w:endnote>
  <w:endnote w:type="continuationSeparator" w:id="0">
    <w:p w14:paraId="4E0C1831" w14:textId="77777777" w:rsidR="00934817" w:rsidRDefault="00934817" w:rsidP="006A3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1E9A445-EF2C-432A-8AAD-4878BBBEF38F}"/>
    <w:embedBold r:id="rId2" w:fontKey="{D13ADF92-7EFB-44CC-87A2-DBAA2601DFC5}"/>
    <w:embedItalic r:id="rId3" w:fontKey="{B0E33814-B6AC-41F5-8896-1D3671FFD450}"/>
    <w:embedBoldItalic r:id="rId4" w:fontKey="{A93756E6-9247-44AC-B7C9-397FFEE9794C}"/>
  </w:font>
  <w:font w:name="Courier">
    <w:panose1 w:val="02070409020205020404"/>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embedRegular r:id="rId5" w:fontKey="{CCF44BD7-6691-4208-A6CE-11C4B7858D58}"/>
  </w:font>
  <w:font w:name="Cambria">
    <w:panose1 w:val="02040503050406030204"/>
    <w:charset w:val="00"/>
    <w:family w:val="roman"/>
    <w:pitch w:val="variable"/>
    <w:sig w:usb0="E00006FF" w:usb1="420024FF" w:usb2="02000000" w:usb3="00000000" w:csb0="0000019F" w:csb1="00000000"/>
    <w:embedRegular r:id="rId6" w:fontKey="{B900C27E-21AB-4381-BF8C-114055BC54E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69AA" w14:textId="75873C4B" w:rsidR="00E64BF3" w:rsidRDefault="00E64BF3">
    <w:pPr>
      <w:pStyle w:val="Footer"/>
    </w:pPr>
    <w:r>
      <w:rPr>
        <w:noProof/>
      </w:rPr>
      <mc:AlternateContent>
        <mc:Choice Requires="wps">
          <w:drawing>
            <wp:anchor distT="0" distB="0" distL="0" distR="0" simplePos="0" relativeHeight="251659264" behindDoc="0" locked="0" layoutInCell="1" allowOverlap="1" wp14:anchorId="60210015" wp14:editId="66165604">
              <wp:simplePos x="635" y="635"/>
              <wp:positionH relativeFrom="page">
                <wp:align>left</wp:align>
              </wp:positionH>
              <wp:positionV relativeFrom="page">
                <wp:align>bottom</wp:align>
              </wp:positionV>
              <wp:extent cx="1407795" cy="368935"/>
              <wp:effectExtent l="0" t="0" r="1905" b="0"/>
              <wp:wrapNone/>
              <wp:docPr id="337886284" name="Text Box 2" descr="Classified as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7795" cy="368935"/>
                      </a:xfrm>
                      <a:prstGeom prst="rect">
                        <a:avLst/>
                      </a:prstGeom>
                      <a:noFill/>
                      <a:ln>
                        <a:noFill/>
                      </a:ln>
                    </wps:spPr>
                    <wps:txbx>
                      <w:txbxContent>
                        <w:p w14:paraId="44717FD3" w14:textId="51419FE9" w:rsidR="00E64BF3" w:rsidRPr="00E64BF3" w:rsidRDefault="00E64BF3" w:rsidP="00E64BF3">
                          <w:pPr>
                            <w:spacing w:after="0"/>
                            <w:rPr>
                              <w:rFonts w:ascii="Aptos" w:eastAsia="Aptos" w:hAnsi="Aptos" w:cs="Aptos"/>
                              <w:noProof/>
                              <w:color w:val="000000"/>
                              <w:sz w:val="20"/>
                              <w:szCs w:val="20"/>
                            </w:rPr>
                          </w:pPr>
                          <w:r w:rsidRPr="00E64BF3">
                            <w:rPr>
                              <w:rFonts w:ascii="Aptos" w:eastAsia="Aptos" w:hAnsi="Aptos" w:cs="Aptos"/>
                              <w:noProof/>
                              <w:color w:val="000000"/>
                              <w:sz w:val="20"/>
                              <w:szCs w:val="20"/>
                            </w:rPr>
                            <w:t>Classified as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210015" id="_x0000_t202" coordsize="21600,21600" o:spt="202" path="m,l,21600r21600,l21600,xe">
              <v:stroke joinstyle="miter"/>
              <v:path gradientshapeok="t" o:connecttype="rect"/>
            </v:shapetype>
            <v:shape id="Text Box 2" o:spid="_x0000_s1026" type="#_x0000_t202" alt="Classified as Internal" style="position:absolute;margin-left:0;margin-top:0;width:110.8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" filled="f" stroked="f">
              <v:fill o:detectmouseclick="t"/>
              <v:textbox style="mso-fit-shape-to-text:t" inset="20pt,0,0,15pt">
                <w:txbxContent>
                  <w:p w14:paraId="44717FD3" w14:textId="51419FE9" w:rsidR="00E64BF3" w:rsidRPr="00E64BF3" w:rsidRDefault="00E64BF3" w:rsidP="00E64BF3">
                    <w:pPr>
                      <w:spacing w:after="0"/>
                      <w:rPr>
                        <w:rFonts w:ascii="Aptos" w:eastAsia="Aptos" w:hAnsi="Aptos" w:cs="Aptos"/>
                        <w:noProof/>
                        <w:color w:val="000000"/>
                        <w:sz w:val="20"/>
                        <w:szCs w:val="20"/>
                      </w:rPr>
                    </w:pPr>
                    <w:r w:rsidRPr="00E64BF3">
                      <w:rPr>
                        <w:rFonts w:ascii="Aptos" w:eastAsia="Aptos" w:hAnsi="Aptos" w:cs="Aptos"/>
                        <w:noProof/>
                        <w:color w:val="000000"/>
                        <w:sz w:val="20"/>
                        <w:szCs w:val="20"/>
                      </w:rPr>
                      <w:t>Classified as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1E1C" w14:textId="7326AD6B" w:rsidR="00961F99" w:rsidRDefault="00000000">
    <w:pPr>
      <w:pStyle w:val="Footer"/>
      <w:jc w:val="center"/>
    </w:pPr>
    <w:sdt>
      <w:sdtPr>
        <w:id w:val="-691529254"/>
        <w:docPartObj>
          <w:docPartGallery w:val="Page Numbers (Bottom of Page)"/>
          <w:docPartUnique/>
        </w:docPartObj>
      </w:sdtPr>
      <w:sdtEndPr>
        <w:rPr>
          <w:noProof/>
        </w:rPr>
      </w:sdtEndPr>
      <w:sdtContent>
        <w:r w:rsidR="00961F99">
          <w:fldChar w:fldCharType="begin"/>
        </w:r>
        <w:r w:rsidR="00961F99">
          <w:instrText xml:space="preserve"> PAGE   \* MERGEFORMAT </w:instrText>
        </w:r>
        <w:r w:rsidR="00961F99">
          <w:fldChar w:fldCharType="separate"/>
        </w:r>
        <w:r w:rsidR="00961F99">
          <w:rPr>
            <w:noProof/>
          </w:rPr>
          <w:t>2</w:t>
        </w:r>
        <w:r w:rsidR="00961F99">
          <w:rPr>
            <w:noProof/>
          </w:rPr>
          <w:fldChar w:fldCharType="end"/>
        </w:r>
      </w:sdtContent>
    </w:sdt>
  </w:p>
  <w:p w14:paraId="73D5B882" w14:textId="77777777" w:rsidR="00961F99" w:rsidRDefault="00961F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C095" w14:textId="455F483F" w:rsidR="00E64BF3" w:rsidRDefault="00E64BF3">
    <w:pPr>
      <w:pStyle w:val="Footer"/>
    </w:pPr>
    <w:r>
      <w:rPr>
        <w:noProof/>
      </w:rPr>
      <mc:AlternateContent>
        <mc:Choice Requires="wps">
          <w:drawing>
            <wp:anchor distT="0" distB="0" distL="0" distR="0" simplePos="0" relativeHeight="251658240" behindDoc="0" locked="0" layoutInCell="1" allowOverlap="1" wp14:anchorId="73637EDC" wp14:editId="55CF0DE7">
              <wp:simplePos x="635" y="635"/>
              <wp:positionH relativeFrom="page">
                <wp:align>left</wp:align>
              </wp:positionH>
              <wp:positionV relativeFrom="page">
                <wp:align>bottom</wp:align>
              </wp:positionV>
              <wp:extent cx="1407795" cy="368935"/>
              <wp:effectExtent l="0" t="0" r="1905" b="0"/>
              <wp:wrapNone/>
              <wp:docPr id="1589897259" name="Text Box 1" descr="Classified as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7795" cy="368935"/>
                      </a:xfrm>
                      <a:prstGeom prst="rect">
                        <a:avLst/>
                      </a:prstGeom>
                      <a:noFill/>
                      <a:ln>
                        <a:noFill/>
                      </a:ln>
                    </wps:spPr>
                    <wps:txbx>
                      <w:txbxContent>
                        <w:p w14:paraId="26588A15" w14:textId="2DB61854" w:rsidR="00E64BF3" w:rsidRPr="00E64BF3" w:rsidRDefault="00E64BF3" w:rsidP="00E64BF3">
                          <w:pPr>
                            <w:spacing w:after="0"/>
                            <w:rPr>
                              <w:rFonts w:ascii="Aptos" w:eastAsia="Aptos" w:hAnsi="Aptos" w:cs="Aptos"/>
                              <w:noProof/>
                              <w:color w:val="000000"/>
                              <w:sz w:val="20"/>
                              <w:szCs w:val="20"/>
                            </w:rPr>
                          </w:pPr>
                          <w:r w:rsidRPr="00E64BF3">
                            <w:rPr>
                              <w:rFonts w:ascii="Aptos" w:eastAsia="Aptos" w:hAnsi="Aptos" w:cs="Aptos"/>
                              <w:noProof/>
                              <w:color w:val="000000"/>
                              <w:sz w:val="20"/>
                              <w:szCs w:val="20"/>
                            </w:rPr>
                            <w:t>Classified as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3637EDC" id="_x0000_t202" coordsize="21600,21600" o:spt="202" path="m,l,21600r21600,l21600,xe">
              <v:stroke joinstyle="miter"/>
              <v:path gradientshapeok="t" o:connecttype="rect"/>
            </v:shapetype>
            <v:shape id="Text Box 1" o:spid="_x0000_s1027" type="#_x0000_t202" alt="Classified as Internal" style="position:absolute;margin-left:0;margin-top:0;width:110.8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" filled="f" stroked="f">
              <v:fill o:detectmouseclick="t"/>
              <v:textbox style="mso-fit-shape-to-text:t" inset="20pt,0,0,15pt">
                <w:txbxContent>
                  <w:p w14:paraId="26588A15" w14:textId="2DB61854" w:rsidR="00E64BF3" w:rsidRPr="00E64BF3" w:rsidRDefault="00E64BF3" w:rsidP="00E64BF3">
                    <w:pPr>
                      <w:spacing w:after="0"/>
                      <w:rPr>
                        <w:rFonts w:ascii="Aptos" w:eastAsia="Aptos" w:hAnsi="Aptos" w:cs="Aptos"/>
                        <w:noProof/>
                        <w:color w:val="000000"/>
                        <w:sz w:val="20"/>
                        <w:szCs w:val="20"/>
                      </w:rPr>
                    </w:pPr>
                    <w:r w:rsidRPr="00E64BF3">
                      <w:rPr>
                        <w:rFonts w:ascii="Aptos" w:eastAsia="Aptos" w:hAnsi="Aptos" w:cs="Aptos"/>
                        <w:noProof/>
                        <w:color w:val="000000"/>
                        <w:sz w:val="20"/>
                        <w:szCs w:val="20"/>
                      </w:rPr>
                      <w:t>Classified as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41BFE" w14:textId="77777777" w:rsidR="00934817" w:rsidRDefault="00934817" w:rsidP="006A36D2">
      <w:pPr>
        <w:spacing w:after="0" w:line="240" w:lineRule="auto"/>
      </w:pPr>
      <w:r>
        <w:separator/>
      </w:r>
    </w:p>
  </w:footnote>
  <w:footnote w:type="continuationSeparator" w:id="0">
    <w:p w14:paraId="1CBC8271" w14:textId="77777777" w:rsidR="00934817" w:rsidRDefault="00934817" w:rsidP="006A3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2540F"/>
    <w:multiLevelType w:val="multilevel"/>
    <w:tmpl w:val="39C253B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6935878">
    <w:abstractNumId w:val="0"/>
  </w:num>
  <w:num w:numId="2" w16cid:durableId="53047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1519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8496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419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94426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608"/>
    <w:rsid w:val="00250FFB"/>
    <w:rsid w:val="0030682B"/>
    <w:rsid w:val="00353F6A"/>
    <w:rsid w:val="00376A59"/>
    <w:rsid w:val="003B27C7"/>
    <w:rsid w:val="00525643"/>
    <w:rsid w:val="00673BD8"/>
    <w:rsid w:val="006A36D2"/>
    <w:rsid w:val="00757EC6"/>
    <w:rsid w:val="0083064F"/>
    <w:rsid w:val="00846186"/>
    <w:rsid w:val="00934817"/>
    <w:rsid w:val="00961F99"/>
    <w:rsid w:val="009E5EB8"/>
    <w:rsid w:val="00A24097"/>
    <w:rsid w:val="00A5169C"/>
    <w:rsid w:val="00AE2177"/>
    <w:rsid w:val="00AE601B"/>
    <w:rsid w:val="00B016C0"/>
    <w:rsid w:val="00B57608"/>
    <w:rsid w:val="00BD2AB5"/>
    <w:rsid w:val="00C30397"/>
    <w:rsid w:val="00C60555"/>
    <w:rsid w:val="00CF3054"/>
    <w:rsid w:val="00DD775F"/>
    <w:rsid w:val="00E64B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1D8EB"/>
  <w15:docId w15:val="{B932F9F4-2BE2-438E-8C6A-9AEAB59DC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000000"/>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000000"/>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Calibri" w:eastAsia="Calibri" w:hAnsi="Calibri" w:cs="Calibri"/>
      <w:b/>
      <w:bCs/>
      <w:color w:val="000000"/>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240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47833ab5-7dd4-4714-a75a-6d2b23da893e}" enabled="1" method="Standard" siteId="{7c539505-f129-46ae-a6cf-ecaf413b8b0d}" contentBits="2" removed="0"/>
</clbl:labelList>
</file>

<file path=docProps/app.xml><?xml version="1.0" encoding="utf-8"?>
<Properties xmlns="http://schemas.openxmlformats.org/officeDocument/2006/extended-properties" xmlns:vt="http://schemas.openxmlformats.org/officeDocument/2006/docPropsVTypes">
  <Template>Normal</Template>
  <TotalTime>12</TotalTime>
  <Pages>40</Pages>
  <Words>15599</Words>
  <Characters>88920</Characters>
  <Application>Microsoft Office Word</Application>
  <DocSecurity>0</DocSecurity>
  <Lines>741</Lines>
  <Paragraphs>208</Paragraphs>
  <ScaleCrop>false</ScaleCrop>
  <Company/>
  <LinksUpToDate>false</LinksUpToDate>
  <CharactersWithSpaces>104311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Azizi, Koorosh (kazizi)</cp:lastModifiedBy>
  <cp:revision>11</cp:revision>
  <dcterms:created xsi:type="dcterms:W3CDTF">2026-09-15T16:33:00Z</dcterms:created>
  <dcterms:modified xsi:type="dcterms:W3CDTF">2026-09-17T20:01:00Z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5ec3e82b,1423bc4c,5e0eb9e3</vt:lpwstr>
  </property>
  <property fmtid="{D5CDD505-2E9C-101B-9397-08002B2CF9AE}" pid="3" name="ClassificationContentMarkingFooterFontProps">
    <vt:lpwstr>#000000,10,Aptos</vt:lpwstr>
  </property>
  <property fmtid="{D5CDD505-2E9C-101B-9397-08002B2CF9AE}" pid="4" name="ClassificationContentMarkingFooterText">
    <vt:lpwstr>Classified as Internal</vt:lpwstr>
  </property>
</Properties>
</file>