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12A4D5" w14:textId="58CD2452" w:rsidR="00204B1C" w:rsidRPr="00204B1C" w:rsidRDefault="00204B1C" w:rsidP="00204B1C">
      <w:pPr>
        <w:spacing w:line="360" w:lineRule="auto"/>
        <w:rPr>
          <w:b/>
          <w:bCs/>
        </w:rPr>
      </w:pPr>
      <w:r w:rsidRPr="00204B1C">
        <w:rPr>
          <w:b/>
          <w:bCs/>
        </w:rPr>
        <w:t xml:space="preserve">Supplementary </w:t>
      </w:r>
      <w:r w:rsidR="00CD2D5C">
        <w:rPr>
          <w:b/>
          <w:bCs/>
        </w:rPr>
        <w:t>Information</w:t>
      </w:r>
      <w:r w:rsidRPr="00204B1C">
        <w:rPr>
          <w:b/>
          <w:bCs/>
        </w:rPr>
        <w:t xml:space="preserve"> </w:t>
      </w:r>
      <w:r w:rsidR="000C22CA">
        <w:rPr>
          <w:b/>
          <w:bCs/>
        </w:rPr>
        <w:t xml:space="preserve">– Methods </w:t>
      </w:r>
      <w:r w:rsidR="00566311">
        <w:rPr>
          <w:b/>
          <w:bCs/>
        </w:rPr>
        <w:t xml:space="preserve">and statistical analysis </w:t>
      </w:r>
    </w:p>
    <w:p w14:paraId="12D2E56E" w14:textId="7F9F3723" w:rsidR="00204B1C" w:rsidRDefault="00204B1C" w:rsidP="00204B1C">
      <w:pPr>
        <w:spacing w:line="360" w:lineRule="auto"/>
      </w:pPr>
      <w:r>
        <w:t xml:space="preserve">Title: </w:t>
      </w:r>
      <w:r w:rsidRPr="00476933">
        <w:rPr>
          <w:i/>
          <w:iCs/>
        </w:rPr>
        <w:t>Now you see it: evidence of object permanence in wild Western Australian magpies</w:t>
      </w:r>
      <w:r w:rsidRPr="00204B1C">
        <w:t xml:space="preserve"> </w:t>
      </w:r>
    </w:p>
    <w:p w14:paraId="5F4F3369" w14:textId="34F5EF92" w:rsidR="000C22CA" w:rsidRDefault="000C22CA" w:rsidP="000C22CA">
      <w:pPr>
        <w:spacing w:line="360" w:lineRule="auto"/>
      </w:pPr>
      <w:r>
        <w:t xml:space="preserve">Authors: </w:t>
      </w:r>
      <w:r w:rsidRPr="00DF782A">
        <w:t>Candice Peters</w:t>
      </w:r>
      <w:r>
        <w:t xml:space="preserve"> (ORCID </w:t>
      </w:r>
      <w:r w:rsidRPr="00240B35">
        <w:t>0009-0002-8536-6724</w:t>
      </w:r>
      <w:r>
        <w:t>)</w:t>
      </w:r>
      <w:r w:rsidRPr="00DF782A">
        <w:t>, Prof</w:t>
      </w:r>
      <w:r>
        <w:t xml:space="preserve">. </w:t>
      </w:r>
      <w:r w:rsidRPr="00DF782A">
        <w:t>Mandy Ridley</w:t>
      </w:r>
      <w:r>
        <w:t xml:space="preserve"> (ORCID 000-0001-5886-0992,</w:t>
      </w:r>
      <w:r w:rsidRPr="00DF782A">
        <w:t xml:space="preserve"> and Dr</w:t>
      </w:r>
      <w:r>
        <w:t>.</w:t>
      </w:r>
      <w:r w:rsidRPr="00DF782A">
        <w:t xml:space="preserve"> Lizzie Speechley</w:t>
      </w:r>
      <w:r>
        <w:t xml:space="preserve"> (ORCID 0000-0003-0690-955X)</w:t>
      </w:r>
    </w:p>
    <w:p w14:paraId="7C742B71" w14:textId="77777777" w:rsidR="000C22CA" w:rsidRDefault="000C22CA" w:rsidP="000C22CA">
      <w:pPr>
        <w:spacing w:line="360" w:lineRule="auto"/>
      </w:pPr>
      <w:r w:rsidRPr="00DF782A">
        <w:t>The University of Western Australia</w:t>
      </w:r>
      <w:r>
        <w:t xml:space="preserve">, </w:t>
      </w:r>
      <w:r w:rsidRPr="00DF782A">
        <w:t>Western Australia, Australia</w:t>
      </w:r>
    </w:p>
    <w:p w14:paraId="0FB38843" w14:textId="77777777" w:rsidR="000C22CA" w:rsidRPr="00DF782A" w:rsidRDefault="000C22CA" w:rsidP="000C22CA">
      <w:pPr>
        <w:spacing w:line="360" w:lineRule="auto"/>
      </w:pPr>
      <w:r>
        <w:t xml:space="preserve">Corresponding author: </w:t>
      </w:r>
      <w:hyperlink r:id="rId6" w:history="1">
        <w:r w:rsidRPr="000655F4">
          <w:rPr>
            <w:rStyle w:val="Hyperlink"/>
          </w:rPr>
          <w:t>23379707@student.uwa.edu.au</w:t>
        </w:r>
      </w:hyperlink>
      <w:r>
        <w:t xml:space="preserve">, </w:t>
      </w:r>
      <w:hyperlink r:id="rId7" w:history="1">
        <w:r w:rsidRPr="000655F4">
          <w:rPr>
            <w:rStyle w:val="Hyperlink"/>
          </w:rPr>
          <w:t>candice.herinckx@gmail.com</w:t>
        </w:r>
      </w:hyperlink>
      <w:r>
        <w:t xml:space="preserve"> </w:t>
      </w:r>
    </w:p>
    <w:p w14:paraId="30E52B9A" w14:textId="77777777" w:rsidR="009C01BF" w:rsidRDefault="009C01BF" w:rsidP="0067128C">
      <w:pPr>
        <w:spacing w:line="360" w:lineRule="auto"/>
        <w:rPr>
          <w:i/>
          <w:iCs/>
        </w:rPr>
      </w:pPr>
    </w:p>
    <w:p w14:paraId="5EDF86E4" w14:textId="1B7349DC" w:rsidR="00476933" w:rsidRPr="0067128C" w:rsidRDefault="00590273" w:rsidP="0067128C">
      <w:pPr>
        <w:spacing w:line="360" w:lineRule="auto"/>
        <w:rPr>
          <w:b/>
          <w:bCs/>
          <w:i/>
          <w:iCs/>
        </w:rPr>
      </w:pPr>
      <w:r w:rsidRPr="00590273">
        <w:rPr>
          <w:i/>
          <w:iCs/>
        </w:rPr>
        <w:t>Potential explanatory variables -</w:t>
      </w:r>
      <w:r>
        <w:rPr>
          <w:b/>
          <w:bCs/>
          <w:i/>
          <w:iCs/>
        </w:rPr>
        <w:t xml:space="preserve"> </w:t>
      </w:r>
      <w:r w:rsidRPr="005C5C2B">
        <w:rPr>
          <w:i/>
          <w:iCs/>
        </w:rPr>
        <w:t xml:space="preserve">Field </w:t>
      </w:r>
      <w:r>
        <w:rPr>
          <w:i/>
          <w:iCs/>
        </w:rPr>
        <w:t xml:space="preserve">and database </w:t>
      </w:r>
      <w:r w:rsidRPr="005C5C2B">
        <w:rPr>
          <w:i/>
          <w:iCs/>
        </w:rPr>
        <w:t xml:space="preserve">variables </w:t>
      </w:r>
    </w:p>
    <w:p w14:paraId="27BABCDE" w14:textId="39A4F5EA" w:rsidR="00590273" w:rsidRDefault="00590273" w:rsidP="00590273">
      <w:pPr>
        <w:spacing w:line="360" w:lineRule="auto"/>
        <w:jc w:val="both"/>
      </w:pPr>
      <w:r>
        <w:t>At the start of each test phase and as testing progressed, on-site weather conditions, group size, and behavioural predictors that could potentially influence interaction performance were logged. Weather variables comprised of air temperature (°C), cloud cover (none, partial, full), and wind (low: up to 19km/h, medium: up to 28 km/h, high: up to 49km/h)</w:t>
      </w:r>
      <w:r w:rsidR="00B63DC6">
        <w:t xml:space="preserve"> </w:t>
      </w:r>
      <w:r w:rsidR="00B63DC6">
        <w:fldChar w:fldCharType="begin"/>
      </w:r>
      <w:r w:rsidR="00B63DC6">
        <w:instrText xml:space="preserve"> ADDIN EN.CITE &lt;EndNote&gt;&lt;Cite&gt;&lt;Author&gt;Bureau of Meteorology&lt;/Author&gt;&lt;Year&gt;2025&lt;/Year&gt;&lt;RecNum&gt;735&lt;/RecNum&gt;&lt;DisplayText&gt;(Bureau of Meteorology 2025)&lt;/DisplayText&gt;&lt;record&gt;&lt;rec-number&gt;735&lt;/rec-number&gt;&lt;foreign-keys&gt;&lt;key app="EN" db-id="9dvazf5f6v9dx0etppwx5r5e2z9fx5wrwzv2" timestamp="1759758972"&gt;735&lt;/key&gt;&lt;/foreign-keys&gt;&lt;ref-type name="Online Database"&gt;45&lt;/ref-type&gt;&lt;contributors&gt;&lt;authors&gt;&lt;author&gt;Bureau of Meteorology, &lt;/author&gt;&lt;/authors&gt;&lt;/contributors&gt;&lt;titles&gt;&lt;title&gt;Australia’s official weather forecasts &amp;amp; weather radar&lt;/title&gt;&lt;/titles&gt;&lt;dates&gt;&lt;year&gt;2025&lt;/year&gt;&lt;/dates&gt;&lt;pub-location&gt;Australian Government&lt;/pub-location&gt;&lt;urls&gt;&lt;related-urls&gt;&lt;url&gt;https://www.bom.gov.au&lt;/url&gt;&lt;/related-urls&gt;&lt;/urls&gt;&lt;/record&gt;&lt;/Cite&gt;&lt;/EndNote&gt;</w:instrText>
      </w:r>
      <w:r w:rsidR="00B63DC6">
        <w:fldChar w:fldCharType="separate"/>
      </w:r>
      <w:r w:rsidR="00B63DC6">
        <w:rPr>
          <w:noProof/>
        </w:rPr>
        <w:t>(Bureau of Meteorology 2025)</w:t>
      </w:r>
      <w:r w:rsidR="00B63DC6">
        <w:fldChar w:fldCharType="end"/>
      </w:r>
      <w:r>
        <w:t xml:space="preserve">, plus time of day. Group size was measured in two ways: general group size (acquired from the life history database) and group size on the day (number of conspecifics within ~20m of the task during testing). Sex and within-group sex ratio data were obtained through the life history base. These measures included all individuals, both juveniles and adults. If changes occurred in any of the above predictors during testing, they would be averaged over the duration of the testing period per individual. To account for variation in motivation and approach behaviour, we recorded the amount of time (in seconds) for approach (neophobia) and task engagement (latency). All response-time measures used a common start line: the stopwatch began when the focal bird approached to within 0.5 m of the apparatus. Neophobia was defined as the elapsed time from 0.5 m away to the first contact with the apparatus </w:t>
      </w:r>
      <w:r>
        <w:fldChar w:fldCharType="begin"/>
      </w:r>
      <w:r>
        <w:instrText xml:space="preserve"> ADDIN EN.CITE &lt;EndNote&gt;&lt;Cite&gt;&lt;Author&gt;Rockwell&lt;/Author&gt;&lt;Year&gt;2012&lt;/Year&gt;&lt;RecNum&gt;736&lt;/RecNum&gt;&lt;Prefix&gt;sensu &lt;/Prefix&gt;&lt;DisplayText&gt;(sensu Rockwell et al. 2012)&lt;/DisplayText&gt;&lt;record&gt;&lt;rec-number&gt;736&lt;/rec-number&gt;&lt;foreign-keys&gt;&lt;key app="EN" db-id="9dvazf5f6v9dx0etppwx5r5e2z9fx5wrwzv2" timestamp="1759760099"&gt;736&lt;/key&gt;&lt;/foreign-keys&gt;&lt;ref-type name="Journal Article"&gt;17&lt;/ref-type&gt;&lt;contributors&gt;&lt;authors&gt;&lt;author&gt;Rockwell, Christina&lt;/author&gt;&lt;author&gt;Gabriel, Pia O&lt;/author&gt;&lt;author&gt;Black, Jeffrey M&lt;/author&gt;&lt;/authors&gt;&lt;/contributors&gt;&lt;titles&gt;&lt;title&gt;Bolder, older, and selective: factors of individual-specific foraging behaviors in Steller’s jays&lt;/title&gt;&lt;secondary-title&gt;Behavioral Ecology&lt;/secondary-title&gt;&lt;/titles&gt;&lt;periodical&gt;&lt;full-title&gt;Behavioral Ecology&lt;/full-title&gt;&lt;/periodical&gt;&lt;pages&gt;676-683&lt;/pages&gt;&lt;volume&gt;23&lt;/volume&gt;&lt;number&gt;3&lt;/number&gt;&lt;dates&gt;&lt;year&gt;2012&lt;/year&gt;&lt;/dates&gt;&lt;isbn&gt;1465-7279&lt;/isbn&gt;&lt;urls&gt;&lt;/urls&gt;&lt;electronic-resource-num&gt;https://doi.org/10.1093/beheco/ars015&lt;/electronic-resource-num&gt;&lt;/record&gt;&lt;/Cite&gt;&lt;/EndNote&gt;</w:instrText>
      </w:r>
      <w:r>
        <w:fldChar w:fldCharType="separate"/>
      </w:r>
      <w:r>
        <w:rPr>
          <w:noProof/>
        </w:rPr>
        <w:t>(sensu Rockwell et al. 2012)</w:t>
      </w:r>
      <w:r>
        <w:fldChar w:fldCharType="end"/>
      </w:r>
      <w:r>
        <w:t xml:space="preserve">. This metric was only recorded in OP3, following a protocol refinement. Latency was measured from when the focal individual approached to within 0.5 m of the apparatus to the moment the reward was uncovered, or the first contact with the unbaited cup. Trials with engagement (approaching to within 0.5 m of the task) but no interaction (no contact with either cup) were excluded from latency/neophobia analysis. </w:t>
      </w:r>
    </w:p>
    <w:p w14:paraId="41EC60D2" w14:textId="77777777" w:rsidR="00590273" w:rsidRDefault="00590273" w:rsidP="00590273">
      <w:pPr>
        <w:spacing w:line="360" w:lineRule="auto"/>
        <w:jc w:val="both"/>
      </w:pPr>
    </w:p>
    <w:p w14:paraId="244B3FC4" w14:textId="77777777" w:rsidR="00590273" w:rsidRPr="002C1307" w:rsidRDefault="00590273" w:rsidP="00590273">
      <w:pPr>
        <w:spacing w:line="360" w:lineRule="auto"/>
        <w:jc w:val="both"/>
      </w:pPr>
      <w:r>
        <w:t>Body mass (g) for each individual was measured as an indicator of short-term body condition and motivation. Magpies stepped onto a calibrated top-pan scale (Ohaus Challenger, 1,000 g ±1g) for a reward of  &lt;</w:t>
      </w:r>
      <w:r w:rsidRPr="000F238F">
        <w:t xml:space="preserve"> </w:t>
      </w:r>
      <w:r>
        <w:t xml:space="preserve">1g of mozzarella </w:t>
      </w:r>
      <w:r>
        <w:fldChar w:fldCharType="begin"/>
      </w:r>
      <w:r>
        <w:instrText xml:space="preserve"> ADDIN EN.CITE &lt;EndNote&gt;&lt;Cite&gt;&lt;Author&gt;Edwards&lt;/Author&gt;&lt;Year&gt;2015&lt;/Year&gt;&lt;RecNum&gt;392&lt;/RecNum&gt;&lt;DisplayText&gt;(Edwards et al. 2015)&lt;/DisplayText&gt;&lt;record&gt;&lt;rec-number&gt;392&lt;/rec-number&gt;&lt;foreign-keys&gt;&lt;key app="EN" db-id="9dvazf5f6v9dx0etppwx5r5e2z9fx5wrwzv2" timestamp="1726799979"&gt;392&lt;/key&gt;&lt;/foreign-keys&gt;&lt;ref-type name="Journal Article"&gt;17&lt;/ref-type&gt;&lt;contributors&gt;&lt;authors&gt;&lt;author&gt;Edwards, Emily K&lt;/author&gt;&lt;author&gt;Mitchell, Nicola J&lt;/author&gt;&lt;author&gt;Ridley, Amanda R&lt;/author&gt;&lt;/authors&gt;&lt;/contributors&gt;&lt;titles&gt;&lt;title&gt;The impact of high temperatures on foraging behaviour and body condition in the Western Australian Magpie Cracticus tibicen dorsalis&lt;/title&gt;&lt;secondary-title&gt;Ostrich&lt;/secondary-title&gt;&lt;/titles&gt;&lt;periodical&gt;&lt;full-title&gt;Ostrich&lt;/full-title&gt;&lt;/periodical&gt;&lt;pages&gt;137-144&lt;/pages&gt;&lt;volume&gt;86&lt;/volume&gt;&lt;number&gt;1-2&lt;/number&gt;&lt;dates&gt;&lt;year&gt;2015&lt;/year&gt;&lt;/dates&gt;&lt;isbn&gt;0030-6525&lt;/isbn&gt;&lt;urls&gt;&lt;/urls&gt;&lt;/record&gt;&lt;/Cite&gt;&lt;/EndNote&gt;</w:instrText>
      </w:r>
      <w:r>
        <w:fldChar w:fldCharType="separate"/>
      </w:r>
      <w:r>
        <w:rPr>
          <w:noProof/>
        </w:rPr>
        <w:t>(Edwards et al. 2015)</w:t>
      </w:r>
      <w:r>
        <w:fldChar w:fldCharType="end"/>
      </w:r>
      <w:r>
        <w:t>. Body mass measurements were collected within one week of testing at approximately the same time of day as the start of trials. Two mass values were obtained per individual. One mass was recorded within the OP1 and OP2 window, and one at OP3 to account for potential seasonal differences in body mass.</w:t>
      </w:r>
    </w:p>
    <w:p w14:paraId="5661405C" w14:textId="77777777" w:rsidR="00590273" w:rsidRDefault="00590273" w:rsidP="00204B1C"/>
    <w:p w14:paraId="778DC361" w14:textId="5979AD3C" w:rsidR="009C01BF" w:rsidRPr="004073E9" w:rsidRDefault="009C01BF" w:rsidP="009C01BF">
      <w:pPr>
        <w:spacing w:line="360" w:lineRule="auto"/>
        <w:rPr>
          <w:i/>
          <w:iCs/>
        </w:rPr>
      </w:pPr>
      <w:r>
        <w:rPr>
          <w:i/>
          <w:iCs/>
        </w:rPr>
        <w:t xml:space="preserve">Statistical analysis - </w:t>
      </w:r>
      <w:r w:rsidRPr="004073E9">
        <w:rPr>
          <w:i/>
          <w:iCs/>
        </w:rPr>
        <w:t xml:space="preserve">Model selection </w:t>
      </w:r>
    </w:p>
    <w:p w14:paraId="148D635E" w14:textId="77777777" w:rsidR="009C01BF" w:rsidRDefault="009C01BF" w:rsidP="009C01BF">
      <w:pPr>
        <w:spacing w:line="360" w:lineRule="auto"/>
        <w:jc w:val="both"/>
      </w:pPr>
      <w:r>
        <w:t xml:space="preserve">Akaike information criterion values (AICc) were used to rank candidate models. Following Harrisson et al. </w:t>
      </w:r>
      <w:r>
        <w:fldChar w:fldCharType="begin"/>
      </w:r>
      <w:r>
        <w:instrText xml:space="preserve"> ADDIN EN.CITE &lt;EndNote&gt;&lt;Cite ExcludeAuth="1"&gt;&lt;Author&gt;Harrison&lt;/Author&gt;&lt;Year&gt;2018&lt;/Year&gt;&lt;RecNum&gt;686&lt;/RecNum&gt;&lt;DisplayText&gt;(2018)&lt;/DisplayText&gt;&lt;record&gt;&lt;rec-number&gt;686&lt;/rec-number&gt;&lt;foreign-keys&gt;&lt;key app="EN" db-id="9dvazf5f6v9dx0etppwx5r5e2z9fx5wrwzv2" timestamp="1758944741"&gt;686&lt;/key&gt;&lt;/foreign-keys&gt;&lt;ref-type name="Journal Article"&gt;17&lt;/ref-type&gt;&lt;contributors&gt;&lt;authors&gt;&lt;author&gt;Harrison, Xavier A&lt;/author&gt;&lt;author&gt;Donaldson, Lynda&lt;/author&gt;&lt;author&gt;Correa-Cano, Maria Eugenia&lt;/author&gt;&lt;author&gt;Evans, Julian&lt;/author&gt;&lt;author&gt;Fisher, David N&lt;/author&gt;&lt;author&gt;Goodwin, Cecily ED&lt;/author&gt;&lt;author&gt;Robinson, Beth S&lt;/author&gt;&lt;author&gt;Hodgson, David J&lt;/author&gt;&lt;author&gt;Inger, Richard&lt;/author&gt;&lt;/authors&gt;&lt;/contributors&gt;&lt;titles&gt;&lt;title&gt;A brief introduction to mixed effects modelling and multi-model inference in ecology&lt;/title&gt;&lt;secondary-title&gt;PeerJ&lt;/secondary-title&gt;&lt;/titles&gt;&lt;periodical&gt;&lt;full-title&gt;PeerJ&lt;/full-title&gt;&lt;/periodical&gt;&lt;pages&gt;e4794&lt;/pages&gt;&lt;volume&gt;6&lt;/volume&gt;&lt;dates&gt;&lt;year&gt;2018&lt;/year&gt;&lt;/dates&gt;&lt;isbn&gt;2167-8359&lt;/isbn&gt;&lt;urls&gt;&lt;/urls&gt;&lt;electronic-resource-num&gt;https://doi.org/10.7717/peerj.4794&lt;/electronic-resource-num&gt;&lt;/record&gt;&lt;/Cite&gt;&lt;/EndNote&gt;</w:instrText>
      </w:r>
      <w:r>
        <w:fldChar w:fldCharType="separate"/>
      </w:r>
      <w:r>
        <w:rPr>
          <w:noProof/>
        </w:rPr>
        <w:t>(2018)</w:t>
      </w:r>
      <w:r>
        <w:fldChar w:fldCharType="end"/>
      </w:r>
      <w:r>
        <w:t xml:space="preserve">, each model was evaluated against a basic model (a model including only the intercept and random effects). For predictor models, predictors whose 95% confidence intervals (CIs) encompassed zero were not retained in additive models, and when multiple models lay within ΔAICc &lt; 2 of the best model, we took the simpler model (fewer terms) as the most predictive </w:t>
      </w:r>
      <w:r>
        <w:fldChar w:fldCharType="begin"/>
      </w:r>
      <w:r>
        <w:instrText xml:space="preserve"> ADDIN EN.CITE &lt;EndNote&gt;&lt;Cite&gt;&lt;Author&gt;Harrison&lt;/Author&gt;&lt;Year&gt;2018&lt;/Year&gt;&lt;RecNum&gt;686&lt;/RecNum&gt;&lt;DisplayText&gt;(Harrison et al. 2018)&lt;/DisplayText&gt;&lt;record&gt;&lt;rec-number&gt;686&lt;/rec-number&gt;&lt;foreign-keys&gt;&lt;key app="EN" db-id="9dvazf5f6v9dx0etppwx5r5e2z9fx5wrwzv2" timestamp="1758944741"&gt;686&lt;/key&gt;&lt;/foreign-keys&gt;&lt;ref-type name="Journal Article"&gt;17&lt;/ref-type&gt;&lt;contributors&gt;&lt;authors&gt;&lt;author&gt;Harrison, Xavier A&lt;/author&gt;&lt;author&gt;Donaldson, Lynda&lt;/author&gt;&lt;author&gt;Correa-Cano, Maria Eugenia&lt;/author&gt;&lt;author&gt;Evans, Julian&lt;/author&gt;&lt;author&gt;Fisher, David N&lt;/author&gt;&lt;author&gt;Goodwin, Cecily ED&lt;/author&gt;&lt;author&gt;Robinson, Beth S&lt;/author&gt;&lt;author&gt;Hodgson, David J&lt;/author&gt;&lt;author&gt;Inger, Richard&lt;/author&gt;&lt;/authors&gt;&lt;/contributors&gt;&lt;titles&gt;&lt;title&gt;A brief introduction to mixed effects modelling and multi-model inference in ecology&lt;/title&gt;&lt;secondary-title&gt;PeerJ&lt;/secondary-title&gt;&lt;/titles&gt;&lt;periodical&gt;&lt;full-title&gt;PeerJ&lt;/full-title&gt;&lt;/periodical&gt;&lt;pages&gt;e4794&lt;/pages&gt;&lt;volume&gt;6&lt;/volume&gt;&lt;dates&gt;&lt;year&gt;2018&lt;/year&gt;&lt;/dates&gt;&lt;isbn&gt;2167-8359&lt;/isbn&gt;&lt;urls&gt;&lt;/urls&gt;&lt;electronic-resource-num&gt;https://doi.org/10.7717/peerj.4794&lt;/electronic-resource-num&gt;&lt;/record&gt;&lt;/Cite&gt;&lt;/EndNote&gt;</w:instrText>
      </w:r>
      <w:r>
        <w:fldChar w:fldCharType="separate"/>
      </w:r>
      <w:r>
        <w:rPr>
          <w:noProof/>
        </w:rPr>
        <w:t>(Harrison et al. 2018)</w:t>
      </w:r>
      <w:r>
        <w:fldChar w:fldCharType="end"/>
      </w:r>
      <w:r>
        <w:t xml:space="preserve">. Only models corresponding to biologically credible hypotheses were considered </w:t>
      </w:r>
      <w:r>
        <w:fldChar w:fldCharType="begin"/>
      </w:r>
      <w:r>
        <w:instrText xml:space="preserve"> ADDIN EN.CITE &lt;EndNote&gt;&lt;Cite&gt;&lt;Author&gt;Burnham&lt;/Author&gt;&lt;Year&gt;2002&lt;/Year&gt;&lt;RecNum&gt;687&lt;/RecNum&gt;&lt;DisplayText&gt;(Burnham and Anderson 2002)&lt;/DisplayText&gt;&lt;record&gt;&lt;rec-number&gt;687&lt;/rec-number&gt;&lt;foreign-keys&gt;&lt;key app="EN" db-id="9dvazf5f6v9dx0etppwx5r5e2z9fx5wrwzv2" timestamp="1758944917"&gt;687&lt;/key&gt;&lt;/foreign-keys&gt;&lt;ref-type name="Book"&gt;6&lt;/ref-type&gt;&lt;contributors&gt;&lt;authors&gt;&lt;author&gt;Burnham, Kenneth P&lt;/author&gt;&lt;author&gt;Anderson, David R&lt;/author&gt;&lt;/authors&gt;&lt;/contributors&gt;&lt;titles&gt;&lt;title&gt;Model selection and multimodel inference: a practical information-theoretic approach&lt;/title&gt;&lt;/titles&gt;&lt;dates&gt;&lt;year&gt;2002&lt;/year&gt;&lt;/dates&gt;&lt;publisher&gt;Springer&lt;/publisher&gt;&lt;urls&gt;&lt;/urls&gt;&lt;electronic-resource-num&gt;https://doi.org/10.1007/978-0-387-22456-5_6&lt;/electronic-resource-num&gt;&lt;/record&gt;&lt;/Cite&gt;&lt;/EndNote&gt;</w:instrText>
      </w:r>
      <w:r>
        <w:fldChar w:fldCharType="separate"/>
      </w:r>
      <w:r>
        <w:rPr>
          <w:noProof/>
        </w:rPr>
        <w:t>(Burnham and Anderson 2002)</w:t>
      </w:r>
      <w:r>
        <w:fldChar w:fldCharType="end"/>
      </w:r>
      <w:r>
        <w:t xml:space="preserve">. </w:t>
      </w:r>
    </w:p>
    <w:p w14:paraId="0F29BBD5" w14:textId="77777777" w:rsidR="009C01BF" w:rsidRDefault="009C01BF" w:rsidP="009C01BF">
      <w:pPr>
        <w:spacing w:line="360" w:lineRule="auto"/>
        <w:jc w:val="both"/>
      </w:pPr>
    </w:p>
    <w:p w14:paraId="25D7E2D6" w14:textId="1E6F8288" w:rsidR="00CD2D5C" w:rsidRPr="000C22CA" w:rsidRDefault="009C01BF" w:rsidP="000C22CA">
      <w:pPr>
        <w:spacing w:line="360" w:lineRule="auto"/>
        <w:jc w:val="both"/>
      </w:pPr>
      <w:r>
        <w:t xml:space="preserve">All potential explanatory variables collected were tested as individual predictors in both first-attempt and trials-to-criterion analyses before we assembled more complex additive and interaction models. Complex models were built from hypothesis-driven predictors that were individually significant and improved model fit (ΔAICc &gt; 2), avoiding non-informative additions and false positives. Some predictors were analysed on subsets only because missing core-range estimates for three groups (six individuals) prevented calculation of vegetation-density and anthropogenic-impact metrics.  </w:t>
      </w:r>
    </w:p>
    <w:p w14:paraId="58751C0C" w14:textId="77777777" w:rsidR="00CD2D5C" w:rsidRDefault="00CD2D5C" w:rsidP="00204B1C">
      <w:pPr>
        <w:rPr>
          <w:b/>
          <w:bCs/>
          <w:i/>
          <w:iCs/>
        </w:rPr>
      </w:pPr>
    </w:p>
    <w:p w14:paraId="65A8E7B7" w14:textId="77777777" w:rsidR="00E41006" w:rsidRPr="005A11BD" w:rsidRDefault="00E41006" w:rsidP="00E41006">
      <w:pPr>
        <w:spacing w:line="360" w:lineRule="auto"/>
        <w:rPr>
          <w:i/>
          <w:iCs/>
        </w:rPr>
      </w:pPr>
      <w:r w:rsidRPr="00180E30">
        <w:rPr>
          <w:i/>
          <w:iCs/>
        </w:rPr>
        <w:t>Power analysis</w:t>
      </w:r>
    </w:p>
    <w:p w14:paraId="1BCE4939" w14:textId="77777777" w:rsidR="00E41006" w:rsidRDefault="00E41006" w:rsidP="00E41006">
      <w:pPr>
        <w:spacing w:line="360" w:lineRule="auto"/>
        <w:jc w:val="both"/>
      </w:pPr>
      <w:r w:rsidRPr="00180E30">
        <w:t xml:space="preserve">A post-hoc </w:t>
      </w:r>
      <w:r>
        <w:t>power analysis using Cohen’s f</w:t>
      </w:r>
      <w:r>
        <w:rPr>
          <w:vertAlign w:val="superscript"/>
        </w:rPr>
        <w:t>2</w:t>
      </w:r>
      <w:r>
        <w:t xml:space="preserve"> indicated that with a sample size of 103 individual tests and three fixed effect predictors (phase, latency, and quadratic latency), the study had approximately 19% power to detect small effect (</w:t>
      </w:r>
      <w:r w:rsidRPr="00180E30">
        <w:t>f</w:t>
      </w:r>
      <w:r w:rsidRPr="00180E30">
        <w:rPr>
          <w:vertAlign w:val="superscript"/>
        </w:rPr>
        <w:t xml:space="preserve">2 </w:t>
      </w:r>
      <w:r w:rsidRPr="00180E30">
        <w:t xml:space="preserve">= 0.02), </w:t>
      </w:r>
      <w:r>
        <w:t>91</w:t>
      </w:r>
      <w:r w:rsidRPr="00180E30">
        <w:t>% power to detect a medium effect (f</w:t>
      </w:r>
      <w:r w:rsidRPr="00180E30">
        <w:rPr>
          <w:vertAlign w:val="superscript"/>
        </w:rPr>
        <w:t xml:space="preserve">2 </w:t>
      </w:r>
      <w:r w:rsidRPr="00180E30">
        <w:t xml:space="preserve">= 0.15), and </w:t>
      </w:r>
      <w:r>
        <w:t>99.96</w:t>
      </w:r>
      <w:r w:rsidRPr="00180E30">
        <w:t>% power to detect a large effect (f</w:t>
      </w:r>
      <w:r w:rsidRPr="00180E30">
        <w:rPr>
          <w:vertAlign w:val="superscript"/>
        </w:rPr>
        <w:t xml:space="preserve">2 </w:t>
      </w:r>
      <w:r w:rsidRPr="00180E30">
        <w:t xml:space="preserve">= 0.35) at </w:t>
      </w:r>
      <w:r w:rsidRPr="00180E30">
        <w:rPr>
          <w:rFonts w:eastAsiaTheme="minorHAnsi"/>
          <w:lang w:val="en-GB" w:eastAsia="en-US"/>
          <w14:ligatures w14:val="standardContextual"/>
        </w:rPr>
        <w:t>α = 0.05. These results</w:t>
      </w:r>
      <w:r>
        <w:rPr>
          <w:rFonts w:eastAsiaTheme="minorHAnsi"/>
          <w:lang w:val="en-GB" w:eastAsia="en-US"/>
          <w14:ligatures w14:val="standardContextual"/>
        </w:rPr>
        <w:t xml:space="preserve">, based on a conventional approximation, </w:t>
      </w:r>
      <w:r w:rsidRPr="00180E30">
        <w:rPr>
          <w:rFonts w:eastAsiaTheme="minorHAnsi"/>
          <w:lang w:val="en-GB" w:eastAsia="en-US"/>
          <w14:ligatures w14:val="standardContextual"/>
        </w:rPr>
        <w:t xml:space="preserve">suggest that the study was </w:t>
      </w:r>
      <w:r>
        <w:rPr>
          <w:rFonts w:eastAsiaTheme="minorHAnsi"/>
          <w:lang w:val="en-GB" w:eastAsia="en-US"/>
          <w14:ligatures w14:val="standardContextual"/>
        </w:rPr>
        <w:t>well</w:t>
      </w:r>
      <w:r w:rsidRPr="00180E30">
        <w:rPr>
          <w:rFonts w:eastAsiaTheme="minorHAnsi"/>
          <w:lang w:val="en-GB" w:eastAsia="en-US"/>
          <w14:ligatures w14:val="standardContextual"/>
        </w:rPr>
        <w:t xml:space="preserve"> powered to detect </w:t>
      </w:r>
      <w:r>
        <w:rPr>
          <w:rFonts w:eastAsiaTheme="minorHAnsi"/>
          <w:lang w:val="en-GB" w:eastAsia="en-US"/>
          <w14:ligatures w14:val="standardContextual"/>
        </w:rPr>
        <w:t>medium and large</w:t>
      </w:r>
      <w:r w:rsidRPr="00180E30">
        <w:rPr>
          <w:rFonts w:eastAsiaTheme="minorHAnsi"/>
          <w:lang w:val="en-GB" w:eastAsia="en-US"/>
          <w14:ligatures w14:val="standardContextual"/>
        </w:rPr>
        <w:t xml:space="preserve"> effects</w:t>
      </w:r>
      <w:r>
        <w:rPr>
          <w:rFonts w:eastAsiaTheme="minorHAnsi"/>
          <w:lang w:val="en-GB" w:eastAsia="en-US"/>
          <w14:ligatures w14:val="standardContextual"/>
        </w:rPr>
        <w:t xml:space="preserve"> but had limited power to detect small effects. </w:t>
      </w:r>
    </w:p>
    <w:p w14:paraId="6C18F3A2" w14:textId="77777777" w:rsidR="00B63DC6" w:rsidRDefault="00B63DC6" w:rsidP="00204B1C">
      <w:pPr>
        <w:rPr>
          <w:b/>
          <w:bCs/>
          <w:i/>
          <w:iCs/>
        </w:rPr>
      </w:pPr>
    </w:p>
    <w:p w14:paraId="1CC8D1A6" w14:textId="77777777" w:rsidR="00B63DC6" w:rsidRDefault="00B63DC6" w:rsidP="00B63DC6">
      <w:pPr>
        <w:spacing w:line="360" w:lineRule="auto"/>
        <w:rPr>
          <w:b/>
          <w:bCs/>
        </w:rPr>
      </w:pPr>
      <w:r w:rsidRPr="00404F0F">
        <w:rPr>
          <w:b/>
          <w:bCs/>
        </w:rPr>
        <w:t xml:space="preserve">References </w:t>
      </w:r>
    </w:p>
    <w:p w14:paraId="183B5F99" w14:textId="77777777" w:rsidR="00B63DC6" w:rsidRDefault="00B63DC6" w:rsidP="00204B1C">
      <w:pPr>
        <w:rPr>
          <w:b/>
          <w:bCs/>
          <w:i/>
          <w:iCs/>
        </w:rPr>
      </w:pPr>
    </w:p>
    <w:p w14:paraId="715A157A" w14:textId="77777777" w:rsidR="00B63DC6" w:rsidRPr="00B63DC6" w:rsidRDefault="00B63DC6" w:rsidP="00B63DC6">
      <w:pPr>
        <w:pStyle w:val="EndNoteBibliography"/>
        <w:spacing w:line="360" w:lineRule="auto"/>
        <w:rPr>
          <w:noProof/>
        </w:rPr>
      </w:pPr>
      <w:r>
        <w:rPr>
          <w:b/>
          <w:bCs/>
          <w:i/>
          <w:iCs/>
        </w:rPr>
        <w:fldChar w:fldCharType="begin"/>
      </w:r>
      <w:r>
        <w:rPr>
          <w:b/>
          <w:bCs/>
          <w:i/>
          <w:iCs/>
        </w:rPr>
        <w:instrText xml:space="preserve"> ADDIN EN.REFLIST </w:instrText>
      </w:r>
      <w:r>
        <w:rPr>
          <w:b/>
          <w:bCs/>
          <w:i/>
          <w:iCs/>
        </w:rPr>
        <w:fldChar w:fldCharType="separate"/>
      </w:r>
      <w:r w:rsidRPr="00B63DC6">
        <w:rPr>
          <w:noProof/>
        </w:rPr>
        <w:tab/>
        <w:t xml:space="preserve">Bureau of Meteorology. (2025). Australia’s official weather forecasts &amp; weather radar. Australian Government. </w:t>
      </w:r>
    </w:p>
    <w:p w14:paraId="25A1C166" w14:textId="281D3276" w:rsidR="00B63DC6" w:rsidRPr="00B63DC6" w:rsidRDefault="00B63DC6" w:rsidP="00B63DC6">
      <w:pPr>
        <w:pStyle w:val="EndNoteBibliography"/>
        <w:spacing w:line="360" w:lineRule="auto"/>
        <w:rPr>
          <w:noProof/>
        </w:rPr>
      </w:pPr>
      <w:r w:rsidRPr="00B63DC6">
        <w:rPr>
          <w:noProof/>
        </w:rPr>
        <w:tab/>
        <w:t xml:space="preserve">Burnham, K. P. and Anderson, D. R. (2002). Model selection and multimodel inference: a practical information-theoretic approach: Springer. </w:t>
      </w:r>
      <w:hyperlink r:id="rId8" w:history="1">
        <w:r w:rsidRPr="00B63DC6">
          <w:rPr>
            <w:rStyle w:val="Hyperlink"/>
            <w:noProof/>
          </w:rPr>
          <w:t>https://doi.org/10.1007/978-0-387-22456-5_6</w:t>
        </w:r>
      </w:hyperlink>
    </w:p>
    <w:p w14:paraId="7CED6943" w14:textId="77777777" w:rsidR="00B63DC6" w:rsidRPr="00B63DC6" w:rsidRDefault="00B63DC6" w:rsidP="00B63DC6">
      <w:pPr>
        <w:pStyle w:val="EndNoteBibliography"/>
        <w:spacing w:line="360" w:lineRule="auto"/>
        <w:rPr>
          <w:noProof/>
        </w:rPr>
      </w:pPr>
      <w:r w:rsidRPr="00B63DC6">
        <w:rPr>
          <w:noProof/>
        </w:rPr>
        <w:lastRenderedPageBreak/>
        <w:tab/>
        <w:t xml:space="preserve">Edwards, E. K., Mitchell, N. J. and Ridley, A. R. (2015). The impact of high temperatures on foraging behaviour and body condition in the Western Australian Magpie Cracticus tibicen dorsalis. </w:t>
      </w:r>
      <w:r w:rsidRPr="00B63DC6">
        <w:rPr>
          <w:i/>
          <w:noProof/>
        </w:rPr>
        <w:t>Ostrich</w:t>
      </w:r>
      <w:r w:rsidRPr="00B63DC6">
        <w:rPr>
          <w:noProof/>
        </w:rPr>
        <w:t xml:space="preserve"> 86, 137-144. </w:t>
      </w:r>
    </w:p>
    <w:p w14:paraId="7A890DAD" w14:textId="659A08BF" w:rsidR="00B63DC6" w:rsidRPr="00B63DC6" w:rsidRDefault="00B63DC6" w:rsidP="00B63DC6">
      <w:pPr>
        <w:pStyle w:val="EndNoteBibliography"/>
        <w:spacing w:line="360" w:lineRule="auto"/>
        <w:rPr>
          <w:noProof/>
        </w:rPr>
      </w:pPr>
      <w:r w:rsidRPr="00B63DC6">
        <w:rPr>
          <w:noProof/>
        </w:rPr>
        <w:tab/>
        <w:t xml:space="preserve">Harrison, X. A., Donaldson, L., Correa-Cano, M. E., Evans, J., Fisher, D. N., Goodwin, C. E., Robinson, B. S., Hodgson, D. J. and Inger, R. (2018). A brief introduction to mixed effects modelling and multi-model inference in ecology. </w:t>
      </w:r>
      <w:r w:rsidRPr="00B63DC6">
        <w:rPr>
          <w:i/>
          <w:noProof/>
        </w:rPr>
        <w:t>PeerJ</w:t>
      </w:r>
      <w:r w:rsidRPr="00B63DC6">
        <w:rPr>
          <w:noProof/>
        </w:rPr>
        <w:t xml:space="preserve"> 6, e4794. </w:t>
      </w:r>
      <w:hyperlink r:id="rId9" w:history="1">
        <w:r w:rsidRPr="00B63DC6">
          <w:rPr>
            <w:rStyle w:val="Hyperlink"/>
            <w:noProof/>
          </w:rPr>
          <w:t>https://doi.org/10.7717/peerj.4794</w:t>
        </w:r>
      </w:hyperlink>
    </w:p>
    <w:p w14:paraId="1865069F" w14:textId="033D3DEF" w:rsidR="00B63DC6" w:rsidRPr="00B63DC6" w:rsidRDefault="00B63DC6" w:rsidP="00B63DC6">
      <w:pPr>
        <w:pStyle w:val="EndNoteBibliography"/>
        <w:spacing w:line="360" w:lineRule="auto"/>
        <w:rPr>
          <w:noProof/>
        </w:rPr>
      </w:pPr>
      <w:r w:rsidRPr="00B63DC6">
        <w:rPr>
          <w:noProof/>
        </w:rPr>
        <w:tab/>
        <w:t xml:space="preserve">Rockwell, C., Gabriel, P. O. and Black, J. M. (2012). Bolder, older, and selective: factors of individual-specific foraging behaviors in Steller’s jays. </w:t>
      </w:r>
      <w:r w:rsidRPr="00B63DC6">
        <w:rPr>
          <w:i/>
          <w:noProof/>
        </w:rPr>
        <w:t>Behavioral Ecology</w:t>
      </w:r>
      <w:r w:rsidRPr="00B63DC6">
        <w:rPr>
          <w:noProof/>
        </w:rPr>
        <w:t xml:space="preserve"> 23, 676-683. </w:t>
      </w:r>
      <w:hyperlink r:id="rId10" w:history="1">
        <w:r w:rsidRPr="00B63DC6">
          <w:rPr>
            <w:rStyle w:val="Hyperlink"/>
            <w:noProof/>
          </w:rPr>
          <w:t>https://doi.org/10.1093/beheco/ars015</w:t>
        </w:r>
      </w:hyperlink>
    </w:p>
    <w:p w14:paraId="2CA513C7" w14:textId="561C57E6" w:rsidR="00CD2D5C" w:rsidRDefault="00B63DC6" w:rsidP="00B63DC6">
      <w:pPr>
        <w:spacing w:line="360" w:lineRule="auto"/>
        <w:rPr>
          <w:b/>
          <w:bCs/>
          <w:i/>
          <w:iCs/>
        </w:rPr>
      </w:pPr>
      <w:r>
        <w:rPr>
          <w:b/>
          <w:bCs/>
          <w:i/>
          <w:iCs/>
        </w:rPr>
        <w:fldChar w:fldCharType="end"/>
      </w:r>
    </w:p>
    <w:sectPr w:rsidR="00CD2D5C">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D4A479" w14:textId="77777777" w:rsidR="0015271C" w:rsidRDefault="0015271C" w:rsidP="00476933">
      <w:r>
        <w:separator/>
      </w:r>
    </w:p>
  </w:endnote>
  <w:endnote w:type="continuationSeparator" w:id="0">
    <w:p w14:paraId="3BF5BA63" w14:textId="77777777" w:rsidR="0015271C" w:rsidRDefault="0015271C" w:rsidP="00476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30440334"/>
      <w:docPartObj>
        <w:docPartGallery w:val="Page Numbers (Bottom of Page)"/>
        <w:docPartUnique/>
      </w:docPartObj>
    </w:sdtPr>
    <w:sdtContent>
      <w:p w14:paraId="77A6E56F" w14:textId="5E3F9CE5" w:rsidR="00476933" w:rsidRDefault="00476933" w:rsidP="000655F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022F1E7" w14:textId="77777777" w:rsidR="00476933" w:rsidRDefault="00476933" w:rsidP="004769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34786414"/>
      <w:docPartObj>
        <w:docPartGallery w:val="Page Numbers (Bottom of Page)"/>
        <w:docPartUnique/>
      </w:docPartObj>
    </w:sdtPr>
    <w:sdtContent>
      <w:p w14:paraId="18831577" w14:textId="25AAAD7D" w:rsidR="00476933" w:rsidRDefault="00476933" w:rsidP="000655F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27E85EA1" w14:textId="77777777" w:rsidR="00476933" w:rsidRDefault="00476933" w:rsidP="004769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504A4B" w14:textId="77777777" w:rsidR="0015271C" w:rsidRDefault="0015271C" w:rsidP="00476933">
      <w:r>
        <w:separator/>
      </w:r>
    </w:p>
  </w:footnote>
  <w:footnote w:type="continuationSeparator" w:id="0">
    <w:p w14:paraId="2737E898" w14:textId="77777777" w:rsidR="0015271C" w:rsidRDefault="0015271C" w:rsidP="00476933">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Exp Biology (1)&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dvazf5f6v9dx0etppwx5r5e2z9fx5wrwzv2&quot;&gt;My EndNote Library&lt;record-ids&gt;&lt;item&gt;392&lt;/item&gt;&lt;item&gt;686&lt;/item&gt;&lt;item&gt;687&lt;/item&gt;&lt;item&gt;735&lt;/item&gt;&lt;item&gt;736&lt;/item&gt;&lt;/record-ids&gt;&lt;/item&gt;&lt;/Libraries&gt;"/>
  </w:docVars>
  <w:rsids>
    <w:rsidRoot w:val="00754F7E"/>
    <w:rsid w:val="000015AD"/>
    <w:rsid w:val="00001C80"/>
    <w:rsid w:val="000028DB"/>
    <w:rsid w:val="00006A8A"/>
    <w:rsid w:val="0001053F"/>
    <w:rsid w:val="00027463"/>
    <w:rsid w:val="000306AE"/>
    <w:rsid w:val="000322FA"/>
    <w:rsid w:val="000327D7"/>
    <w:rsid w:val="00043F39"/>
    <w:rsid w:val="000628E4"/>
    <w:rsid w:val="000652F9"/>
    <w:rsid w:val="00066862"/>
    <w:rsid w:val="00066A12"/>
    <w:rsid w:val="00067F0A"/>
    <w:rsid w:val="00072DE2"/>
    <w:rsid w:val="00080625"/>
    <w:rsid w:val="00083532"/>
    <w:rsid w:val="00083DE6"/>
    <w:rsid w:val="00084715"/>
    <w:rsid w:val="00085239"/>
    <w:rsid w:val="000856CB"/>
    <w:rsid w:val="00087EDC"/>
    <w:rsid w:val="0009590A"/>
    <w:rsid w:val="000A17E4"/>
    <w:rsid w:val="000A4112"/>
    <w:rsid w:val="000B113D"/>
    <w:rsid w:val="000B695A"/>
    <w:rsid w:val="000B6A95"/>
    <w:rsid w:val="000C22CA"/>
    <w:rsid w:val="000C3B6C"/>
    <w:rsid w:val="000C7D2E"/>
    <w:rsid w:val="000D18C1"/>
    <w:rsid w:val="000D3562"/>
    <w:rsid w:val="000D3763"/>
    <w:rsid w:val="000D4220"/>
    <w:rsid w:val="000D6C49"/>
    <w:rsid w:val="000E1DE0"/>
    <w:rsid w:val="000E45A1"/>
    <w:rsid w:val="000F7691"/>
    <w:rsid w:val="00103E11"/>
    <w:rsid w:val="00111203"/>
    <w:rsid w:val="00117AB3"/>
    <w:rsid w:val="001321AE"/>
    <w:rsid w:val="00136C30"/>
    <w:rsid w:val="001404E2"/>
    <w:rsid w:val="00143A64"/>
    <w:rsid w:val="001447D8"/>
    <w:rsid w:val="0015271C"/>
    <w:rsid w:val="001606D4"/>
    <w:rsid w:val="00163325"/>
    <w:rsid w:val="00164ADD"/>
    <w:rsid w:val="00165C8F"/>
    <w:rsid w:val="00194FBB"/>
    <w:rsid w:val="001B1FDC"/>
    <w:rsid w:val="001C2D8A"/>
    <w:rsid w:val="001C2FE7"/>
    <w:rsid w:val="001C5189"/>
    <w:rsid w:val="001D66E2"/>
    <w:rsid w:val="001E0D54"/>
    <w:rsid w:val="001E3ACE"/>
    <w:rsid w:val="001E44AC"/>
    <w:rsid w:val="001E47A2"/>
    <w:rsid w:val="001E55FF"/>
    <w:rsid w:val="001F2B4C"/>
    <w:rsid w:val="001F6AE3"/>
    <w:rsid w:val="0020247B"/>
    <w:rsid w:val="00204B1C"/>
    <w:rsid w:val="002068F7"/>
    <w:rsid w:val="002149EB"/>
    <w:rsid w:val="00217417"/>
    <w:rsid w:val="00217773"/>
    <w:rsid w:val="00220628"/>
    <w:rsid w:val="002322A2"/>
    <w:rsid w:val="0023505E"/>
    <w:rsid w:val="002355B8"/>
    <w:rsid w:val="00236018"/>
    <w:rsid w:val="002420F5"/>
    <w:rsid w:val="00245D5C"/>
    <w:rsid w:val="0026246C"/>
    <w:rsid w:val="0027135E"/>
    <w:rsid w:val="0027352F"/>
    <w:rsid w:val="00274694"/>
    <w:rsid w:val="0027799A"/>
    <w:rsid w:val="00280FAE"/>
    <w:rsid w:val="00290BED"/>
    <w:rsid w:val="002959FB"/>
    <w:rsid w:val="0029750B"/>
    <w:rsid w:val="00297E22"/>
    <w:rsid w:val="002A5EBF"/>
    <w:rsid w:val="002B2078"/>
    <w:rsid w:val="002B27E3"/>
    <w:rsid w:val="002B5283"/>
    <w:rsid w:val="002C3F77"/>
    <w:rsid w:val="002C442E"/>
    <w:rsid w:val="002D1FB0"/>
    <w:rsid w:val="002E3B3F"/>
    <w:rsid w:val="002E5F65"/>
    <w:rsid w:val="002F0BAE"/>
    <w:rsid w:val="002F20C5"/>
    <w:rsid w:val="002F2E09"/>
    <w:rsid w:val="0030390E"/>
    <w:rsid w:val="003067E2"/>
    <w:rsid w:val="003105CB"/>
    <w:rsid w:val="003124D4"/>
    <w:rsid w:val="00315D59"/>
    <w:rsid w:val="00323E96"/>
    <w:rsid w:val="00323EA0"/>
    <w:rsid w:val="00324326"/>
    <w:rsid w:val="00335DAF"/>
    <w:rsid w:val="00343700"/>
    <w:rsid w:val="00345907"/>
    <w:rsid w:val="00345B28"/>
    <w:rsid w:val="00345CEB"/>
    <w:rsid w:val="003505FA"/>
    <w:rsid w:val="00352863"/>
    <w:rsid w:val="00352B55"/>
    <w:rsid w:val="00355247"/>
    <w:rsid w:val="00357924"/>
    <w:rsid w:val="00357B5D"/>
    <w:rsid w:val="003613BE"/>
    <w:rsid w:val="003641C2"/>
    <w:rsid w:val="003710FF"/>
    <w:rsid w:val="00373B26"/>
    <w:rsid w:val="00375226"/>
    <w:rsid w:val="00385B07"/>
    <w:rsid w:val="00390F81"/>
    <w:rsid w:val="003939F9"/>
    <w:rsid w:val="0039437D"/>
    <w:rsid w:val="00397576"/>
    <w:rsid w:val="003A249B"/>
    <w:rsid w:val="003A4002"/>
    <w:rsid w:val="003A4729"/>
    <w:rsid w:val="003A49F5"/>
    <w:rsid w:val="003A4EF2"/>
    <w:rsid w:val="003A60C8"/>
    <w:rsid w:val="003B6F30"/>
    <w:rsid w:val="003C22E6"/>
    <w:rsid w:val="003C6817"/>
    <w:rsid w:val="003C6853"/>
    <w:rsid w:val="003C69F8"/>
    <w:rsid w:val="003D330B"/>
    <w:rsid w:val="003D726F"/>
    <w:rsid w:val="003D78FF"/>
    <w:rsid w:val="003E4D52"/>
    <w:rsid w:val="003E5881"/>
    <w:rsid w:val="003E6807"/>
    <w:rsid w:val="003F6C89"/>
    <w:rsid w:val="003F77DF"/>
    <w:rsid w:val="00400E0F"/>
    <w:rsid w:val="00407A88"/>
    <w:rsid w:val="00411875"/>
    <w:rsid w:val="00415198"/>
    <w:rsid w:val="00423703"/>
    <w:rsid w:val="004259E5"/>
    <w:rsid w:val="00426DFB"/>
    <w:rsid w:val="00434E0F"/>
    <w:rsid w:val="00435D63"/>
    <w:rsid w:val="004426F6"/>
    <w:rsid w:val="004436AA"/>
    <w:rsid w:val="004448E5"/>
    <w:rsid w:val="00450785"/>
    <w:rsid w:val="00461EDE"/>
    <w:rsid w:val="00462C9B"/>
    <w:rsid w:val="004634AA"/>
    <w:rsid w:val="00473807"/>
    <w:rsid w:val="00474941"/>
    <w:rsid w:val="00476933"/>
    <w:rsid w:val="004828A3"/>
    <w:rsid w:val="0049029F"/>
    <w:rsid w:val="004950EC"/>
    <w:rsid w:val="00495C29"/>
    <w:rsid w:val="00496F76"/>
    <w:rsid w:val="004A04F6"/>
    <w:rsid w:val="004A4B88"/>
    <w:rsid w:val="004A61ED"/>
    <w:rsid w:val="004B05F2"/>
    <w:rsid w:val="004B47C3"/>
    <w:rsid w:val="004B58FF"/>
    <w:rsid w:val="004C1075"/>
    <w:rsid w:val="004C207D"/>
    <w:rsid w:val="004D34F5"/>
    <w:rsid w:val="004D62BC"/>
    <w:rsid w:val="004D6C54"/>
    <w:rsid w:val="004E51E2"/>
    <w:rsid w:val="004F623F"/>
    <w:rsid w:val="004F64C8"/>
    <w:rsid w:val="005157B9"/>
    <w:rsid w:val="00516F43"/>
    <w:rsid w:val="00517CE6"/>
    <w:rsid w:val="00520D34"/>
    <w:rsid w:val="005211B0"/>
    <w:rsid w:val="005227ED"/>
    <w:rsid w:val="005241BC"/>
    <w:rsid w:val="005374F0"/>
    <w:rsid w:val="00541E88"/>
    <w:rsid w:val="00542AF2"/>
    <w:rsid w:val="00555B79"/>
    <w:rsid w:val="005645CE"/>
    <w:rsid w:val="00564B55"/>
    <w:rsid w:val="00564FA2"/>
    <w:rsid w:val="005650DD"/>
    <w:rsid w:val="00566311"/>
    <w:rsid w:val="0056635D"/>
    <w:rsid w:val="00570980"/>
    <w:rsid w:val="00570A19"/>
    <w:rsid w:val="00573421"/>
    <w:rsid w:val="005778AB"/>
    <w:rsid w:val="00582C45"/>
    <w:rsid w:val="005831BB"/>
    <w:rsid w:val="005867E6"/>
    <w:rsid w:val="00587634"/>
    <w:rsid w:val="00590273"/>
    <w:rsid w:val="005908AF"/>
    <w:rsid w:val="00591061"/>
    <w:rsid w:val="005919E3"/>
    <w:rsid w:val="00591D85"/>
    <w:rsid w:val="005A13A2"/>
    <w:rsid w:val="005A471F"/>
    <w:rsid w:val="005A7D3E"/>
    <w:rsid w:val="005B0A0F"/>
    <w:rsid w:val="005B24FF"/>
    <w:rsid w:val="005B456C"/>
    <w:rsid w:val="005B528F"/>
    <w:rsid w:val="005B541C"/>
    <w:rsid w:val="005B563E"/>
    <w:rsid w:val="005C359D"/>
    <w:rsid w:val="005D0B2A"/>
    <w:rsid w:val="005D7CDD"/>
    <w:rsid w:val="005E0C53"/>
    <w:rsid w:val="005E54D7"/>
    <w:rsid w:val="005E6EC5"/>
    <w:rsid w:val="005F223E"/>
    <w:rsid w:val="005F67B3"/>
    <w:rsid w:val="00603F0C"/>
    <w:rsid w:val="00610438"/>
    <w:rsid w:val="00612DCA"/>
    <w:rsid w:val="006162A7"/>
    <w:rsid w:val="00621165"/>
    <w:rsid w:val="0062194D"/>
    <w:rsid w:val="0062562F"/>
    <w:rsid w:val="00627107"/>
    <w:rsid w:val="006307D8"/>
    <w:rsid w:val="006377FA"/>
    <w:rsid w:val="006429DC"/>
    <w:rsid w:val="00647476"/>
    <w:rsid w:val="00652282"/>
    <w:rsid w:val="00660046"/>
    <w:rsid w:val="00663CF3"/>
    <w:rsid w:val="00664725"/>
    <w:rsid w:val="00666961"/>
    <w:rsid w:val="0067128C"/>
    <w:rsid w:val="006720B8"/>
    <w:rsid w:val="00672EF1"/>
    <w:rsid w:val="00677FB7"/>
    <w:rsid w:val="00680A58"/>
    <w:rsid w:val="006819B2"/>
    <w:rsid w:val="00682D73"/>
    <w:rsid w:val="00683DF8"/>
    <w:rsid w:val="00683EC5"/>
    <w:rsid w:val="00685381"/>
    <w:rsid w:val="00685432"/>
    <w:rsid w:val="00685B59"/>
    <w:rsid w:val="006919AF"/>
    <w:rsid w:val="006967E6"/>
    <w:rsid w:val="006A46A2"/>
    <w:rsid w:val="006A4EC8"/>
    <w:rsid w:val="006B0635"/>
    <w:rsid w:val="006B4862"/>
    <w:rsid w:val="006C0821"/>
    <w:rsid w:val="006C1096"/>
    <w:rsid w:val="006C7997"/>
    <w:rsid w:val="006D22BC"/>
    <w:rsid w:val="006D336D"/>
    <w:rsid w:val="006D376B"/>
    <w:rsid w:val="006D6968"/>
    <w:rsid w:val="006D767E"/>
    <w:rsid w:val="006E7E80"/>
    <w:rsid w:val="006F20B5"/>
    <w:rsid w:val="006F2A8D"/>
    <w:rsid w:val="006F34DB"/>
    <w:rsid w:val="00701616"/>
    <w:rsid w:val="007016F2"/>
    <w:rsid w:val="00702E3C"/>
    <w:rsid w:val="00703310"/>
    <w:rsid w:val="00710400"/>
    <w:rsid w:val="00712004"/>
    <w:rsid w:val="00715DC1"/>
    <w:rsid w:val="00720E1A"/>
    <w:rsid w:val="00721BDF"/>
    <w:rsid w:val="00727830"/>
    <w:rsid w:val="007328A3"/>
    <w:rsid w:val="00736D5E"/>
    <w:rsid w:val="0074061B"/>
    <w:rsid w:val="00742DA6"/>
    <w:rsid w:val="00746F29"/>
    <w:rsid w:val="00754F7E"/>
    <w:rsid w:val="00754FAD"/>
    <w:rsid w:val="0075558A"/>
    <w:rsid w:val="00757DA6"/>
    <w:rsid w:val="00760035"/>
    <w:rsid w:val="00762FB0"/>
    <w:rsid w:val="007635FF"/>
    <w:rsid w:val="00765421"/>
    <w:rsid w:val="007739E8"/>
    <w:rsid w:val="00776E3E"/>
    <w:rsid w:val="00783CCA"/>
    <w:rsid w:val="00784C40"/>
    <w:rsid w:val="007851A3"/>
    <w:rsid w:val="00786C32"/>
    <w:rsid w:val="00787AAA"/>
    <w:rsid w:val="007B2B3E"/>
    <w:rsid w:val="007B3B5C"/>
    <w:rsid w:val="007B4DCD"/>
    <w:rsid w:val="007B61C6"/>
    <w:rsid w:val="007B7721"/>
    <w:rsid w:val="007C59AD"/>
    <w:rsid w:val="007C7C83"/>
    <w:rsid w:val="007D3C5A"/>
    <w:rsid w:val="007D6343"/>
    <w:rsid w:val="007D7600"/>
    <w:rsid w:val="007F1E21"/>
    <w:rsid w:val="007F2494"/>
    <w:rsid w:val="007F24F0"/>
    <w:rsid w:val="007F4CB1"/>
    <w:rsid w:val="007F68FD"/>
    <w:rsid w:val="00802758"/>
    <w:rsid w:val="008028BF"/>
    <w:rsid w:val="00805DBA"/>
    <w:rsid w:val="00810735"/>
    <w:rsid w:val="00817C14"/>
    <w:rsid w:val="0082291C"/>
    <w:rsid w:val="0082424B"/>
    <w:rsid w:val="00825733"/>
    <w:rsid w:val="0083151D"/>
    <w:rsid w:val="008333AE"/>
    <w:rsid w:val="00833531"/>
    <w:rsid w:val="00834177"/>
    <w:rsid w:val="00834561"/>
    <w:rsid w:val="00837164"/>
    <w:rsid w:val="00841092"/>
    <w:rsid w:val="00842153"/>
    <w:rsid w:val="0084476C"/>
    <w:rsid w:val="0084795B"/>
    <w:rsid w:val="00847ABC"/>
    <w:rsid w:val="00850923"/>
    <w:rsid w:val="00853952"/>
    <w:rsid w:val="00853FE3"/>
    <w:rsid w:val="00862315"/>
    <w:rsid w:val="0086467D"/>
    <w:rsid w:val="008729A1"/>
    <w:rsid w:val="00872DDC"/>
    <w:rsid w:val="00873C21"/>
    <w:rsid w:val="00876672"/>
    <w:rsid w:val="00880A22"/>
    <w:rsid w:val="00881DE0"/>
    <w:rsid w:val="008822DE"/>
    <w:rsid w:val="00890C40"/>
    <w:rsid w:val="0089127B"/>
    <w:rsid w:val="00895D41"/>
    <w:rsid w:val="008C2268"/>
    <w:rsid w:val="008C4AEF"/>
    <w:rsid w:val="008C6388"/>
    <w:rsid w:val="008D001F"/>
    <w:rsid w:val="008E5341"/>
    <w:rsid w:val="008E77C5"/>
    <w:rsid w:val="008F12FF"/>
    <w:rsid w:val="008F4104"/>
    <w:rsid w:val="008F49CD"/>
    <w:rsid w:val="008F68F7"/>
    <w:rsid w:val="00906202"/>
    <w:rsid w:val="00910946"/>
    <w:rsid w:val="00912F31"/>
    <w:rsid w:val="009230E3"/>
    <w:rsid w:val="009243EB"/>
    <w:rsid w:val="009264F4"/>
    <w:rsid w:val="00926CB6"/>
    <w:rsid w:val="0093372B"/>
    <w:rsid w:val="00933CF8"/>
    <w:rsid w:val="00933F54"/>
    <w:rsid w:val="00935269"/>
    <w:rsid w:val="00940F59"/>
    <w:rsid w:val="00942875"/>
    <w:rsid w:val="00942DDF"/>
    <w:rsid w:val="00946341"/>
    <w:rsid w:val="00952147"/>
    <w:rsid w:val="00952576"/>
    <w:rsid w:val="009541B7"/>
    <w:rsid w:val="009546B7"/>
    <w:rsid w:val="00971595"/>
    <w:rsid w:val="00977DF9"/>
    <w:rsid w:val="00984172"/>
    <w:rsid w:val="00987E13"/>
    <w:rsid w:val="009909D0"/>
    <w:rsid w:val="00991DDA"/>
    <w:rsid w:val="009959F4"/>
    <w:rsid w:val="009979A2"/>
    <w:rsid w:val="00997C9D"/>
    <w:rsid w:val="009A22FC"/>
    <w:rsid w:val="009A43E7"/>
    <w:rsid w:val="009A52A1"/>
    <w:rsid w:val="009A7222"/>
    <w:rsid w:val="009B4B85"/>
    <w:rsid w:val="009B4CC8"/>
    <w:rsid w:val="009C01BF"/>
    <w:rsid w:val="009C0508"/>
    <w:rsid w:val="009C4D3F"/>
    <w:rsid w:val="009C508D"/>
    <w:rsid w:val="009D7610"/>
    <w:rsid w:val="009E1C82"/>
    <w:rsid w:val="009E24A9"/>
    <w:rsid w:val="009F154B"/>
    <w:rsid w:val="009F19D9"/>
    <w:rsid w:val="009F5371"/>
    <w:rsid w:val="009F59BE"/>
    <w:rsid w:val="009F661F"/>
    <w:rsid w:val="009F7AFB"/>
    <w:rsid w:val="009F7E34"/>
    <w:rsid w:val="00A005AA"/>
    <w:rsid w:val="00A015AE"/>
    <w:rsid w:val="00A07208"/>
    <w:rsid w:val="00A07B4A"/>
    <w:rsid w:val="00A13043"/>
    <w:rsid w:val="00A147B4"/>
    <w:rsid w:val="00A15F71"/>
    <w:rsid w:val="00A17CFD"/>
    <w:rsid w:val="00A20CC9"/>
    <w:rsid w:val="00A265AA"/>
    <w:rsid w:val="00A46F11"/>
    <w:rsid w:val="00A64F3B"/>
    <w:rsid w:val="00A65226"/>
    <w:rsid w:val="00A71756"/>
    <w:rsid w:val="00A8335F"/>
    <w:rsid w:val="00A83B40"/>
    <w:rsid w:val="00A85ABF"/>
    <w:rsid w:val="00A87D47"/>
    <w:rsid w:val="00A911DD"/>
    <w:rsid w:val="00A939A5"/>
    <w:rsid w:val="00AA2662"/>
    <w:rsid w:val="00AA4B38"/>
    <w:rsid w:val="00AA6449"/>
    <w:rsid w:val="00AA7B8E"/>
    <w:rsid w:val="00AB2E70"/>
    <w:rsid w:val="00AC506B"/>
    <w:rsid w:val="00AC65A3"/>
    <w:rsid w:val="00AC6624"/>
    <w:rsid w:val="00AD2DBA"/>
    <w:rsid w:val="00AD4068"/>
    <w:rsid w:val="00AE2B46"/>
    <w:rsid w:val="00AF1AFB"/>
    <w:rsid w:val="00AF28AE"/>
    <w:rsid w:val="00AF3970"/>
    <w:rsid w:val="00AF542D"/>
    <w:rsid w:val="00AF77A6"/>
    <w:rsid w:val="00B00046"/>
    <w:rsid w:val="00B029DD"/>
    <w:rsid w:val="00B06C8B"/>
    <w:rsid w:val="00B10B4D"/>
    <w:rsid w:val="00B13C82"/>
    <w:rsid w:val="00B168FF"/>
    <w:rsid w:val="00B226BF"/>
    <w:rsid w:val="00B33BFA"/>
    <w:rsid w:val="00B35072"/>
    <w:rsid w:val="00B4129C"/>
    <w:rsid w:val="00B42C46"/>
    <w:rsid w:val="00B457C3"/>
    <w:rsid w:val="00B4747F"/>
    <w:rsid w:val="00B47754"/>
    <w:rsid w:val="00B477A7"/>
    <w:rsid w:val="00B539D7"/>
    <w:rsid w:val="00B56278"/>
    <w:rsid w:val="00B61C4F"/>
    <w:rsid w:val="00B63DC6"/>
    <w:rsid w:val="00B6657E"/>
    <w:rsid w:val="00B70343"/>
    <w:rsid w:val="00B813FC"/>
    <w:rsid w:val="00B82242"/>
    <w:rsid w:val="00B8436E"/>
    <w:rsid w:val="00B967D8"/>
    <w:rsid w:val="00B97864"/>
    <w:rsid w:val="00BA6794"/>
    <w:rsid w:val="00BA6CB9"/>
    <w:rsid w:val="00BA73E4"/>
    <w:rsid w:val="00BA7A71"/>
    <w:rsid w:val="00BB0406"/>
    <w:rsid w:val="00BB2147"/>
    <w:rsid w:val="00BB751B"/>
    <w:rsid w:val="00BC0E92"/>
    <w:rsid w:val="00BD33C4"/>
    <w:rsid w:val="00BD599C"/>
    <w:rsid w:val="00BE416C"/>
    <w:rsid w:val="00BE4F32"/>
    <w:rsid w:val="00BF0D0A"/>
    <w:rsid w:val="00BF3390"/>
    <w:rsid w:val="00BF4F60"/>
    <w:rsid w:val="00BF5487"/>
    <w:rsid w:val="00C01F22"/>
    <w:rsid w:val="00C043EB"/>
    <w:rsid w:val="00C05F87"/>
    <w:rsid w:val="00C15DCA"/>
    <w:rsid w:val="00C16536"/>
    <w:rsid w:val="00C2262A"/>
    <w:rsid w:val="00C226E3"/>
    <w:rsid w:val="00C25543"/>
    <w:rsid w:val="00C30389"/>
    <w:rsid w:val="00C34432"/>
    <w:rsid w:val="00C40D9F"/>
    <w:rsid w:val="00C61E2F"/>
    <w:rsid w:val="00C639E0"/>
    <w:rsid w:val="00C70A99"/>
    <w:rsid w:val="00C76E44"/>
    <w:rsid w:val="00C82E1D"/>
    <w:rsid w:val="00C8472E"/>
    <w:rsid w:val="00C86305"/>
    <w:rsid w:val="00C96AA7"/>
    <w:rsid w:val="00C97045"/>
    <w:rsid w:val="00CA6420"/>
    <w:rsid w:val="00CA6DEC"/>
    <w:rsid w:val="00CB08E1"/>
    <w:rsid w:val="00CC1F6E"/>
    <w:rsid w:val="00CC68DF"/>
    <w:rsid w:val="00CD2390"/>
    <w:rsid w:val="00CD2D5C"/>
    <w:rsid w:val="00CD5DB5"/>
    <w:rsid w:val="00CD64AE"/>
    <w:rsid w:val="00CE019E"/>
    <w:rsid w:val="00CE27BA"/>
    <w:rsid w:val="00CE654F"/>
    <w:rsid w:val="00CE6D9F"/>
    <w:rsid w:val="00CF0F54"/>
    <w:rsid w:val="00CF2E0C"/>
    <w:rsid w:val="00CF301A"/>
    <w:rsid w:val="00D00821"/>
    <w:rsid w:val="00D0095E"/>
    <w:rsid w:val="00D045E6"/>
    <w:rsid w:val="00D06BDF"/>
    <w:rsid w:val="00D1033B"/>
    <w:rsid w:val="00D1436A"/>
    <w:rsid w:val="00D161BA"/>
    <w:rsid w:val="00D17F1A"/>
    <w:rsid w:val="00D20162"/>
    <w:rsid w:val="00D217A7"/>
    <w:rsid w:val="00D2315A"/>
    <w:rsid w:val="00D24B94"/>
    <w:rsid w:val="00D3129E"/>
    <w:rsid w:val="00D3394C"/>
    <w:rsid w:val="00D345E5"/>
    <w:rsid w:val="00D3796F"/>
    <w:rsid w:val="00D40515"/>
    <w:rsid w:val="00D45C00"/>
    <w:rsid w:val="00D47B44"/>
    <w:rsid w:val="00D54A8A"/>
    <w:rsid w:val="00D5673B"/>
    <w:rsid w:val="00D6021A"/>
    <w:rsid w:val="00D7356B"/>
    <w:rsid w:val="00D7457E"/>
    <w:rsid w:val="00D777E1"/>
    <w:rsid w:val="00D85B5C"/>
    <w:rsid w:val="00D91DEB"/>
    <w:rsid w:val="00D967FB"/>
    <w:rsid w:val="00DA5817"/>
    <w:rsid w:val="00DB2F23"/>
    <w:rsid w:val="00DD594F"/>
    <w:rsid w:val="00DD6EC6"/>
    <w:rsid w:val="00DD7091"/>
    <w:rsid w:val="00DE1180"/>
    <w:rsid w:val="00DE49C1"/>
    <w:rsid w:val="00DF0A87"/>
    <w:rsid w:val="00DF0D8C"/>
    <w:rsid w:val="00DF1BEE"/>
    <w:rsid w:val="00DF2892"/>
    <w:rsid w:val="00DF50D5"/>
    <w:rsid w:val="00DF525D"/>
    <w:rsid w:val="00DF55F4"/>
    <w:rsid w:val="00E01880"/>
    <w:rsid w:val="00E0312F"/>
    <w:rsid w:val="00E0632D"/>
    <w:rsid w:val="00E06831"/>
    <w:rsid w:val="00E06895"/>
    <w:rsid w:val="00E1360C"/>
    <w:rsid w:val="00E15A44"/>
    <w:rsid w:val="00E265D6"/>
    <w:rsid w:val="00E278D4"/>
    <w:rsid w:val="00E3230D"/>
    <w:rsid w:val="00E32BA7"/>
    <w:rsid w:val="00E34A98"/>
    <w:rsid w:val="00E361B6"/>
    <w:rsid w:val="00E366B5"/>
    <w:rsid w:val="00E41006"/>
    <w:rsid w:val="00E551CB"/>
    <w:rsid w:val="00E605BA"/>
    <w:rsid w:val="00E6389B"/>
    <w:rsid w:val="00E645E1"/>
    <w:rsid w:val="00E66B88"/>
    <w:rsid w:val="00E70739"/>
    <w:rsid w:val="00E70893"/>
    <w:rsid w:val="00E711D8"/>
    <w:rsid w:val="00E730B1"/>
    <w:rsid w:val="00E7347B"/>
    <w:rsid w:val="00E73C48"/>
    <w:rsid w:val="00E810D4"/>
    <w:rsid w:val="00E90553"/>
    <w:rsid w:val="00E9334C"/>
    <w:rsid w:val="00E949DD"/>
    <w:rsid w:val="00EA2F0E"/>
    <w:rsid w:val="00EA69A5"/>
    <w:rsid w:val="00EA7FE8"/>
    <w:rsid w:val="00EB2F4D"/>
    <w:rsid w:val="00EC51F5"/>
    <w:rsid w:val="00EC67A8"/>
    <w:rsid w:val="00ED2455"/>
    <w:rsid w:val="00ED4EEC"/>
    <w:rsid w:val="00ED56E2"/>
    <w:rsid w:val="00ED71B4"/>
    <w:rsid w:val="00EF185F"/>
    <w:rsid w:val="00EF3097"/>
    <w:rsid w:val="00EF48B8"/>
    <w:rsid w:val="00EF6C59"/>
    <w:rsid w:val="00EF704F"/>
    <w:rsid w:val="00F01499"/>
    <w:rsid w:val="00F1726B"/>
    <w:rsid w:val="00F40DD1"/>
    <w:rsid w:val="00F41C17"/>
    <w:rsid w:val="00F42A64"/>
    <w:rsid w:val="00F44728"/>
    <w:rsid w:val="00F47F46"/>
    <w:rsid w:val="00F51051"/>
    <w:rsid w:val="00F560A3"/>
    <w:rsid w:val="00F65546"/>
    <w:rsid w:val="00F65EE5"/>
    <w:rsid w:val="00F72471"/>
    <w:rsid w:val="00F77DB6"/>
    <w:rsid w:val="00F83DE9"/>
    <w:rsid w:val="00F9400F"/>
    <w:rsid w:val="00FA49EC"/>
    <w:rsid w:val="00FB2B04"/>
    <w:rsid w:val="00FC3979"/>
    <w:rsid w:val="00FC4915"/>
    <w:rsid w:val="00FC63EF"/>
    <w:rsid w:val="00FC6F51"/>
    <w:rsid w:val="00FD0D35"/>
    <w:rsid w:val="00FD1AA3"/>
    <w:rsid w:val="00FD2FEC"/>
    <w:rsid w:val="00FE06AE"/>
    <w:rsid w:val="00FE16A0"/>
    <w:rsid w:val="00FE52C6"/>
    <w:rsid w:val="00FE5374"/>
    <w:rsid w:val="00FF56A8"/>
    <w:rsid w:val="00FF6CE2"/>
    <w:rsid w:val="00FF7E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A669B"/>
  <w15:chartTrackingRefBased/>
  <w15:docId w15:val="{18E1B6E6-AABF-C848-9460-699C0850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B1C"/>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54F7E"/>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754F7E"/>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754F7E"/>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754F7E"/>
    <w:pPr>
      <w:keepNext/>
      <w:keepLines/>
      <w:spacing w:before="80" w:after="40"/>
      <w:outlineLvl w:val="3"/>
    </w:pPr>
    <w:rPr>
      <w:rFonts w:asciiTheme="minorHAnsi" w:eastAsiaTheme="majorEastAsia" w:hAnsiTheme="minorHAnsi" w:cstheme="majorBidi"/>
      <w:i/>
      <w:iCs/>
      <w:color w:val="0F4761" w:themeColor="accent1" w:themeShade="BF"/>
      <w:kern w:val="2"/>
      <w:lang w:val="en-GB" w:eastAsia="en-US"/>
      <w14:ligatures w14:val="standardContextual"/>
    </w:rPr>
  </w:style>
  <w:style w:type="paragraph" w:styleId="Heading5">
    <w:name w:val="heading 5"/>
    <w:basedOn w:val="Normal"/>
    <w:next w:val="Normal"/>
    <w:link w:val="Heading5Char"/>
    <w:uiPriority w:val="9"/>
    <w:semiHidden/>
    <w:unhideWhenUsed/>
    <w:qFormat/>
    <w:rsid w:val="00754F7E"/>
    <w:pPr>
      <w:keepNext/>
      <w:keepLines/>
      <w:spacing w:before="80" w:after="40"/>
      <w:outlineLvl w:val="4"/>
    </w:pPr>
    <w:rPr>
      <w:rFonts w:asciiTheme="minorHAnsi" w:eastAsiaTheme="majorEastAsia" w:hAnsiTheme="minorHAnsi" w:cstheme="majorBidi"/>
      <w:color w:val="0F4761" w:themeColor="accent1" w:themeShade="BF"/>
      <w:kern w:val="2"/>
      <w:lang w:val="en-GB" w:eastAsia="en-US"/>
      <w14:ligatures w14:val="standardContextual"/>
    </w:rPr>
  </w:style>
  <w:style w:type="paragraph" w:styleId="Heading6">
    <w:name w:val="heading 6"/>
    <w:basedOn w:val="Normal"/>
    <w:next w:val="Normal"/>
    <w:link w:val="Heading6Char"/>
    <w:uiPriority w:val="9"/>
    <w:semiHidden/>
    <w:unhideWhenUsed/>
    <w:qFormat/>
    <w:rsid w:val="00754F7E"/>
    <w:pPr>
      <w:keepNext/>
      <w:keepLines/>
      <w:spacing w:before="40"/>
      <w:outlineLvl w:val="5"/>
    </w:pPr>
    <w:rPr>
      <w:rFonts w:asciiTheme="minorHAnsi" w:eastAsiaTheme="majorEastAsia" w:hAnsiTheme="minorHAnsi" w:cstheme="majorBidi"/>
      <w:i/>
      <w:iCs/>
      <w:color w:val="595959" w:themeColor="text1" w:themeTint="A6"/>
      <w:kern w:val="2"/>
      <w:lang w:val="en-GB" w:eastAsia="en-US"/>
      <w14:ligatures w14:val="standardContextual"/>
    </w:rPr>
  </w:style>
  <w:style w:type="paragraph" w:styleId="Heading7">
    <w:name w:val="heading 7"/>
    <w:basedOn w:val="Normal"/>
    <w:next w:val="Normal"/>
    <w:link w:val="Heading7Char"/>
    <w:uiPriority w:val="9"/>
    <w:semiHidden/>
    <w:unhideWhenUsed/>
    <w:qFormat/>
    <w:rsid w:val="00754F7E"/>
    <w:pPr>
      <w:keepNext/>
      <w:keepLines/>
      <w:spacing w:before="40"/>
      <w:outlineLvl w:val="6"/>
    </w:pPr>
    <w:rPr>
      <w:rFonts w:asciiTheme="minorHAnsi" w:eastAsiaTheme="majorEastAsia" w:hAnsiTheme="minorHAnsi" w:cstheme="majorBidi"/>
      <w:color w:val="595959" w:themeColor="text1" w:themeTint="A6"/>
      <w:kern w:val="2"/>
      <w:lang w:val="en-GB" w:eastAsia="en-US"/>
      <w14:ligatures w14:val="standardContextual"/>
    </w:rPr>
  </w:style>
  <w:style w:type="paragraph" w:styleId="Heading8">
    <w:name w:val="heading 8"/>
    <w:basedOn w:val="Normal"/>
    <w:next w:val="Normal"/>
    <w:link w:val="Heading8Char"/>
    <w:uiPriority w:val="9"/>
    <w:semiHidden/>
    <w:unhideWhenUsed/>
    <w:qFormat/>
    <w:rsid w:val="00754F7E"/>
    <w:pPr>
      <w:keepNext/>
      <w:keepLines/>
      <w:outlineLvl w:val="7"/>
    </w:pPr>
    <w:rPr>
      <w:rFonts w:asciiTheme="minorHAnsi" w:eastAsiaTheme="majorEastAsia" w:hAnsiTheme="minorHAnsi" w:cstheme="majorBidi"/>
      <w:i/>
      <w:iCs/>
      <w:color w:val="272727" w:themeColor="text1" w:themeTint="D8"/>
      <w:kern w:val="2"/>
      <w:lang w:val="en-GB" w:eastAsia="en-US"/>
      <w14:ligatures w14:val="standardContextual"/>
    </w:rPr>
  </w:style>
  <w:style w:type="paragraph" w:styleId="Heading9">
    <w:name w:val="heading 9"/>
    <w:basedOn w:val="Normal"/>
    <w:next w:val="Normal"/>
    <w:link w:val="Heading9Char"/>
    <w:uiPriority w:val="9"/>
    <w:semiHidden/>
    <w:unhideWhenUsed/>
    <w:qFormat/>
    <w:rsid w:val="00754F7E"/>
    <w:pPr>
      <w:keepNext/>
      <w:keepLines/>
      <w:outlineLvl w:val="8"/>
    </w:pPr>
    <w:rPr>
      <w:rFonts w:asciiTheme="minorHAnsi" w:eastAsiaTheme="majorEastAsia" w:hAnsiTheme="minorHAnsi" w:cstheme="majorBidi"/>
      <w:color w:val="272727" w:themeColor="text1" w:themeTint="D8"/>
      <w:kern w:val="2"/>
      <w:lang w:val="en-GB"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F7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54F7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54F7E"/>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54F7E"/>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54F7E"/>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54F7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54F7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54F7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54F7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54F7E"/>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754F7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54F7E"/>
    <w:pPr>
      <w:numPr>
        <w:ilvl w:val="1"/>
      </w:numPr>
      <w:spacing w:after="160"/>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754F7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54F7E"/>
    <w:pPr>
      <w:spacing w:before="160" w:after="160"/>
      <w:jc w:val="center"/>
    </w:pPr>
    <w:rPr>
      <w:rFonts w:asciiTheme="minorHAnsi" w:eastAsiaTheme="minorHAnsi" w:hAnsiTheme="minorHAnsi" w:cstheme="minorBidi"/>
      <w:i/>
      <w:iCs/>
      <w:color w:val="404040" w:themeColor="text1" w:themeTint="BF"/>
      <w:kern w:val="2"/>
      <w:lang w:val="en-GB" w:eastAsia="en-US"/>
      <w14:ligatures w14:val="standardContextual"/>
    </w:rPr>
  </w:style>
  <w:style w:type="character" w:customStyle="1" w:styleId="QuoteChar">
    <w:name w:val="Quote Char"/>
    <w:basedOn w:val="DefaultParagraphFont"/>
    <w:link w:val="Quote"/>
    <w:uiPriority w:val="29"/>
    <w:rsid w:val="00754F7E"/>
    <w:rPr>
      <w:i/>
      <w:iCs/>
      <w:color w:val="404040" w:themeColor="text1" w:themeTint="BF"/>
      <w:lang w:val="en-GB"/>
    </w:rPr>
  </w:style>
  <w:style w:type="paragraph" w:styleId="ListParagraph">
    <w:name w:val="List Paragraph"/>
    <w:basedOn w:val="Normal"/>
    <w:uiPriority w:val="34"/>
    <w:qFormat/>
    <w:rsid w:val="00754F7E"/>
    <w:pPr>
      <w:ind w:left="720"/>
      <w:contextualSpacing/>
    </w:pPr>
    <w:rPr>
      <w:rFonts w:asciiTheme="minorHAnsi" w:eastAsiaTheme="minorHAnsi" w:hAnsiTheme="minorHAnsi" w:cstheme="minorBidi"/>
      <w:kern w:val="2"/>
      <w:lang w:val="en-GB" w:eastAsia="en-US"/>
      <w14:ligatures w14:val="standardContextual"/>
    </w:rPr>
  </w:style>
  <w:style w:type="character" w:styleId="IntenseEmphasis">
    <w:name w:val="Intense Emphasis"/>
    <w:basedOn w:val="DefaultParagraphFont"/>
    <w:uiPriority w:val="21"/>
    <w:qFormat/>
    <w:rsid w:val="00754F7E"/>
    <w:rPr>
      <w:i/>
      <w:iCs/>
      <w:color w:val="0F4761" w:themeColor="accent1" w:themeShade="BF"/>
    </w:rPr>
  </w:style>
  <w:style w:type="paragraph" w:styleId="IntenseQuote">
    <w:name w:val="Intense Quote"/>
    <w:basedOn w:val="Normal"/>
    <w:next w:val="Normal"/>
    <w:link w:val="IntenseQuoteChar"/>
    <w:uiPriority w:val="30"/>
    <w:qFormat/>
    <w:rsid w:val="00754F7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GB" w:eastAsia="en-US"/>
      <w14:ligatures w14:val="standardContextual"/>
    </w:rPr>
  </w:style>
  <w:style w:type="character" w:customStyle="1" w:styleId="IntenseQuoteChar">
    <w:name w:val="Intense Quote Char"/>
    <w:basedOn w:val="DefaultParagraphFont"/>
    <w:link w:val="IntenseQuote"/>
    <w:uiPriority w:val="30"/>
    <w:rsid w:val="00754F7E"/>
    <w:rPr>
      <w:i/>
      <w:iCs/>
      <w:color w:val="0F4761" w:themeColor="accent1" w:themeShade="BF"/>
      <w:lang w:val="en-GB"/>
    </w:rPr>
  </w:style>
  <w:style w:type="character" w:styleId="IntenseReference">
    <w:name w:val="Intense Reference"/>
    <w:basedOn w:val="DefaultParagraphFont"/>
    <w:uiPriority w:val="32"/>
    <w:qFormat/>
    <w:rsid w:val="00754F7E"/>
    <w:rPr>
      <w:b/>
      <w:bCs/>
      <w:smallCaps/>
      <w:color w:val="0F4761" w:themeColor="accent1" w:themeShade="BF"/>
      <w:spacing w:val="5"/>
    </w:rPr>
  </w:style>
  <w:style w:type="character" w:styleId="Strong">
    <w:name w:val="Strong"/>
    <w:basedOn w:val="DefaultParagraphFont"/>
    <w:uiPriority w:val="22"/>
    <w:qFormat/>
    <w:rsid w:val="00476933"/>
    <w:rPr>
      <w:b/>
      <w:bCs/>
    </w:rPr>
  </w:style>
  <w:style w:type="table" w:styleId="TableGrid">
    <w:name w:val="Table Grid"/>
    <w:basedOn w:val="TableNormal"/>
    <w:uiPriority w:val="39"/>
    <w:rsid w:val="004769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6933"/>
    <w:pPr>
      <w:tabs>
        <w:tab w:val="center" w:pos="4513"/>
        <w:tab w:val="right" w:pos="9026"/>
      </w:tabs>
    </w:pPr>
  </w:style>
  <w:style w:type="character" w:customStyle="1" w:styleId="HeaderChar">
    <w:name w:val="Header Char"/>
    <w:basedOn w:val="DefaultParagraphFont"/>
    <w:link w:val="Header"/>
    <w:uiPriority w:val="99"/>
    <w:rsid w:val="00476933"/>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476933"/>
    <w:pPr>
      <w:tabs>
        <w:tab w:val="center" w:pos="4513"/>
        <w:tab w:val="right" w:pos="9026"/>
      </w:tabs>
    </w:pPr>
  </w:style>
  <w:style w:type="character" w:customStyle="1" w:styleId="FooterChar">
    <w:name w:val="Footer Char"/>
    <w:basedOn w:val="DefaultParagraphFont"/>
    <w:link w:val="Footer"/>
    <w:uiPriority w:val="99"/>
    <w:rsid w:val="00476933"/>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476933"/>
  </w:style>
  <w:style w:type="character" w:styleId="Hyperlink">
    <w:name w:val="Hyperlink"/>
    <w:basedOn w:val="DefaultParagraphFont"/>
    <w:uiPriority w:val="99"/>
    <w:unhideWhenUsed/>
    <w:rsid w:val="000C22CA"/>
    <w:rPr>
      <w:color w:val="000000" w:themeColor="text1"/>
      <w:u w:val="single"/>
    </w:rPr>
  </w:style>
  <w:style w:type="paragraph" w:customStyle="1" w:styleId="EndNoteBibliographyTitle">
    <w:name w:val="EndNote Bibliography Title"/>
    <w:basedOn w:val="Normal"/>
    <w:link w:val="EndNoteBibliographyTitleChar"/>
    <w:rsid w:val="00B63DC6"/>
    <w:pPr>
      <w:jc w:val="center"/>
    </w:pPr>
    <w:rPr>
      <w:lang w:val="en-GB"/>
    </w:rPr>
  </w:style>
  <w:style w:type="character" w:customStyle="1" w:styleId="EndNoteBibliographyTitleChar">
    <w:name w:val="EndNote Bibliography Title Char"/>
    <w:basedOn w:val="DefaultParagraphFont"/>
    <w:link w:val="EndNoteBibliographyTitle"/>
    <w:rsid w:val="00B63DC6"/>
    <w:rPr>
      <w:rFonts w:ascii="Times New Roman" w:eastAsia="Times New Roman" w:hAnsi="Times New Roman" w:cs="Times New Roman"/>
      <w:kern w:val="0"/>
      <w:lang w:val="en-GB" w:eastAsia="en-GB"/>
      <w14:ligatures w14:val="none"/>
    </w:rPr>
  </w:style>
  <w:style w:type="paragraph" w:customStyle="1" w:styleId="EndNoteBibliography">
    <w:name w:val="EndNote Bibliography"/>
    <w:basedOn w:val="Normal"/>
    <w:link w:val="EndNoteBibliographyChar"/>
    <w:rsid w:val="00B63DC6"/>
    <w:rPr>
      <w:lang w:val="en-GB"/>
    </w:rPr>
  </w:style>
  <w:style w:type="character" w:customStyle="1" w:styleId="EndNoteBibliographyChar">
    <w:name w:val="EndNote Bibliography Char"/>
    <w:basedOn w:val="DefaultParagraphFont"/>
    <w:link w:val="EndNoteBibliography"/>
    <w:rsid w:val="00B63DC6"/>
    <w:rPr>
      <w:rFonts w:ascii="Times New Roman" w:eastAsia="Times New Roman" w:hAnsi="Times New Roman" w:cs="Times New Roman"/>
      <w:kern w:val="0"/>
      <w:lang w:val="en-GB" w:eastAsia="en-GB"/>
      <w14:ligatures w14:val="none"/>
    </w:rPr>
  </w:style>
  <w:style w:type="character" w:styleId="UnresolvedMention">
    <w:name w:val="Unresolved Mention"/>
    <w:basedOn w:val="DefaultParagraphFont"/>
    <w:uiPriority w:val="99"/>
    <w:semiHidden/>
    <w:unhideWhenUsed/>
    <w:rsid w:val="00B63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0-387-22456-5_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andice.herinckx@gmail.com"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3379707@student.uwa.edu.au"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doi.org/10.1093/beheco/ars015" TargetMode="External"/><Relationship Id="rId4" Type="http://schemas.openxmlformats.org/officeDocument/2006/relationships/footnotes" Target="footnotes.xml"/><Relationship Id="rId9" Type="http://schemas.openxmlformats.org/officeDocument/2006/relationships/hyperlink" Target="https://doi.org/10.7717/peerj.479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1727</Words>
  <Characters>9845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Herinckx</dc:creator>
  <cp:keywords/>
  <dc:description/>
  <cp:lastModifiedBy>Candice Herinckx</cp:lastModifiedBy>
  <cp:revision>4</cp:revision>
  <dcterms:created xsi:type="dcterms:W3CDTF">2026-07-31T05:15:00Z</dcterms:created>
  <dcterms:modified xsi:type="dcterms:W3CDTF">2026-08-02T01:25:00Z</dcterms:modified>
</cp:coreProperties>
</file>