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6295B" w14:textId="77777777" w:rsidR="00252ED0" w:rsidRPr="00280159" w:rsidRDefault="00252ED0" w:rsidP="00252ED0">
      <w:pPr>
        <w:rPr>
          <w:rFonts w:ascii="Times New Roman" w:hAnsi="Times New Roman" w:cs="Times New Roman"/>
          <w:b/>
          <w:bCs/>
        </w:rPr>
      </w:pPr>
      <w:r w:rsidRPr="00280159">
        <w:rPr>
          <w:rFonts w:ascii="Times New Roman" w:hAnsi="Times New Roman" w:cs="Times New Roman"/>
          <w:b/>
          <w:bCs/>
        </w:rPr>
        <w:t>Appendix 1 A summary table of the corpus of literature</w:t>
      </w:r>
    </w:p>
    <w:p w14:paraId="2C1D4354" w14:textId="77777777" w:rsidR="00252ED0" w:rsidRPr="00280159" w:rsidRDefault="00252ED0" w:rsidP="00252ED0">
      <w:pPr>
        <w:rPr>
          <w:rFonts w:ascii="Times New Roman" w:hAnsi="Times New Roman" w:cs="Times New Roman"/>
          <w:b/>
          <w:bCs/>
        </w:rPr>
      </w:pPr>
      <w:r w:rsidRPr="00280159">
        <w:rPr>
          <w:rFonts w:ascii="Times New Roman" w:hAnsi="Times New Roman" w:cs="Times New Roman"/>
          <w:b/>
          <w:bCs/>
        </w:rPr>
        <w:t xml:space="preserve"> </w:t>
      </w:r>
    </w:p>
    <w:tbl>
      <w:tblPr>
        <w:tblpPr w:leftFromText="180" w:rightFromText="180" w:vertAnchor="text" w:tblpY="1"/>
        <w:tblOverlap w:val="never"/>
        <w:tblW w:w="497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7"/>
        <w:gridCol w:w="2391"/>
        <w:gridCol w:w="2258"/>
        <w:gridCol w:w="3402"/>
        <w:gridCol w:w="5408"/>
        <w:gridCol w:w="11"/>
      </w:tblGrid>
      <w:tr w:rsidR="00252ED0" w:rsidRPr="006A209D" w14:paraId="473AF2C8" w14:textId="77777777" w:rsidTr="003E72CD">
        <w:trPr>
          <w:gridAfter w:val="1"/>
          <w:wAfter w:w="11" w:type="dxa"/>
          <w:tblHeader/>
        </w:trPr>
        <w:tc>
          <w:tcPr>
            <w:tcW w:w="150" w:type="pct"/>
          </w:tcPr>
          <w:p w14:paraId="79ACBAFD" w14:textId="77777777" w:rsidR="00252ED0" w:rsidRPr="006A209D" w:rsidRDefault="00252ED0" w:rsidP="003E72CD">
            <w:pPr>
              <w:jc w:val="center"/>
              <w:rPr>
                <w:rFonts w:ascii="Times New Roman" w:hAnsi="Times New Roman" w:cs="Times New Roman"/>
                <w:b/>
                <w:bCs/>
              </w:rPr>
            </w:pPr>
            <w:r w:rsidRPr="006A209D">
              <w:rPr>
                <w:rFonts w:ascii="Times New Roman" w:hAnsi="Times New Roman" w:cs="Times New Roman"/>
                <w:b/>
                <w:bCs/>
              </w:rPr>
              <w:t>#</w:t>
            </w:r>
          </w:p>
        </w:tc>
        <w:tc>
          <w:tcPr>
            <w:tcW w:w="861" w:type="pct"/>
            <w:vAlign w:val="center"/>
          </w:tcPr>
          <w:p w14:paraId="728E7511" w14:textId="77777777" w:rsidR="00252ED0" w:rsidRPr="006A209D" w:rsidRDefault="00252ED0" w:rsidP="003E72CD">
            <w:pPr>
              <w:jc w:val="center"/>
              <w:rPr>
                <w:rFonts w:ascii="Times New Roman" w:hAnsi="Times New Roman" w:cs="Times New Roman"/>
                <w:b/>
                <w:bCs/>
              </w:rPr>
            </w:pPr>
            <w:r w:rsidRPr="006A209D">
              <w:rPr>
                <w:rFonts w:ascii="Times New Roman" w:hAnsi="Times New Roman" w:cs="Times New Roman"/>
                <w:b/>
                <w:bCs/>
              </w:rPr>
              <w:t>Author, Year</w:t>
            </w:r>
          </w:p>
        </w:tc>
        <w:tc>
          <w:tcPr>
            <w:tcW w:w="813" w:type="pct"/>
            <w:vAlign w:val="center"/>
          </w:tcPr>
          <w:p w14:paraId="5E2E0270" w14:textId="77777777" w:rsidR="00252ED0" w:rsidRPr="006A209D" w:rsidRDefault="00252ED0" w:rsidP="003E72CD">
            <w:pPr>
              <w:jc w:val="center"/>
              <w:rPr>
                <w:rFonts w:ascii="Times New Roman" w:hAnsi="Times New Roman" w:cs="Times New Roman"/>
                <w:b/>
                <w:sz w:val="20"/>
                <w:szCs w:val="20"/>
              </w:rPr>
            </w:pPr>
            <w:r w:rsidRPr="006A209D">
              <w:rPr>
                <w:rFonts w:ascii="Times New Roman" w:hAnsi="Times New Roman" w:cs="Times New Roman"/>
                <w:b/>
                <w:bCs/>
              </w:rPr>
              <w:t xml:space="preserve">Axiology: </w:t>
            </w:r>
            <w:r w:rsidRPr="006A209D">
              <w:rPr>
                <w:rFonts w:ascii="Times New Roman" w:hAnsi="Times New Roman" w:cs="Times New Roman"/>
                <w:b/>
                <w:bCs/>
                <w:sz w:val="20"/>
                <w:szCs w:val="20"/>
              </w:rPr>
              <w:t>Values, Ethics and Morals</w:t>
            </w:r>
          </w:p>
        </w:tc>
        <w:tc>
          <w:tcPr>
            <w:tcW w:w="1225" w:type="pct"/>
            <w:vAlign w:val="center"/>
          </w:tcPr>
          <w:p w14:paraId="262066DE" w14:textId="77777777" w:rsidR="00252ED0" w:rsidRPr="006A209D" w:rsidRDefault="00252ED0" w:rsidP="003E72CD">
            <w:pPr>
              <w:jc w:val="center"/>
              <w:rPr>
                <w:rFonts w:ascii="Times New Roman" w:hAnsi="Times New Roman" w:cs="Times New Roman"/>
                <w:b/>
                <w:bCs/>
              </w:rPr>
            </w:pPr>
            <w:r w:rsidRPr="006A209D">
              <w:rPr>
                <w:rFonts w:ascii="Times New Roman" w:hAnsi="Times New Roman" w:cs="Times New Roman"/>
                <w:b/>
                <w:bCs/>
              </w:rPr>
              <w:t>Types of Videogames</w:t>
            </w:r>
          </w:p>
        </w:tc>
        <w:tc>
          <w:tcPr>
            <w:tcW w:w="1947" w:type="pct"/>
            <w:vAlign w:val="center"/>
          </w:tcPr>
          <w:p w14:paraId="441726DE" w14:textId="77777777" w:rsidR="00252ED0" w:rsidRPr="006A209D" w:rsidRDefault="00252ED0" w:rsidP="003E72CD">
            <w:pPr>
              <w:jc w:val="center"/>
              <w:rPr>
                <w:rFonts w:ascii="Times New Roman" w:hAnsi="Times New Roman" w:cs="Times New Roman"/>
                <w:b/>
                <w:bCs/>
              </w:rPr>
            </w:pPr>
            <w:r w:rsidRPr="006A209D">
              <w:rPr>
                <w:rFonts w:ascii="Times New Roman" w:hAnsi="Times New Roman" w:cs="Times New Roman"/>
                <w:b/>
                <w:bCs/>
              </w:rPr>
              <w:t>Values Education Article Summary</w:t>
            </w:r>
          </w:p>
        </w:tc>
      </w:tr>
      <w:tr w:rsidR="00252ED0" w:rsidRPr="006A209D" w14:paraId="4564E433" w14:textId="77777777" w:rsidTr="003E72CD">
        <w:trPr>
          <w:gridAfter w:val="1"/>
          <w:wAfter w:w="11" w:type="dxa"/>
        </w:trPr>
        <w:tc>
          <w:tcPr>
            <w:tcW w:w="150" w:type="pct"/>
          </w:tcPr>
          <w:p w14:paraId="3B80BE38" w14:textId="77777777" w:rsidR="00252ED0" w:rsidRPr="006A209D" w:rsidRDefault="00252ED0" w:rsidP="003E72CD">
            <w:pPr>
              <w:rPr>
                <w:rFonts w:ascii="Times New Roman" w:hAnsi="Times New Roman" w:cs="Times New Roman"/>
                <w:color w:val="000000"/>
                <w:sz w:val="20"/>
                <w:szCs w:val="20"/>
              </w:rPr>
            </w:pPr>
            <w:r w:rsidRPr="006A209D">
              <w:rPr>
                <w:rFonts w:ascii="Times New Roman" w:hAnsi="Times New Roman" w:cs="Times New Roman"/>
                <w:color w:val="000000"/>
                <w:sz w:val="20"/>
                <w:szCs w:val="20"/>
              </w:rPr>
              <w:t>1</w:t>
            </w:r>
          </w:p>
        </w:tc>
        <w:tc>
          <w:tcPr>
            <w:tcW w:w="861" w:type="pct"/>
          </w:tcPr>
          <w:p w14:paraId="550E42D5" w14:textId="77777777" w:rsidR="00252ED0" w:rsidRPr="006A209D" w:rsidRDefault="00252ED0" w:rsidP="003E72CD">
            <w:pPr>
              <w:rPr>
                <w:rFonts w:ascii="Times New Roman" w:hAnsi="Times New Roman" w:cs="Times New Roman"/>
                <w:color w:val="000000"/>
                <w:sz w:val="20"/>
                <w:szCs w:val="20"/>
              </w:rPr>
            </w:pPr>
            <w:r w:rsidRPr="006A209D">
              <w:rPr>
                <w:rFonts w:ascii="Times New Roman" w:hAnsi="Times New Roman" w:cs="Times New Roman"/>
                <w:color w:val="000000"/>
                <w:sz w:val="20"/>
                <w:szCs w:val="20"/>
              </w:rPr>
              <w:t>Berger, Richard; McDougall, Julian</w:t>
            </w:r>
          </w:p>
          <w:p w14:paraId="1F26D314"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(2013)</w:t>
            </w:r>
          </w:p>
        </w:tc>
        <w:tc>
          <w:tcPr>
            <w:tcW w:w="813" w:type="pct"/>
          </w:tcPr>
          <w:p w14:paraId="2F7C56BF" w14:textId="77777777" w:rsidR="00252ED0" w:rsidRPr="006A209D" w:rsidRDefault="00252ED0" w:rsidP="003E72CD">
            <w:pPr>
              <w:rPr>
                <w:rFonts w:ascii="Times New Roman" w:hAnsi="Times New Roman" w:cs="Times New Roman"/>
                <w:sz w:val="20"/>
                <w:szCs w:val="20"/>
                <w:lang w:val="en-US"/>
              </w:rPr>
            </w:pPr>
            <w:r w:rsidRPr="006A209D">
              <w:rPr>
                <w:rFonts w:ascii="Times New Roman" w:hAnsi="Times New Roman" w:cs="Times New Roman"/>
                <w:sz w:val="20"/>
                <w:szCs w:val="20"/>
                <w:lang w:eastAsia="zh-CN"/>
              </w:rPr>
              <w:t>Cultu</w:t>
            </w:r>
            <w:r w:rsidRPr="006A209D">
              <w:rPr>
                <w:rFonts w:ascii="Times New Roman" w:hAnsi="Times New Roman" w:cs="Times New Roman"/>
                <w:sz w:val="20"/>
                <w:szCs w:val="20"/>
                <w:lang w:val="en-US" w:eastAsia="zh-CN"/>
              </w:rPr>
              <w:t>ral values in education</w:t>
            </w:r>
          </w:p>
        </w:tc>
        <w:tc>
          <w:tcPr>
            <w:tcW w:w="1225" w:type="pct"/>
          </w:tcPr>
          <w:p w14:paraId="5018A4DE"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An </w:t>
            </w:r>
            <w:proofErr w:type="gramStart"/>
            <w:r w:rsidRPr="006A209D">
              <w:rPr>
                <w:rFonts w:ascii="Times New Roman" w:hAnsi="Times New Roman" w:cs="Times New Roman"/>
                <w:sz w:val="20"/>
                <w:szCs w:val="20"/>
              </w:rPr>
              <w:t>action adventure</w:t>
            </w:r>
            <w:proofErr w:type="gramEnd"/>
            <w:r w:rsidRPr="006A209D">
              <w:rPr>
                <w:rFonts w:ascii="Times New Roman" w:hAnsi="Times New Roman" w:cs="Times New Roman"/>
                <w:sz w:val="20"/>
                <w:szCs w:val="20"/>
              </w:rPr>
              <w:t xml:space="preserve"> videogame named L.A. Noire, released for Switch, Xbox, and PlayStation. </w:t>
            </w:r>
          </w:p>
        </w:tc>
        <w:tc>
          <w:tcPr>
            <w:tcW w:w="1947" w:type="pct"/>
          </w:tcPr>
          <w:p w14:paraId="5C79BD6D" w14:textId="77777777" w:rsidR="00252ED0" w:rsidRPr="006A209D" w:rsidRDefault="00252ED0" w:rsidP="003E72CD">
            <w:pPr>
              <w:rPr>
                <w:rFonts w:ascii="Times New Roman" w:hAnsi="Times New Roman" w:cs="Times New Roman"/>
                <w:sz w:val="20"/>
                <w:szCs w:val="20"/>
                <w:lang w:val="en-US" w:eastAsia="zh-CN"/>
              </w:rPr>
            </w:pPr>
            <w:r w:rsidRPr="006A209D">
              <w:rPr>
                <w:rFonts w:ascii="Times New Roman" w:hAnsi="Times New Roman" w:cs="Times New Roman"/>
                <w:sz w:val="20"/>
                <w:szCs w:val="20"/>
                <w:lang w:val="en-US" w:eastAsia="zh-CN"/>
              </w:rPr>
              <w:t xml:space="preserve">The paper questions the cultural values that are embedded within games in education. The article indicates that </w:t>
            </w:r>
            <w:proofErr w:type="gramStart"/>
            <w:r w:rsidRPr="006A209D">
              <w:rPr>
                <w:rFonts w:ascii="Times New Roman" w:hAnsi="Times New Roman" w:cs="Times New Roman"/>
                <w:sz w:val="20"/>
                <w:szCs w:val="20"/>
                <w:lang w:val="en-US" w:eastAsia="zh-CN"/>
              </w:rPr>
              <w:t>players’</w:t>
            </w:r>
            <w:proofErr w:type="gramEnd"/>
            <w:r w:rsidRPr="006A209D">
              <w:rPr>
                <w:rFonts w:ascii="Times New Roman" w:hAnsi="Times New Roman" w:cs="Times New Roman"/>
                <w:sz w:val="20"/>
                <w:szCs w:val="20"/>
                <w:lang w:val="en-US" w:eastAsia="zh-CN"/>
              </w:rPr>
              <w:t xml:space="preserve"> are influenced by their own cultural backgrounds, values, and experiences in understanding the characters and the engagement within the games. This calls for the significance of understanding different cultural backgrounds in education, and the way cultural backgrounds shape people’s values and literacy. </w:t>
            </w:r>
          </w:p>
        </w:tc>
      </w:tr>
      <w:tr w:rsidR="00252ED0" w:rsidRPr="006A209D" w14:paraId="5A9D8B85" w14:textId="77777777" w:rsidTr="003E72CD">
        <w:trPr>
          <w:gridAfter w:val="1"/>
          <w:wAfter w:w="11" w:type="dxa"/>
        </w:trPr>
        <w:tc>
          <w:tcPr>
            <w:tcW w:w="150" w:type="pct"/>
          </w:tcPr>
          <w:p w14:paraId="4A935E0E"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2</w:t>
            </w:r>
          </w:p>
        </w:tc>
        <w:tc>
          <w:tcPr>
            <w:tcW w:w="861" w:type="pct"/>
          </w:tcPr>
          <w:p w14:paraId="128C1DA6"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Cabellos, Beatriz; Pozo, Juan-Ignacio, 2023</w:t>
            </w:r>
          </w:p>
          <w:p w14:paraId="245A25A0" w14:textId="77777777" w:rsidR="00252ED0" w:rsidRPr="006A209D" w:rsidRDefault="00252ED0" w:rsidP="003E72CD">
            <w:pPr>
              <w:rPr>
                <w:rFonts w:ascii="Times New Roman" w:hAnsi="Times New Roman" w:cs="Times New Roman"/>
                <w:sz w:val="20"/>
                <w:szCs w:val="20"/>
              </w:rPr>
            </w:pPr>
          </w:p>
        </w:tc>
        <w:tc>
          <w:tcPr>
            <w:tcW w:w="813" w:type="pct"/>
          </w:tcPr>
          <w:p w14:paraId="31622712"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The paper discusses a moral schema consisting of two cognition levels: moral intuitions and moral reflections (Haidt, 2001). The article also discusses the role of emotional empathy in face-to-face settings. </w:t>
            </w:r>
          </w:p>
        </w:tc>
        <w:tc>
          <w:tcPr>
            <w:tcW w:w="1225" w:type="pct"/>
          </w:tcPr>
          <w:p w14:paraId="1D819D01"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Papers, Please - a puzzle simulation game</w:t>
            </w:r>
          </w:p>
        </w:tc>
        <w:tc>
          <w:tcPr>
            <w:tcW w:w="1947" w:type="pct"/>
          </w:tcPr>
          <w:p w14:paraId="10710370"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The article discusses the concerns over using videogames in learning contexts due to undesirable effects of inter and intrapersonal behaviours such as aggressive attitudes and behaviours. The article asserts moral cognition can be enhanced by focusing on epistemic goals that orientate players towards reflection on actions and events that occur while gaming. The study investigated if epistemic goals </w:t>
            </w:r>
            <w:proofErr w:type="gramStart"/>
            <w:r w:rsidRPr="006A209D">
              <w:rPr>
                <w:rFonts w:ascii="Times New Roman" w:hAnsi="Times New Roman" w:cs="Times New Roman"/>
                <w:sz w:val="20"/>
                <w:szCs w:val="20"/>
              </w:rPr>
              <w:t>can</w:t>
            </w:r>
            <w:proofErr w:type="gramEnd"/>
            <w:r w:rsidRPr="006A209D">
              <w:rPr>
                <w:rFonts w:ascii="Times New Roman" w:hAnsi="Times New Roman" w:cs="Times New Roman"/>
                <w:sz w:val="20"/>
                <w:szCs w:val="20"/>
              </w:rPr>
              <w:t xml:space="preserve"> enhance moral cognition with videogames. The game "Papers, </w:t>
            </w:r>
            <w:proofErr w:type="gramStart"/>
            <w:r w:rsidRPr="006A209D">
              <w:rPr>
                <w:rFonts w:ascii="Times New Roman" w:hAnsi="Times New Roman" w:cs="Times New Roman"/>
                <w:sz w:val="20"/>
                <w:szCs w:val="20"/>
              </w:rPr>
              <w:t>Please</w:t>
            </w:r>
            <w:proofErr w:type="gramEnd"/>
            <w:r w:rsidRPr="006A209D">
              <w:rPr>
                <w:rFonts w:ascii="Times New Roman" w:hAnsi="Times New Roman" w:cs="Times New Roman"/>
                <w:sz w:val="20"/>
                <w:szCs w:val="20"/>
              </w:rPr>
              <w:t xml:space="preserve">" was used in which players take on the identity of a customs officer and are faced with moral dilemmas concerning immigrants crossing the border into their country. The dialogue and decisions made by 12 pairs of students were analysed into categories. Findings revealed that dialogue between players facilitated greater moral activity than spontaneous play studies. Also, game mechanics that promoted moral conflicts between players enabled more moral dialogue between participants, and when gamers empathised with immigrants, their moral dialogue was more frequent. Therefore, dialogue and game mechanics should be considered when designing educational practices using videogames to teach moral thinking processes. </w:t>
            </w:r>
          </w:p>
        </w:tc>
      </w:tr>
      <w:tr w:rsidR="00252ED0" w:rsidRPr="006A209D" w14:paraId="69E63275" w14:textId="77777777" w:rsidTr="003E72CD">
        <w:trPr>
          <w:gridAfter w:val="1"/>
          <w:wAfter w:w="11" w:type="dxa"/>
        </w:trPr>
        <w:tc>
          <w:tcPr>
            <w:tcW w:w="150" w:type="pct"/>
          </w:tcPr>
          <w:p w14:paraId="68FE511E"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3</w:t>
            </w:r>
          </w:p>
        </w:tc>
        <w:tc>
          <w:tcPr>
            <w:tcW w:w="861" w:type="pct"/>
          </w:tcPr>
          <w:p w14:paraId="7F7AEA00"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Cabellos, Beatriz; Pozo, Juan-Ignacio; Marín-Rubio, Kevin; Sánchez, Daniel L., 2022</w:t>
            </w:r>
          </w:p>
        </w:tc>
        <w:tc>
          <w:tcPr>
            <w:tcW w:w="813" w:type="pct"/>
          </w:tcPr>
          <w:p w14:paraId="296FF6BD"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Moral Foundations (Haidt, 2001, 2021)</w:t>
            </w:r>
          </w:p>
          <w:p w14:paraId="47598A59" w14:textId="77777777" w:rsidR="00252ED0" w:rsidRPr="006A209D" w:rsidRDefault="00252ED0" w:rsidP="003E72CD">
            <w:pPr>
              <w:rPr>
                <w:rFonts w:ascii="Times New Roman" w:hAnsi="Times New Roman" w:cs="Times New Roman"/>
                <w:sz w:val="20"/>
                <w:szCs w:val="20"/>
              </w:rPr>
            </w:pPr>
          </w:p>
          <w:p w14:paraId="511D626E" w14:textId="77777777" w:rsidR="00252ED0" w:rsidRPr="006A209D" w:rsidRDefault="00252ED0" w:rsidP="003E72CD">
            <w:pPr>
              <w:rPr>
                <w:rFonts w:ascii="Times New Roman" w:hAnsi="Times New Roman" w:cs="Times New Roman"/>
                <w:sz w:val="20"/>
                <w:szCs w:val="20"/>
              </w:rPr>
            </w:pPr>
          </w:p>
        </w:tc>
        <w:tc>
          <w:tcPr>
            <w:tcW w:w="1225" w:type="pct"/>
          </w:tcPr>
          <w:p w14:paraId="6F55F797"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Papers, Please - a puzzle simulation game</w:t>
            </w:r>
          </w:p>
        </w:tc>
        <w:tc>
          <w:tcPr>
            <w:tcW w:w="1947" w:type="pct"/>
          </w:tcPr>
          <w:p w14:paraId="50084FB2"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Videogames utilise embodied learning that can be used to teach values in schools. The article utilised player reviews of the game "Papers, </w:t>
            </w:r>
            <w:proofErr w:type="gramStart"/>
            <w:r w:rsidRPr="006A209D">
              <w:rPr>
                <w:rFonts w:ascii="Times New Roman" w:hAnsi="Times New Roman" w:cs="Times New Roman"/>
                <w:sz w:val="20"/>
                <w:szCs w:val="20"/>
              </w:rPr>
              <w:t>Please</w:t>
            </w:r>
            <w:proofErr w:type="gramEnd"/>
            <w:r w:rsidRPr="006A209D">
              <w:rPr>
                <w:rFonts w:ascii="Times New Roman" w:hAnsi="Times New Roman" w:cs="Times New Roman"/>
                <w:sz w:val="20"/>
                <w:szCs w:val="20"/>
              </w:rPr>
              <w:t xml:space="preserve">" which involves players taking on the role of customs inspectors who are confronted with moral dilemmas involving the admission of immigrants into their fictive country. The study revealed that only 4.94% of the reviews contained moral content. Moral content occurred more frequently in </w:t>
            </w:r>
            <w:r w:rsidRPr="006A209D">
              <w:rPr>
                <w:rFonts w:ascii="Times New Roman" w:hAnsi="Times New Roman" w:cs="Times New Roman"/>
                <w:sz w:val="20"/>
                <w:szCs w:val="20"/>
              </w:rPr>
              <w:lastRenderedPageBreak/>
              <w:t>gamers who had played longer, and these players also declared more negative emotions. Findings about Moral Intuitions revealed that players mainly referred to the care of family and immigrants and pointed out State Authority. Fairness and cheating were represented less in the reviews despite numerous references to immigrant discrimination. The article argues that learning about morality using videogames requires educators to focus on epistemic goals that explicate the morality in games rather than pragmatic goals that focus more on the gameplay spontaneity.</w:t>
            </w:r>
          </w:p>
        </w:tc>
      </w:tr>
      <w:tr w:rsidR="00252ED0" w:rsidRPr="006A209D" w14:paraId="0C70C733" w14:textId="77777777" w:rsidTr="003E72CD">
        <w:trPr>
          <w:gridAfter w:val="1"/>
          <w:wAfter w:w="11" w:type="dxa"/>
        </w:trPr>
        <w:tc>
          <w:tcPr>
            <w:tcW w:w="150" w:type="pct"/>
          </w:tcPr>
          <w:p w14:paraId="3F2AA7B1"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lastRenderedPageBreak/>
              <w:t>4</w:t>
            </w:r>
          </w:p>
        </w:tc>
        <w:tc>
          <w:tcPr>
            <w:tcW w:w="861" w:type="pct"/>
          </w:tcPr>
          <w:p w14:paraId="62700E6F"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Ferdig, R. E., 2014</w:t>
            </w:r>
          </w:p>
        </w:tc>
        <w:tc>
          <w:tcPr>
            <w:tcW w:w="813" w:type="pct"/>
          </w:tcPr>
          <w:p w14:paraId="7FE6B00E"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Religious values</w:t>
            </w:r>
          </w:p>
        </w:tc>
        <w:tc>
          <w:tcPr>
            <w:tcW w:w="1225" w:type="pct"/>
          </w:tcPr>
          <w:p w14:paraId="4FFD1354"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A range of game platforms are discussed</w:t>
            </w:r>
          </w:p>
        </w:tc>
        <w:tc>
          <w:tcPr>
            <w:tcW w:w="1947" w:type="pct"/>
          </w:tcPr>
          <w:p w14:paraId="3ADB5C4D"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Research has identified concerns about violent videogames, gaming addiction, attention deficits, negative impact on school performance and increased aggression (Anderson &amp; Warburton, 2012). It is also noted that videogames engage players in moral and ethical dilemmas while playing games and potentially impact moral development (Weaver &amp; Lewis, 2012). Further research is needed to investigate the impact of playing videogames and developing theological and religious beliefs. The article proposes a framework for exploring videogames and religion, which consists of the dimensions of game content, game context, game challenge, and personal capital.</w:t>
            </w:r>
          </w:p>
        </w:tc>
      </w:tr>
      <w:tr w:rsidR="00252ED0" w:rsidRPr="006A209D" w14:paraId="748A92DA" w14:textId="77777777" w:rsidTr="003E72CD">
        <w:trPr>
          <w:gridAfter w:val="1"/>
          <w:wAfter w:w="11" w:type="dxa"/>
        </w:trPr>
        <w:tc>
          <w:tcPr>
            <w:tcW w:w="150" w:type="pct"/>
          </w:tcPr>
          <w:p w14:paraId="5D969F1B"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5</w:t>
            </w:r>
          </w:p>
        </w:tc>
        <w:tc>
          <w:tcPr>
            <w:tcW w:w="861" w:type="pct"/>
          </w:tcPr>
          <w:p w14:paraId="7662B5C2"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Gilbert, S., 2010</w:t>
            </w:r>
          </w:p>
          <w:p w14:paraId="43E3C358" w14:textId="77777777" w:rsidR="00252ED0" w:rsidRPr="006A209D" w:rsidRDefault="00252ED0" w:rsidP="003E72CD">
            <w:pPr>
              <w:rPr>
                <w:rFonts w:ascii="Times New Roman" w:hAnsi="Times New Roman" w:cs="Times New Roman"/>
                <w:sz w:val="20"/>
                <w:szCs w:val="20"/>
              </w:rPr>
            </w:pPr>
          </w:p>
        </w:tc>
        <w:tc>
          <w:tcPr>
            <w:tcW w:w="813" w:type="pct"/>
          </w:tcPr>
          <w:p w14:paraId="13C9E827"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The article explores moral and ethical thinking. Moral psychology is concerned with characterising how individuals think about ethical issues and identifying an individual's psychological abilities that are significant to ethics (Gilligan, 1982; Kohlberg, 1981; Turiel, 1998).</w:t>
            </w:r>
          </w:p>
        </w:tc>
        <w:tc>
          <w:tcPr>
            <w:tcW w:w="1225" w:type="pct"/>
          </w:tcPr>
          <w:p w14:paraId="43DBEA32"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Massively multiplayer online role-playing games (MMORPGs), online first-person shooters, and small, text-based online role-playing games.</w:t>
            </w:r>
          </w:p>
          <w:p w14:paraId="66B46BAF" w14:textId="77777777" w:rsidR="00252ED0" w:rsidRPr="006A209D" w:rsidRDefault="00252ED0" w:rsidP="003E72CD">
            <w:pPr>
              <w:rPr>
                <w:rFonts w:ascii="Times New Roman" w:hAnsi="Times New Roman" w:cs="Times New Roman"/>
                <w:i/>
                <w:iCs/>
                <w:sz w:val="20"/>
                <w:szCs w:val="20"/>
              </w:rPr>
            </w:pPr>
          </w:p>
        </w:tc>
        <w:tc>
          <w:tcPr>
            <w:tcW w:w="1947" w:type="pct"/>
          </w:tcPr>
          <w:p w14:paraId="32940B84"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The article argues videogames support and foster players to develop ethical thinking skills in a low-risk environment. Three models were identified that can assist gamers in assessing the ethics of their actions and role within a gaming community according to personal consequences. The models described subjects such as players engaging in perspective-taking, consequence-based and rule-based thinking. </w:t>
            </w:r>
          </w:p>
        </w:tc>
      </w:tr>
      <w:tr w:rsidR="00252ED0" w:rsidRPr="006A209D" w14:paraId="653AA49B" w14:textId="77777777" w:rsidTr="003E72CD">
        <w:trPr>
          <w:gridAfter w:val="1"/>
          <w:wAfter w:w="11" w:type="dxa"/>
        </w:trPr>
        <w:tc>
          <w:tcPr>
            <w:tcW w:w="150" w:type="pct"/>
          </w:tcPr>
          <w:p w14:paraId="0330B57A"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lastRenderedPageBreak/>
              <w:t>6</w:t>
            </w:r>
          </w:p>
        </w:tc>
        <w:tc>
          <w:tcPr>
            <w:tcW w:w="861" w:type="pct"/>
          </w:tcPr>
          <w:p w14:paraId="7EAEBB98"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Gotterbarn, Don, 2010</w:t>
            </w:r>
          </w:p>
        </w:tc>
        <w:tc>
          <w:tcPr>
            <w:tcW w:w="813" w:type="pct"/>
          </w:tcPr>
          <w:p w14:paraId="105FB1DB"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The article argues the need for computer ethics to address ethical issues involved in the design of videogames (Moor, 1985).</w:t>
            </w:r>
          </w:p>
          <w:p w14:paraId="4236DDB9" w14:textId="77777777" w:rsidR="00252ED0" w:rsidRPr="006A209D" w:rsidRDefault="00252ED0" w:rsidP="003E72CD">
            <w:pPr>
              <w:rPr>
                <w:rFonts w:ascii="Times New Roman" w:hAnsi="Times New Roman" w:cs="Times New Roman"/>
                <w:sz w:val="20"/>
                <w:szCs w:val="20"/>
              </w:rPr>
            </w:pPr>
          </w:p>
          <w:p w14:paraId="4DE4E0C4"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Social cognitive theory of morality (Bandura, 1997)</w:t>
            </w:r>
          </w:p>
        </w:tc>
        <w:tc>
          <w:tcPr>
            <w:tcW w:w="1225" w:type="pct"/>
          </w:tcPr>
          <w:p w14:paraId="608FA1E2"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A range of game platforms are discussed</w:t>
            </w:r>
          </w:p>
        </w:tc>
        <w:tc>
          <w:tcPr>
            <w:tcW w:w="1947" w:type="pct"/>
          </w:tcPr>
          <w:p w14:paraId="01423D69"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Videogames can be used in health care and education settings to train players in making decisions relevant to real-world contexts. The narrative and gameplay features of videogames contain ethical dilemmas that engage players in thinking about their choices. These features encourage and train game players to decide to complete game tasks. The completion of game tasks is required to advance the narrative of games. The article explores three dimensions that game designers can consider when developing ethical dilemmas for games. These dimensions include 1) Determining possible gameplay actions, e.g. the possible actions of playable characters, and 2) Determining how the consequence of gameplay action is represented. 3) Including an ethical graph relating to game player actions would enable positive actions to be rewarded and negative actions to be discouraged by using experience points attributed to actions.  </w:t>
            </w:r>
          </w:p>
        </w:tc>
      </w:tr>
      <w:tr w:rsidR="00252ED0" w:rsidRPr="006A209D" w14:paraId="358E241C" w14:textId="77777777" w:rsidTr="003E72CD">
        <w:trPr>
          <w:gridAfter w:val="1"/>
          <w:wAfter w:w="11" w:type="dxa"/>
        </w:trPr>
        <w:tc>
          <w:tcPr>
            <w:tcW w:w="150" w:type="pct"/>
          </w:tcPr>
          <w:p w14:paraId="15C9C8BF"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7</w:t>
            </w:r>
          </w:p>
        </w:tc>
        <w:tc>
          <w:tcPr>
            <w:tcW w:w="861" w:type="pct"/>
          </w:tcPr>
          <w:p w14:paraId="7926FEAE"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Hilliard, Lacey J.; Buckingham, Mary H.; Geldhof, G. John; Gansert, Patricia; Stack, Caroline; Gelgoot, Erin S.; Bers, Marina U.; Lerner, Richard M, 2018</w:t>
            </w:r>
          </w:p>
        </w:tc>
        <w:tc>
          <w:tcPr>
            <w:tcW w:w="813" w:type="pct"/>
          </w:tcPr>
          <w:p w14:paraId="68055B5C"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Kohlberg's (1987) Theory of Moral Development.</w:t>
            </w:r>
          </w:p>
          <w:p w14:paraId="308EC5E5" w14:textId="77777777" w:rsidR="00252ED0" w:rsidRPr="006A209D" w:rsidRDefault="00252ED0" w:rsidP="003E72CD">
            <w:pPr>
              <w:rPr>
                <w:rFonts w:ascii="Times New Roman" w:hAnsi="Times New Roman" w:cs="Times New Roman"/>
                <w:sz w:val="20"/>
                <w:szCs w:val="20"/>
              </w:rPr>
            </w:pPr>
          </w:p>
        </w:tc>
        <w:tc>
          <w:tcPr>
            <w:tcW w:w="1225" w:type="pct"/>
          </w:tcPr>
          <w:p w14:paraId="704AA420"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Quandary – strategy game</w:t>
            </w:r>
          </w:p>
        </w:tc>
        <w:tc>
          <w:tcPr>
            <w:tcW w:w="1947" w:type="pct"/>
          </w:tcPr>
          <w:p w14:paraId="7A8759D4"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The article discussed how research into videogames has examined aggression and addiction. It is suggested that videogames have a positive potential to support learning morality. The study aimed to examine the potential role of educational videogames in promoting moral development. The paper investigated the effects of playing Quandary on 131 middle school students who self-reported measures of moral thinking in a </w:t>
            </w:r>
            <w:proofErr w:type="gramStart"/>
            <w:r w:rsidRPr="006A209D">
              <w:rPr>
                <w:rFonts w:ascii="Times New Roman" w:hAnsi="Times New Roman" w:cs="Times New Roman"/>
                <w:sz w:val="20"/>
                <w:szCs w:val="20"/>
              </w:rPr>
              <w:t>mixed-method</w:t>
            </w:r>
            <w:proofErr w:type="gramEnd"/>
            <w:r w:rsidRPr="006A209D">
              <w:rPr>
                <w:rFonts w:ascii="Times New Roman" w:hAnsi="Times New Roman" w:cs="Times New Roman"/>
                <w:sz w:val="20"/>
                <w:szCs w:val="20"/>
              </w:rPr>
              <w:t xml:space="preserve"> randomised control trial. The study also conducted a qualitative analysis of one-on-one participant interviews and short-answer responses to analyse experiences and reflections from playing the game. The findings revealed the short-term quantitative indicators did not show change across conditions. Qualitative analysis revealed thematic responses consistent with the core components of the Quandary game and that gamers responded more deeply to interview questions. </w:t>
            </w:r>
          </w:p>
        </w:tc>
      </w:tr>
      <w:tr w:rsidR="00252ED0" w:rsidRPr="006A209D" w14:paraId="5BD98601" w14:textId="77777777" w:rsidTr="003E72CD">
        <w:trPr>
          <w:gridAfter w:val="1"/>
          <w:wAfter w:w="11" w:type="dxa"/>
        </w:trPr>
        <w:tc>
          <w:tcPr>
            <w:tcW w:w="150" w:type="pct"/>
          </w:tcPr>
          <w:p w14:paraId="290C1705"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8</w:t>
            </w:r>
          </w:p>
        </w:tc>
        <w:tc>
          <w:tcPr>
            <w:tcW w:w="861" w:type="pct"/>
          </w:tcPr>
          <w:p w14:paraId="4FDBF448"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Kelly, Matthew, 2022</w:t>
            </w:r>
          </w:p>
          <w:p w14:paraId="4437435A" w14:textId="77777777" w:rsidR="00252ED0" w:rsidRPr="006A209D" w:rsidRDefault="00252ED0" w:rsidP="003E72CD">
            <w:pPr>
              <w:rPr>
                <w:rFonts w:ascii="Times New Roman" w:hAnsi="Times New Roman" w:cs="Times New Roman"/>
                <w:sz w:val="20"/>
                <w:szCs w:val="20"/>
              </w:rPr>
            </w:pPr>
          </w:p>
        </w:tc>
        <w:tc>
          <w:tcPr>
            <w:tcW w:w="813" w:type="pct"/>
          </w:tcPr>
          <w:p w14:paraId="171F9B54"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The Ethics of Computer Games (Sicart, 2011)</w:t>
            </w:r>
          </w:p>
        </w:tc>
        <w:tc>
          <w:tcPr>
            <w:tcW w:w="1225" w:type="pct"/>
          </w:tcPr>
          <w:p w14:paraId="3296B1DE"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Minecraft - sandpit, The Sims - simulation</w:t>
            </w:r>
          </w:p>
        </w:tc>
        <w:tc>
          <w:tcPr>
            <w:tcW w:w="1947" w:type="pct"/>
          </w:tcPr>
          <w:p w14:paraId="5A326F02"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A trend emerging in game-based research focuses on how players' actions can cultivate a virtual persona or ethos within a game's fictive world. Teachers can design game-based learning experiences that enable students to explore new perspectives, roles, and identities related to ethos-building themes and empathy. The article examines student projects that included </w:t>
            </w:r>
            <w:r w:rsidRPr="006A209D">
              <w:rPr>
                <w:rFonts w:ascii="Times New Roman" w:hAnsi="Times New Roman" w:cs="Times New Roman"/>
                <w:sz w:val="20"/>
                <w:szCs w:val="20"/>
              </w:rPr>
              <w:lastRenderedPageBreak/>
              <w:t xml:space="preserve">game-based writing projects in English courses. It is argued that the introduction of videogames into the English classroom will not innately lead to students' critical thinking about ethos and empathy. </w:t>
            </w:r>
          </w:p>
        </w:tc>
      </w:tr>
      <w:tr w:rsidR="00252ED0" w:rsidRPr="006A209D" w14:paraId="5A9F510B" w14:textId="77777777" w:rsidTr="003E72CD">
        <w:trPr>
          <w:gridAfter w:val="1"/>
          <w:wAfter w:w="11" w:type="dxa"/>
        </w:trPr>
        <w:tc>
          <w:tcPr>
            <w:tcW w:w="150" w:type="pct"/>
          </w:tcPr>
          <w:p w14:paraId="42F6ABE1"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lastRenderedPageBreak/>
              <w:t>9</w:t>
            </w:r>
          </w:p>
        </w:tc>
        <w:tc>
          <w:tcPr>
            <w:tcW w:w="861" w:type="pct"/>
          </w:tcPr>
          <w:p w14:paraId="0C2CB693" w14:textId="77777777" w:rsidR="00252ED0" w:rsidRPr="006A209D" w:rsidRDefault="00252ED0" w:rsidP="003E72CD">
            <w:pPr>
              <w:rPr>
                <w:rFonts w:ascii="Times New Roman" w:hAnsi="Times New Roman" w:cs="Times New Roman"/>
              </w:rPr>
            </w:pPr>
            <w:r>
              <w:rPr>
                <w:rFonts w:ascii="Times New Roman" w:hAnsi="Times New Roman" w:cs="Times New Roman"/>
                <w:sz w:val="20"/>
                <w:szCs w:val="20"/>
              </w:rPr>
              <w:t>Author 1</w:t>
            </w:r>
            <w:r w:rsidRPr="006A209D">
              <w:rPr>
                <w:rFonts w:ascii="Times New Roman" w:hAnsi="Times New Roman" w:cs="Times New Roman"/>
                <w:sz w:val="20"/>
                <w:szCs w:val="20"/>
              </w:rPr>
              <w:t>, 2016</w:t>
            </w:r>
          </w:p>
        </w:tc>
        <w:tc>
          <w:tcPr>
            <w:tcW w:w="813" w:type="pct"/>
          </w:tcPr>
          <w:p w14:paraId="2A64E518" w14:textId="77777777" w:rsidR="00252ED0" w:rsidRPr="006A209D" w:rsidRDefault="00252ED0" w:rsidP="003E72CD">
            <w:pPr>
              <w:rPr>
                <w:rFonts w:ascii="Times New Roman" w:hAnsi="Times New Roman" w:cs="Times New Roman"/>
                <w:b/>
                <w:bCs/>
                <w:sz w:val="20"/>
                <w:szCs w:val="20"/>
              </w:rPr>
            </w:pPr>
            <w:r w:rsidRPr="006A209D">
              <w:rPr>
                <w:rFonts w:ascii="Times New Roman" w:hAnsi="Times New Roman" w:cs="Times New Roman"/>
                <w:sz w:val="20"/>
                <w:szCs w:val="20"/>
              </w:rPr>
              <w:t>Civic values</w:t>
            </w:r>
          </w:p>
        </w:tc>
        <w:tc>
          <w:tcPr>
            <w:tcW w:w="1225" w:type="pct"/>
          </w:tcPr>
          <w:p w14:paraId="7BB58C54" w14:textId="77777777" w:rsidR="00252ED0" w:rsidRPr="006A209D" w:rsidRDefault="00252ED0" w:rsidP="003E72CD">
            <w:pPr>
              <w:rPr>
                <w:rFonts w:ascii="Times New Roman" w:hAnsi="Times New Roman" w:cs="Times New Roman"/>
                <w:b/>
                <w:bCs/>
                <w:sz w:val="20"/>
                <w:szCs w:val="20"/>
              </w:rPr>
            </w:pPr>
            <w:r w:rsidRPr="006A209D">
              <w:rPr>
                <w:rFonts w:ascii="Times New Roman" w:hAnsi="Times New Roman" w:cs="Times New Roman"/>
                <w:sz w:val="20"/>
                <w:szCs w:val="20"/>
              </w:rPr>
              <w:t>Action-adventure: Watch Dogs</w:t>
            </w:r>
          </w:p>
        </w:tc>
        <w:tc>
          <w:tcPr>
            <w:tcW w:w="1947" w:type="pct"/>
          </w:tcPr>
          <w:p w14:paraId="7ED55EB5"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Videogames are ubiquitous texts; however, videogames are problematic due to concerns about violence and gender representations. The videogame Watch Dogs was analysed to identify the evaluative stance of characters and inferred values. An analysis using evaluative language and image grammar resources was proposed. The study can inform the planning for students learning using the 3D Literacy Learning Model. </w:t>
            </w:r>
          </w:p>
        </w:tc>
      </w:tr>
      <w:tr w:rsidR="00252ED0" w:rsidRPr="006A209D" w14:paraId="72E646EF" w14:textId="77777777" w:rsidTr="003E72CD">
        <w:trPr>
          <w:gridAfter w:val="1"/>
          <w:wAfter w:w="11" w:type="dxa"/>
        </w:trPr>
        <w:tc>
          <w:tcPr>
            <w:tcW w:w="150" w:type="pct"/>
          </w:tcPr>
          <w:p w14:paraId="2CF5069D"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10</w:t>
            </w:r>
          </w:p>
        </w:tc>
        <w:tc>
          <w:tcPr>
            <w:tcW w:w="861" w:type="pct"/>
          </w:tcPr>
          <w:p w14:paraId="4F0B72ED"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Muñoz, Yupanqui; El-Hani, Charbel, 2012</w:t>
            </w:r>
          </w:p>
        </w:tc>
        <w:tc>
          <w:tcPr>
            <w:tcW w:w="813" w:type="pct"/>
          </w:tcPr>
          <w:p w14:paraId="0544C94A" w14:textId="77777777" w:rsidR="00252ED0" w:rsidRPr="006A209D" w:rsidRDefault="00252ED0" w:rsidP="003E72CD">
            <w:pPr>
              <w:rPr>
                <w:rFonts w:ascii="Times New Roman" w:hAnsi="Times New Roman" w:cs="Times New Roman"/>
                <w:sz w:val="20"/>
                <w:szCs w:val="20"/>
                <w:lang w:val="en-US"/>
              </w:rPr>
            </w:pPr>
            <w:r w:rsidRPr="006A209D">
              <w:rPr>
                <w:rFonts w:ascii="Times New Roman" w:hAnsi="Times New Roman" w:cs="Times New Roman"/>
                <w:sz w:val="20"/>
                <w:szCs w:val="20"/>
              </w:rPr>
              <w:t xml:space="preserve">Ethical and shared morals – inferred civic values </w:t>
            </w:r>
          </w:p>
        </w:tc>
        <w:tc>
          <w:tcPr>
            <w:tcW w:w="1225" w:type="pct"/>
          </w:tcPr>
          <w:p w14:paraId="3AEAD188"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A range of game platforms are discussed</w:t>
            </w:r>
          </w:p>
        </w:tc>
        <w:tc>
          <w:tcPr>
            <w:tcW w:w="1947" w:type="pct"/>
          </w:tcPr>
          <w:p w14:paraId="5D752A57"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Videogames have educational benefits but can contain harmful representations concerning sexism, racism and xenophobia. Videogames support citizenship education primarily because their rich environments engage players in ethical dilemmas that develop their moral reasoning and deepen their understanding of ethical issues. Teachers can help students to critically analyse concepts while playing games to nurture their identity construction and social interactions. </w:t>
            </w:r>
          </w:p>
        </w:tc>
      </w:tr>
      <w:tr w:rsidR="00252ED0" w:rsidRPr="006A209D" w14:paraId="1ECFACCB" w14:textId="77777777" w:rsidTr="003E72CD">
        <w:tc>
          <w:tcPr>
            <w:tcW w:w="150" w:type="pct"/>
          </w:tcPr>
          <w:p w14:paraId="073C3E48"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11</w:t>
            </w:r>
          </w:p>
        </w:tc>
        <w:tc>
          <w:tcPr>
            <w:tcW w:w="861" w:type="pct"/>
          </w:tcPr>
          <w:p w14:paraId="2D2E0296"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Nardone, Rosy, 2017</w:t>
            </w:r>
          </w:p>
        </w:tc>
        <w:tc>
          <w:tcPr>
            <w:tcW w:w="813" w:type="pct"/>
          </w:tcPr>
          <w:p w14:paraId="5925F155"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Ethics and </w:t>
            </w:r>
            <w:r w:rsidRPr="006A209D">
              <w:rPr>
                <w:rFonts w:ascii="Times New Roman" w:hAnsi="Times New Roman" w:cs="Times New Roman"/>
                <w:sz w:val="20"/>
                <w:szCs w:val="20"/>
                <w:lang w:val="en-US"/>
              </w:rPr>
              <w:t>political values</w:t>
            </w:r>
          </w:p>
        </w:tc>
        <w:tc>
          <w:tcPr>
            <w:tcW w:w="1225" w:type="pct"/>
          </w:tcPr>
          <w:p w14:paraId="1FA8369A"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A range of game platforms are discussed</w:t>
            </w:r>
          </w:p>
        </w:tc>
        <w:tc>
          <w:tcPr>
            <w:tcW w:w="1951" w:type="pct"/>
            <w:gridSpan w:val="2"/>
          </w:tcPr>
          <w:p w14:paraId="13437AEE"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Videogames can be used for more than entertainment purposes. They can be powerful educational tools to develop players' critical thinking skills and reflections on moral dilemmas. The article investigates how videogames enable social issues, representations and ideologies to be explored and encourage players to be active moral agents by engaging them in the underlying ethical messages of their gameplay and not passive consumers of entertainment. </w:t>
            </w:r>
          </w:p>
        </w:tc>
      </w:tr>
      <w:tr w:rsidR="00252ED0" w:rsidRPr="006A209D" w14:paraId="6356B032" w14:textId="77777777" w:rsidTr="003E72CD">
        <w:tc>
          <w:tcPr>
            <w:tcW w:w="150" w:type="pct"/>
          </w:tcPr>
          <w:p w14:paraId="2024A14B"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12</w:t>
            </w:r>
          </w:p>
        </w:tc>
        <w:tc>
          <w:tcPr>
            <w:tcW w:w="861" w:type="pct"/>
          </w:tcPr>
          <w:p w14:paraId="384C80E7"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Newbery-Jones, Craig, 2016</w:t>
            </w:r>
          </w:p>
        </w:tc>
        <w:tc>
          <w:tcPr>
            <w:tcW w:w="813" w:type="pct"/>
          </w:tcPr>
          <w:p w14:paraId="69FA02C5"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Legal values - justice and ethical responsibility</w:t>
            </w:r>
          </w:p>
        </w:tc>
        <w:tc>
          <w:tcPr>
            <w:tcW w:w="1225" w:type="pct"/>
          </w:tcPr>
          <w:p w14:paraId="37492C23"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A range of game platforms are discussed</w:t>
            </w:r>
          </w:p>
        </w:tc>
        <w:tc>
          <w:tcPr>
            <w:tcW w:w="1951" w:type="pct"/>
            <w:gridSpan w:val="2"/>
          </w:tcPr>
          <w:p w14:paraId="0D2F1C20"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Educational resources such as serious videogames can support learning. The article examines using videogames as a phenomenological tool in legal education. Serious videogames enable students to experiment and reflect on legal themes and engage in subjective experiences of justice and ethical dilemmas, supporting students in developing these legal understandings. The article illustrates how videogames can facilitate personal reflection and understanding legal values and ethics. </w:t>
            </w:r>
          </w:p>
        </w:tc>
      </w:tr>
      <w:tr w:rsidR="00252ED0" w:rsidRPr="006A209D" w14:paraId="1853E84A" w14:textId="77777777" w:rsidTr="003E72CD">
        <w:tc>
          <w:tcPr>
            <w:tcW w:w="150" w:type="pct"/>
          </w:tcPr>
          <w:p w14:paraId="0FB24D54"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lastRenderedPageBreak/>
              <w:t>13</w:t>
            </w:r>
          </w:p>
        </w:tc>
        <w:tc>
          <w:tcPr>
            <w:tcW w:w="861" w:type="pct"/>
          </w:tcPr>
          <w:p w14:paraId="464D36DA"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Shaffer, D. W., Squire, K. R., Halverson, R., &amp; Gee, J. P., 2005</w:t>
            </w:r>
          </w:p>
        </w:tc>
        <w:tc>
          <w:tcPr>
            <w:tcW w:w="813" w:type="pct"/>
          </w:tcPr>
          <w:p w14:paraId="1B3E30E6"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The article argues that gaming develops a set of values that emphasise risk-taking, entrepreneurship, and expertise rather than formal accreditation (Squire &amp; Giovanetto, 2008).</w:t>
            </w:r>
          </w:p>
        </w:tc>
        <w:tc>
          <w:tcPr>
            <w:tcW w:w="1225" w:type="pct"/>
          </w:tcPr>
          <w:p w14:paraId="3BE6AA04"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i/>
                <w:iCs/>
                <w:sz w:val="20"/>
                <w:szCs w:val="20"/>
              </w:rPr>
              <w:t>Strategy, Epistemic games</w:t>
            </w:r>
          </w:p>
        </w:tc>
        <w:tc>
          <w:tcPr>
            <w:tcW w:w="1951" w:type="pct"/>
            <w:gridSpan w:val="2"/>
          </w:tcPr>
          <w:p w14:paraId="1B1539B7"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Anti-gaming discussions focus on the representation of violence, etc, in games. It is argued that education systems can gain much insight from understanding epistemic games that teach the knowledge, skills, values, identities, etc, of professionals such as surgeons, journalists, town planners and soldiers. </w:t>
            </w:r>
          </w:p>
        </w:tc>
      </w:tr>
      <w:tr w:rsidR="00252ED0" w:rsidRPr="006A209D" w14:paraId="46BDED9E" w14:textId="77777777" w:rsidTr="003E72CD">
        <w:tc>
          <w:tcPr>
            <w:tcW w:w="150" w:type="pct"/>
          </w:tcPr>
          <w:p w14:paraId="66032B4F"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14</w:t>
            </w:r>
          </w:p>
        </w:tc>
        <w:tc>
          <w:tcPr>
            <w:tcW w:w="861" w:type="pct"/>
          </w:tcPr>
          <w:p w14:paraId="22A15A08"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Schrier, Karen, 2014</w:t>
            </w:r>
          </w:p>
        </w:tc>
        <w:tc>
          <w:tcPr>
            <w:tcW w:w="813" w:type="pct"/>
          </w:tcPr>
          <w:p w14:paraId="2307A0B3"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Morals and Ethics (Tierney, 1994)</w:t>
            </w:r>
          </w:p>
          <w:p w14:paraId="76ACCAEA" w14:textId="77777777" w:rsidR="00252ED0" w:rsidRPr="006A209D" w:rsidRDefault="00252ED0" w:rsidP="003E72CD">
            <w:pPr>
              <w:rPr>
                <w:rFonts w:ascii="Times New Roman" w:hAnsi="Times New Roman" w:cs="Times New Roman"/>
                <w:sz w:val="20"/>
                <w:szCs w:val="20"/>
              </w:rPr>
            </w:pPr>
          </w:p>
          <w:p w14:paraId="5DF175AE"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The Ethics of Computer Games (Sicart, 2011)</w:t>
            </w:r>
          </w:p>
          <w:p w14:paraId="133C8C06" w14:textId="77777777" w:rsidR="00252ED0" w:rsidRPr="006A209D" w:rsidRDefault="00252ED0" w:rsidP="003E72CD">
            <w:pPr>
              <w:rPr>
                <w:rFonts w:ascii="Times New Roman" w:hAnsi="Times New Roman" w:cs="Times New Roman"/>
                <w:sz w:val="20"/>
                <w:szCs w:val="20"/>
              </w:rPr>
            </w:pPr>
          </w:p>
          <w:p w14:paraId="14D486AB"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Values: Hofstede (2001) and Schwartz &amp; Bilsky</w:t>
            </w:r>
          </w:p>
          <w:p w14:paraId="383F0259"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(1990); Schwartz (1994) values</w:t>
            </w:r>
          </w:p>
        </w:tc>
        <w:tc>
          <w:tcPr>
            <w:tcW w:w="1225" w:type="pct"/>
          </w:tcPr>
          <w:p w14:paraId="6449DAF5"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A range of game platforms are discussed</w:t>
            </w:r>
          </w:p>
        </w:tc>
        <w:tc>
          <w:tcPr>
            <w:tcW w:w="1953" w:type="pct"/>
            <w:gridSpan w:val="2"/>
          </w:tcPr>
          <w:p w14:paraId="0061E5EA"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Videogames can support the learning of ethics and ethical thinking. The need to nurture students' skills and thought processes about ethical matters and how they can determine ethical behaviours in different contexts is discussed. The study found that creating games to teach ethical thinking required: 1). Players to be exposed to alternative perspectives, 2). Players should discuss different perspectives with others, 3). Players should be able to make choices in the game, 4) Players should be able to relate to the choices, 5). The game context should be meaningful and relatable to gamers, 6). Consequences resulting from choices should be appropriate; 7). Players need time to develop relationships with their avatars and other characters to develop empathy. </w:t>
            </w:r>
          </w:p>
        </w:tc>
      </w:tr>
      <w:tr w:rsidR="00252ED0" w:rsidRPr="006A209D" w14:paraId="0B49894C" w14:textId="77777777" w:rsidTr="003E72CD">
        <w:tc>
          <w:tcPr>
            <w:tcW w:w="150" w:type="pct"/>
          </w:tcPr>
          <w:p w14:paraId="7F51954C"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15</w:t>
            </w:r>
          </w:p>
        </w:tc>
        <w:tc>
          <w:tcPr>
            <w:tcW w:w="861" w:type="pct"/>
          </w:tcPr>
          <w:p w14:paraId="77D97719"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Schrier, Karen, 2015</w:t>
            </w:r>
          </w:p>
          <w:p w14:paraId="6CBAE8E6" w14:textId="77777777" w:rsidR="00252ED0" w:rsidRPr="006A209D" w:rsidRDefault="00252ED0" w:rsidP="003E72CD">
            <w:pPr>
              <w:rPr>
                <w:rFonts w:ascii="Times New Roman" w:hAnsi="Times New Roman" w:cs="Times New Roman"/>
                <w:sz w:val="20"/>
                <w:szCs w:val="20"/>
              </w:rPr>
            </w:pPr>
          </w:p>
        </w:tc>
        <w:tc>
          <w:tcPr>
            <w:tcW w:w="813" w:type="pct"/>
          </w:tcPr>
          <w:p w14:paraId="5985B245"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Kohlberg's (1969) Theory of Moral Development. The article refers readers to Schwartz (1994) for further examples of values. </w:t>
            </w:r>
          </w:p>
        </w:tc>
        <w:tc>
          <w:tcPr>
            <w:tcW w:w="1225" w:type="pct"/>
          </w:tcPr>
          <w:p w14:paraId="7914DE80" w14:textId="77777777" w:rsidR="00252ED0" w:rsidRPr="006A209D" w:rsidRDefault="00252ED0" w:rsidP="003E72CD">
            <w:pPr>
              <w:rPr>
                <w:rFonts w:ascii="Times New Roman" w:hAnsi="Times New Roman" w:cs="Times New Roman"/>
                <w:sz w:val="20"/>
                <w:szCs w:val="20"/>
              </w:rPr>
            </w:pPr>
          </w:p>
          <w:p w14:paraId="30A8C1BF"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A range of game platforms are discussed</w:t>
            </w:r>
          </w:p>
          <w:p w14:paraId="551D8FC8" w14:textId="77777777" w:rsidR="00252ED0" w:rsidRPr="006A209D" w:rsidRDefault="00252ED0" w:rsidP="003E72CD">
            <w:pPr>
              <w:rPr>
                <w:rFonts w:ascii="Times New Roman" w:hAnsi="Times New Roman" w:cs="Times New Roman"/>
                <w:sz w:val="20"/>
                <w:szCs w:val="20"/>
              </w:rPr>
            </w:pPr>
          </w:p>
          <w:p w14:paraId="6A21CBDD"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City Crisis – strategy game; Mission US: For Crown or Colony – adventure game; Fable III</w:t>
            </w:r>
          </w:p>
        </w:tc>
        <w:tc>
          <w:tcPr>
            <w:tcW w:w="1953" w:type="pct"/>
            <w:gridSpan w:val="2"/>
          </w:tcPr>
          <w:p w14:paraId="2D96BFD1"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Serious games or epistemic games are helpful resources for learning curriculum discipline content. The article asserts videogames can be used to teach ethics education. It argues there is an interest in using serious, epistemic games and commercial off-the-shelf games to teach ethics. The paper describes a framework that educators can use to choose games to teach ethics. The framework is called the Ethics Practice and Implementation Categorization (EPIC) framework. </w:t>
            </w:r>
          </w:p>
        </w:tc>
      </w:tr>
      <w:tr w:rsidR="00252ED0" w:rsidRPr="006A209D" w14:paraId="588F1019" w14:textId="77777777" w:rsidTr="003E72CD">
        <w:trPr>
          <w:gridAfter w:val="1"/>
          <w:wAfter w:w="11" w:type="dxa"/>
        </w:trPr>
        <w:tc>
          <w:tcPr>
            <w:tcW w:w="150" w:type="pct"/>
          </w:tcPr>
          <w:p w14:paraId="1F24F051"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16</w:t>
            </w:r>
          </w:p>
        </w:tc>
        <w:tc>
          <w:tcPr>
            <w:tcW w:w="861" w:type="pct"/>
          </w:tcPr>
          <w:p w14:paraId="672426BE"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Sinde Martinez, J., Medrano Samaniego, C., &amp; Martínez de Morentin, J. I., 2015</w:t>
            </w:r>
          </w:p>
          <w:p w14:paraId="70EF46A0" w14:textId="77777777" w:rsidR="00252ED0" w:rsidRPr="006A209D" w:rsidRDefault="00252ED0" w:rsidP="003E72CD">
            <w:pPr>
              <w:rPr>
                <w:rFonts w:ascii="Times New Roman" w:hAnsi="Times New Roman" w:cs="Times New Roman"/>
                <w:sz w:val="20"/>
                <w:szCs w:val="20"/>
              </w:rPr>
            </w:pPr>
          </w:p>
        </w:tc>
        <w:tc>
          <w:tcPr>
            <w:tcW w:w="813" w:type="pct"/>
          </w:tcPr>
          <w:p w14:paraId="26754EC7"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Schwartz's model of values (1992)</w:t>
            </w:r>
          </w:p>
        </w:tc>
        <w:tc>
          <w:tcPr>
            <w:tcW w:w="1225" w:type="pct"/>
          </w:tcPr>
          <w:p w14:paraId="7D5BFC49"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A range of game platforms are discussed</w:t>
            </w:r>
          </w:p>
        </w:tc>
        <w:tc>
          <w:tcPr>
            <w:tcW w:w="1947" w:type="pct"/>
          </w:tcPr>
          <w:p w14:paraId="4CEA6E1C"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Videogames are not neutral and communicate various perspectives about values, feelings, sensations and thoughts. These value perspectives can be problematic for educators. Findings from this study indicated a difference in videogame play among male and female adolescents, but no significant </w:t>
            </w:r>
            <w:r w:rsidRPr="006A209D">
              <w:rPr>
                <w:rFonts w:ascii="Times New Roman" w:hAnsi="Times New Roman" w:cs="Times New Roman"/>
                <w:sz w:val="20"/>
                <w:szCs w:val="20"/>
              </w:rPr>
              <w:lastRenderedPageBreak/>
              <w:t xml:space="preserve">differences according to a player's age group. The study further indicates that videogames are transmitters of specific values. </w:t>
            </w:r>
          </w:p>
        </w:tc>
      </w:tr>
      <w:tr w:rsidR="00252ED0" w:rsidRPr="006A209D" w14:paraId="5EBFBA7E" w14:textId="77777777" w:rsidTr="003E72CD">
        <w:trPr>
          <w:gridAfter w:val="1"/>
          <w:wAfter w:w="11" w:type="dxa"/>
        </w:trPr>
        <w:tc>
          <w:tcPr>
            <w:tcW w:w="150" w:type="pct"/>
          </w:tcPr>
          <w:p w14:paraId="03696674"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lastRenderedPageBreak/>
              <w:t>17</w:t>
            </w:r>
          </w:p>
        </w:tc>
        <w:tc>
          <w:tcPr>
            <w:tcW w:w="861" w:type="pct"/>
          </w:tcPr>
          <w:p w14:paraId="7D8C1BAC"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Syahputra &amp; Albar, 2023</w:t>
            </w:r>
          </w:p>
        </w:tc>
        <w:tc>
          <w:tcPr>
            <w:tcW w:w="813" w:type="pct"/>
          </w:tcPr>
          <w:p w14:paraId="030E83C8"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Buzan (2003) theory of moral values </w:t>
            </w:r>
          </w:p>
          <w:p w14:paraId="5EE25184" w14:textId="77777777" w:rsidR="00252ED0" w:rsidRPr="006A209D" w:rsidRDefault="00252ED0" w:rsidP="003E72CD">
            <w:pPr>
              <w:rPr>
                <w:rFonts w:ascii="Times New Roman" w:hAnsi="Times New Roman" w:cs="Times New Roman"/>
                <w:sz w:val="20"/>
                <w:szCs w:val="20"/>
              </w:rPr>
            </w:pPr>
          </w:p>
        </w:tc>
        <w:tc>
          <w:tcPr>
            <w:tcW w:w="1225" w:type="pct"/>
          </w:tcPr>
          <w:p w14:paraId="2B5E2832"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Harvest Moon: Back to Nature - Life simulation, Role-playing</w:t>
            </w:r>
          </w:p>
        </w:tc>
        <w:tc>
          <w:tcPr>
            <w:tcW w:w="1947" w:type="pct"/>
          </w:tcPr>
          <w:p w14:paraId="5638DE94"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The article discusses concerns over globalisation and its impact on diverse cultures. Videogames are identified as media that are entertaining and can support players in developing culture and moral values. The study concludes that educators can select and use appropriate videogames based on their genres and themes that help students develop appropriate cultural and moral values.  </w:t>
            </w:r>
          </w:p>
        </w:tc>
      </w:tr>
      <w:tr w:rsidR="00252ED0" w:rsidRPr="006A209D" w14:paraId="24FF5131" w14:textId="77777777" w:rsidTr="003E72CD">
        <w:trPr>
          <w:gridAfter w:val="1"/>
          <w:wAfter w:w="11" w:type="dxa"/>
        </w:trPr>
        <w:tc>
          <w:tcPr>
            <w:tcW w:w="150" w:type="pct"/>
          </w:tcPr>
          <w:p w14:paraId="7C624EBC"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18</w:t>
            </w:r>
          </w:p>
        </w:tc>
        <w:tc>
          <w:tcPr>
            <w:tcW w:w="861" w:type="pct"/>
          </w:tcPr>
          <w:p w14:paraId="62736FC4"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Teng Zhaojun; Qian Nie; Cheng Guo; Qian Zhang; Yanling Liu; Bushman, Brad J., 2019</w:t>
            </w:r>
          </w:p>
          <w:p w14:paraId="01939A95" w14:textId="77777777" w:rsidR="00252ED0" w:rsidRPr="006A209D" w:rsidRDefault="00252ED0" w:rsidP="003E72CD">
            <w:pPr>
              <w:rPr>
                <w:rFonts w:ascii="Times New Roman" w:hAnsi="Times New Roman" w:cs="Times New Roman"/>
                <w:sz w:val="20"/>
                <w:szCs w:val="20"/>
              </w:rPr>
            </w:pPr>
          </w:p>
        </w:tc>
        <w:tc>
          <w:tcPr>
            <w:tcW w:w="813" w:type="pct"/>
          </w:tcPr>
          <w:p w14:paraId="169DFA95"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The article utilises moral disengagement (Bandura, 1986, 1999, 2002). Moral disengagement examines how good people can act badly.  </w:t>
            </w:r>
          </w:p>
        </w:tc>
        <w:tc>
          <w:tcPr>
            <w:tcW w:w="1225" w:type="pct"/>
          </w:tcPr>
          <w:p w14:paraId="45A2DF4D"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Violent video games - Call of Duty: WWII</w:t>
            </w:r>
          </w:p>
        </w:tc>
        <w:tc>
          <w:tcPr>
            <w:tcW w:w="1947" w:type="pct"/>
          </w:tcPr>
          <w:p w14:paraId="145D62A8" w14:textId="77777777" w:rsidR="00252ED0" w:rsidRPr="006A209D" w:rsidRDefault="00252ED0" w:rsidP="003E72CD">
            <w:pPr>
              <w:rPr>
                <w:rFonts w:ascii="Times New Roman" w:hAnsi="Times New Roman" w:cs="Times New Roman"/>
                <w:sz w:val="20"/>
                <w:szCs w:val="20"/>
              </w:rPr>
            </w:pPr>
            <w:r w:rsidRPr="006A209D">
              <w:rPr>
                <w:rFonts w:ascii="Times New Roman" w:hAnsi="Times New Roman" w:cs="Times New Roman"/>
                <w:sz w:val="20"/>
                <w:szCs w:val="20"/>
              </w:rPr>
              <w:t xml:space="preserve">The paper investigates the link between violent videogame exposure and aggression in adolescents. The study examines the mediated role of moral disengagement. The study draws on Social Cognitive Theory, which proposes the three interactive components that result in observational learning: 1) context (e.g. exposure to violent videogames), 2) personal cognition (e.g. moral disengagement) and 3) behaviours (e.g. aggression). Videogames were not utilised as resources for student learning, and adolescent participants were recruited from secondary school settings. The study found that Moral disengagement was noteworthy regarding the longitudinal relationship between exposure to violent games and aggression in the cross-lagged panel and between-person analyses. Moral disengagement was not noteworthy within-personal analysis. Younger adolescents represented a more substantial effect than late adolescents, specifically between persons. Gender did not influence the effects. </w:t>
            </w:r>
          </w:p>
          <w:p w14:paraId="5D9E8273" w14:textId="77777777" w:rsidR="00252ED0" w:rsidRPr="006A209D" w:rsidRDefault="00252ED0" w:rsidP="003E72CD">
            <w:pPr>
              <w:rPr>
                <w:rFonts w:ascii="Times New Roman" w:hAnsi="Times New Roman" w:cs="Times New Roman"/>
                <w:sz w:val="20"/>
                <w:szCs w:val="20"/>
              </w:rPr>
            </w:pPr>
          </w:p>
        </w:tc>
      </w:tr>
    </w:tbl>
    <w:p w14:paraId="71DA8F5A" w14:textId="77777777" w:rsidR="00252ED0" w:rsidRDefault="00252ED0" w:rsidP="00252ED0">
      <w:pPr>
        <w:spacing w:line="480" w:lineRule="auto"/>
        <w:rPr>
          <w:rFonts w:ascii="Times New Roman" w:eastAsia="Times New Roman" w:hAnsi="Times New Roman" w:cs="Times New Roman"/>
          <w:b/>
          <w:bCs/>
        </w:rPr>
      </w:pPr>
    </w:p>
    <w:p w14:paraId="7BE85A9A" w14:textId="77777777" w:rsidR="00A24367" w:rsidRDefault="00A24367"/>
    <w:sectPr w:rsidR="00A24367" w:rsidSect="00252ED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D0"/>
    <w:rsid w:val="00252ED0"/>
    <w:rsid w:val="00807866"/>
    <w:rsid w:val="00A24367"/>
    <w:rsid w:val="00A372AB"/>
    <w:rsid w:val="00FB4F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82E633D"/>
  <w15:chartTrackingRefBased/>
  <w15:docId w15:val="{9755F051-FE3A-D948-A322-B61B20B12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ED0"/>
    <w:pPr>
      <w:spacing w:after="0" w:line="240" w:lineRule="auto"/>
    </w:pPr>
    <w:rPr>
      <w:rFonts w:ascii="Aptos" w:eastAsia="Aptos" w:hAnsi="Aptos" w:cs="Arial"/>
      <w14:ligatures w14:val="none"/>
    </w:rPr>
  </w:style>
  <w:style w:type="paragraph" w:styleId="Heading1">
    <w:name w:val="heading 1"/>
    <w:basedOn w:val="Normal"/>
    <w:next w:val="Normal"/>
    <w:link w:val="Heading1Char"/>
    <w:uiPriority w:val="9"/>
    <w:qFormat/>
    <w:rsid w:val="00252ED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252ED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252ED0"/>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252ED0"/>
    <w:pPr>
      <w:keepNext/>
      <w:keepLines/>
      <w:spacing w:before="80" w:after="40" w:line="278" w:lineRule="auto"/>
      <w:outlineLvl w:val="3"/>
    </w:pPr>
    <w:rPr>
      <w:rFonts w:asciiTheme="minorHAnsi" w:eastAsiaTheme="majorEastAsia" w:hAnsiTheme="minorHAnsi" w:cstheme="majorBidi"/>
      <w:i/>
      <w:iCs/>
      <w:color w:val="0F4761" w:themeColor="accent1" w:themeShade="BF"/>
      <w14:ligatures w14:val="standardContextual"/>
    </w:rPr>
  </w:style>
  <w:style w:type="paragraph" w:styleId="Heading5">
    <w:name w:val="heading 5"/>
    <w:basedOn w:val="Normal"/>
    <w:next w:val="Normal"/>
    <w:link w:val="Heading5Char"/>
    <w:uiPriority w:val="9"/>
    <w:semiHidden/>
    <w:unhideWhenUsed/>
    <w:qFormat/>
    <w:rsid w:val="00252ED0"/>
    <w:pPr>
      <w:keepNext/>
      <w:keepLines/>
      <w:spacing w:before="80" w:after="40" w:line="278" w:lineRule="auto"/>
      <w:outlineLvl w:val="4"/>
    </w:pPr>
    <w:rPr>
      <w:rFonts w:asciiTheme="minorHAnsi" w:eastAsiaTheme="majorEastAsia" w:hAnsiTheme="minorHAnsi"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rsid w:val="00252ED0"/>
    <w:pPr>
      <w:keepNext/>
      <w:keepLines/>
      <w:spacing w:before="40" w:line="278" w:lineRule="auto"/>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252ED0"/>
    <w:pPr>
      <w:keepNext/>
      <w:keepLines/>
      <w:spacing w:before="40" w:line="278" w:lineRule="auto"/>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252ED0"/>
    <w:pPr>
      <w:keepNext/>
      <w:keepLines/>
      <w:spacing w:line="278" w:lineRule="auto"/>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252ED0"/>
    <w:pPr>
      <w:keepNext/>
      <w:keepLines/>
      <w:spacing w:line="278" w:lineRule="auto"/>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E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E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E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E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2E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2E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E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E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ED0"/>
    <w:rPr>
      <w:rFonts w:eastAsiaTheme="majorEastAsia" w:cstheme="majorBidi"/>
      <w:color w:val="272727" w:themeColor="text1" w:themeTint="D8"/>
    </w:rPr>
  </w:style>
  <w:style w:type="paragraph" w:styleId="Title">
    <w:name w:val="Title"/>
    <w:basedOn w:val="Normal"/>
    <w:next w:val="Normal"/>
    <w:link w:val="TitleChar"/>
    <w:uiPriority w:val="10"/>
    <w:qFormat/>
    <w:rsid w:val="00252ED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52E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ED0"/>
    <w:pPr>
      <w:numPr>
        <w:ilvl w:val="1"/>
      </w:numPr>
      <w:spacing w:after="160" w:line="278"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252E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ED0"/>
    <w:pPr>
      <w:spacing w:before="160" w:after="160" w:line="278" w:lineRule="auto"/>
      <w:jc w:val="center"/>
    </w:pPr>
    <w:rPr>
      <w:rFonts w:asciiTheme="minorHAnsi" w:eastAsiaTheme="minorHAnsi" w:hAnsi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252ED0"/>
    <w:rPr>
      <w:i/>
      <w:iCs/>
      <w:color w:val="404040" w:themeColor="text1" w:themeTint="BF"/>
    </w:rPr>
  </w:style>
  <w:style w:type="paragraph" w:styleId="ListParagraph">
    <w:name w:val="List Paragraph"/>
    <w:basedOn w:val="Normal"/>
    <w:uiPriority w:val="34"/>
    <w:qFormat/>
    <w:rsid w:val="00252ED0"/>
    <w:pPr>
      <w:spacing w:after="160" w:line="278" w:lineRule="auto"/>
      <w:ind w:left="720"/>
      <w:contextualSpacing/>
    </w:pPr>
    <w:rPr>
      <w:rFonts w:asciiTheme="minorHAnsi" w:eastAsiaTheme="minorHAnsi" w:hAnsiTheme="minorHAnsi" w:cstheme="minorBidi"/>
      <w14:ligatures w14:val="standardContextual"/>
    </w:rPr>
  </w:style>
  <w:style w:type="character" w:styleId="IntenseEmphasis">
    <w:name w:val="Intense Emphasis"/>
    <w:basedOn w:val="DefaultParagraphFont"/>
    <w:uiPriority w:val="21"/>
    <w:qFormat/>
    <w:rsid w:val="00252ED0"/>
    <w:rPr>
      <w:i/>
      <w:iCs/>
      <w:color w:val="0F4761" w:themeColor="accent1" w:themeShade="BF"/>
    </w:rPr>
  </w:style>
  <w:style w:type="paragraph" w:styleId="IntenseQuote">
    <w:name w:val="Intense Quote"/>
    <w:basedOn w:val="Normal"/>
    <w:next w:val="Normal"/>
    <w:link w:val="IntenseQuoteChar"/>
    <w:uiPriority w:val="30"/>
    <w:qFormat/>
    <w:rsid w:val="00252ED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252ED0"/>
    <w:rPr>
      <w:i/>
      <w:iCs/>
      <w:color w:val="0F4761" w:themeColor="accent1" w:themeShade="BF"/>
    </w:rPr>
  </w:style>
  <w:style w:type="character" w:styleId="IntenseReference">
    <w:name w:val="Intense Reference"/>
    <w:basedOn w:val="DefaultParagraphFont"/>
    <w:uiPriority w:val="32"/>
    <w:qFormat/>
    <w:rsid w:val="00252E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3DC85DDFD986478BDECD10026EE122" ma:contentTypeVersion="11" ma:contentTypeDescription="Create a new document." ma:contentTypeScope="" ma:versionID="c13c03d6bef80577f9e3bfc0ee9fa9cf">
  <xsd:schema xmlns:xsd="http://www.w3.org/2001/XMLSchema" xmlns:xs="http://www.w3.org/2001/XMLSchema" xmlns:p="http://schemas.microsoft.com/office/2006/metadata/properties" xmlns:ns2="eab85c43-4dd6-48ad-9093-e53ab954adfb" xmlns:ns3="413b7e04-f164-447c-be0e-d3bac1b2a023" targetNamespace="http://schemas.microsoft.com/office/2006/metadata/properties" ma:root="true" ma:fieldsID="1eb123a6e887157a40758e3251b27715" ns2:_="" ns3:_="">
    <xsd:import namespace="eab85c43-4dd6-48ad-9093-e53ab954adfb"/>
    <xsd:import namespace="413b7e04-f164-447c-be0e-d3bac1b2a0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85c43-4dd6-48ad-9093-e53ab954a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7feaa39-2ad5-4057-abe0-708baeb4255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3b7e04-f164-447c-be0e-d3bac1b2a0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34dc73a-87de-4030-a3fa-41effb1b9977}" ma:internalName="TaxCatchAll" ma:showField="CatchAllData" ma:web="413b7e04-f164-447c-be0e-d3bac1b2a0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3b7e04-f164-447c-be0e-d3bac1b2a023" xsi:nil="true"/>
    <lcf76f155ced4ddcb4097134ff3c332f xmlns="eab85c43-4dd6-48ad-9093-e53ab954ad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606F4F-B87F-4753-99C6-60A1AE62CB28}"/>
</file>

<file path=customXml/itemProps2.xml><?xml version="1.0" encoding="utf-8"?>
<ds:datastoreItem xmlns:ds="http://schemas.openxmlformats.org/officeDocument/2006/customXml" ds:itemID="{82DF2D09-B639-4C57-8BBD-3616F91061A2}"/>
</file>

<file path=customXml/itemProps3.xml><?xml version="1.0" encoding="utf-8"?>
<ds:datastoreItem xmlns:ds="http://schemas.openxmlformats.org/officeDocument/2006/customXml" ds:itemID="{A07746F1-DBFA-496E-8973-0A29FA3C4FF4}"/>
</file>

<file path=docProps/app.xml><?xml version="1.0" encoding="utf-8"?>
<Properties xmlns="http://schemas.openxmlformats.org/officeDocument/2006/extended-properties" xmlns:vt="http://schemas.openxmlformats.org/officeDocument/2006/docPropsVTypes">
  <Template>Normal.dotm</Template>
  <TotalTime>0</TotalTime>
  <Pages>6</Pages>
  <Words>2214</Words>
  <Characters>12624</Characters>
  <Application>Microsoft Office Word</Application>
  <DocSecurity>0</DocSecurity>
  <Lines>105</Lines>
  <Paragraphs>29</Paragraphs>
  <ScaleCrop>false</ScaleCrop>
  <Company/>
  <LinksUpToDate>false</LinksUpToDate>
  <CharactersWithSpaces>14809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Lowien</dc:creator>
  <cp:keywords/>
  <dc:description/>
  <cp:lastModifiedBy>Nathan Lowien</cp:lastModifiedBy>
  <cp:revision>1</cp:revision>
  <dcterms:created xsi:type="dcterms:W3CDTF">2025-09-29T07:25:00Z</dcterms:created>
  <dcterms:modified xsi:type="dcterms:W3CDTF">2025-09-29T07:25:00Z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0x010100C13DC85DDFD986478BDECD10026EE122</vt:lpwstr>
  </property>
</Properties>
</file>