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EFCD Tables</w:t>
      </w:r>
    </w:p>
    <w:p>
      <w:pPr>
        <w:pStyle w:val="Heading2"/>
      </w:pPr>
      <w:r>
        <w:t>Table 1. Cohort and whole-cycle parameter panel coverage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4419"/>
          </w:tcPr>
          <w:p>
            <w:r/>
            <w:r>
              <w:rPr>
                <w:b/>
                <w:sz w:val="18"/>
              </w:rPr>
              <w:t>Item</w:t>
            </w:r>
          </w:p>
        </w:tc>
        <w:tc>
          <w:tcPr>
            <w:tcW w:type="dxa" w:w="4419"/>
          </w:tcPr>
          <w:p>
            <w:r/>
            <w:r>
              <w:rPr>
                <w:b/>
                <w:sz w:val="18"/>
              </w:rPr>
              <w:t>Value</w:t>
            </w:r>
          </w:p>
        </w:tc>
      </w:tr>
      <w:tr>
        <w:tc>
          <w:tcPr>
            <w:tcW w:type="dxa" w:w="4419"/>
          </w:tcPr>
          <w:p>
            <w:r>
              <w:rPr>
                <w:sz w:val="18"/>
              </w:rPr>
            </w:r>
            <w:r>
              <w:rPr>
                <w:sz w:val="18"/>
              </w:rPr>
              <w:t>ICU stays screened</w:t>
            </w:r>
          </w:p>
        </w:tc>
        <w:tc>
          <w:tcPr>
            <w:tcW w:type="dxa" w:w="4419"/>
          </w:tcPr>
          <w:p>
            <w:r>
              <w:rPr>
                <w:sz w:val="18"/>
              </w:rPr>
            </w:r>
            <w:r>
              <w:rPr>
                <w:sz w:val="18"/>
              </w:rPr>
              <w:t>94,458</w:t>
            </w:r>
          </w:p>
        </w:tc>
      </w:tr>
      <w:tr>
        <w:tc>
          <w:tcPr>
            <w:tcW w:type="dxa" w:w="4419"/>
          </w:tcPr>
          <w:p>
            <w:r>
              <w:rPr>
                <w:sz w:val="18"/>
              </w:rPr>
            </w:r>
            <w:r>
              <w:rPr>
                <w:sz w:val="18"/>
              </w:rPr>
              <w:t>Stays with &gt;=1 in-stay ECG</w:t>
            </w:r>
          </w:p>
        </w:tc>
        <w:tc>
          <w:tcPr>
            <w:tcW w:type="dxa" w:w="4419"/>
          </w:tcPr>
          <w:p>
            <w:r>
              <w:rPr>
                <w:sz w:val="18"/>
              </w:rPr>
            </w:r>
            <w:r>
              <w:rPr>
                <w:sz w:val="18"/>
              </w:rPr>
              <w:t>35,906 (72,166 ECGs)</w:t>
            </w:r>
          </w:p>
        </w:tc>
      </w:tr>
      <w:tr>
        <w:tc>
          <w:tcPr>
            <w:tcW w:type="dxa" w:w="4419"/>
          </w:tcPr>
          <w:p>
            <w:r>
              <w:rPr>
                <w:sz w:val="18"/>
              </w:rPr>
            </w:r>
            <w:r>
              <w:rPr>
                <w:sz w:val="18"/>
              </w:rPr>
              <w:t>Final cohort (CAD/AF/pacing excluded)</w:t>
            </w:r>
          </w:p>
        </w:tc>
        <w:tc>
          <w:tcPr>
            <w:tcW w:type="dxa" w:w="4419"/>
          </w:tcPr>
          <w:p>
            <w:r>
              <w:rPr>
                <w:sz w:val="18"/>
              </w:rPr>
            </w:r>
            <w:r>
              <w:rPr>
                <w:sz w:val="18"/>
              </w:rPr>
              <w:t>14,319 stays</w:t>
            </w:r>
          </w:p>
        </w:tc>
      </w:tr>
      <w:tr>
        <w:tc>
          <w:tcPr>
            <w:tcW w:type="dxa" w:w="4419"/>
          </w:tcPr>
          <w:p>
            <w:r>
              <w:rPr>
                <w:sz w:val="18"/>
              </w:rPr>
            </w:r>
            <w:r>
              <w:rPr>
                <w:sz w:val="18"/>
              </w:rPr>
              <w:t>28-day mortality</w:t>
            </w:r>
          </w:p>
        </w:tc>
        <w:tc>
          <w:tcPr>
            <w:tcW w:type="dxa" w:w="4419"/>
          </w:tcPr>
          <w:p>
            <w:r>
              <w:rPr>
                <w:sz w:val="18"/>
              </w:rPr>
            </w:r>
            <w:r>
              <w:rPr>
                <w:sz w:val="18"/>
              </w:rPr>
              <w:t>13.6%</w:t>
            </w:r>
          </w:p>
        </w:tc>
      </w:tr>
      <w:tr>
        <w:tc>
          <w:tcPr>
            <w:tcW w:type="dxa" w:w="4419"/>
          </w:tcPr>
          <w:p>
            <w:r>
              <w:rPr>
                <w:sz w:val="18"/>
              </w:rPr>
            </w:r>
            <w:r>
              <w:rPr>
                <w:sz w:val="18"/>
              </w:rPr>
              <w:t>Panel ECGs (machine + waveform v2 merged)</w:t>
            </w:r>
          </w:p>
        </w:tc>
        <w:tc>
          <w:tcPr>
            <w:tcW w:type="dxa" w:w="4419"/>
          </w:tcPr>
          <w:p>
            <w:r>
              <w:rPr>
                <w:sz w:val="18"/>
              </w:rPr>
            </w:r>
            <w:r>
              <w:rPr>
                <w:sz w:val="18"/>
              </w:rPr>
              <w:t>25,112 ECGs / 14,319 stays</w:t>
            </w:r>
          </w:p>
        </w:tc>
      </w:tr>
      <w:tr>
        <w:tc>
          <w:tcPr>
            <w:tcW w:type="dxa" w:w="4419"/>
          </w:tcPr>
          <w:p>
            <w:r>
              <w:rPr>
                <w:sz w:val="18"/>
              </w:rPr>
            </w:r>
            <w:r>
              <w:rPr>
                <w:sz w:val="18"/>
              </w:rPr>
              <w:t>48-h landmark at-risk</w:t>
            </w:r>
          </w:p>
        </w:tc>
        <w:tc>
          <w:tcPr>
            <w:tcW w:type="dxa" w:w="4419"/>
          </w:tcPr>
          <w:p>
            <w:r>
              <w:rPr>
                <w:sz w:val="18"/>
              </w:rPr>
            </w:r>
            <w:r>
              <w:rPr>
                <w:sz w:val="18"/>
              </w:rPr>
              <w:t>11,382 stays (1,248 deaths)</w:t>
            </w:r>
          </w:p>
        </w:tc>
      </w:tr>
      <w:tr>
        <w:tc>
          <w:tcPr>
            <w:tcW w:type="dxa" w:w="4419"/>
          </w:tcPr>
          <w:p>
            <w:r>
              <w:rPr>
                <w:sz w:val="18"/>
              </w:rPr>
            </w:r>
            <w:r>
              <w:rPr>
                <w:sz w:val="18"/>
              </w:rPr>
              <w:t>Waveform engine v2 measured</w:t>
            </w:r>
          </w:p>
        </w:tc>
        <w:tc>
          <w:tcPr>
            <w:tcW w:type="dxa" w:w="4419"/>
          </w:tcPr>
          <w:p>
            <w:r>
              <w:rPr>
                <w:sz w:val="18"/>
              </w:rPr>
            </w:r>
            <w:r>
              <w:rPr>
                <w:sz w:val="18"/>
              </w:rPr>
              <w:t>71,979 / 72,166 (99.7%)</w:t>
            </w:r>
          </w:p>
        </w:tc>
      </w:tr>
      <w:tr>
        <w:tc>
          <w:tcPr>
            <w:tcW w:type="dxa" w:w="4419"/>
          </w:tcPr>
          <w:p>
            <w:r>
              <w:rPr>
                <w:sz w:val="18"/>
              </w:rPr>
            </w:r>
            <w:r>
              <w:rPr>
                <w:sz w:val="18"/>
              </w:rPr>
              <w:t>ST-dep prevalence: v1 (mis-anchored) vs v2 (reference)</w:t>
            </w:r>
          </w:p>
        </w:tc>
        <w:tc>
          <w:tcPr>
            <w:tcW w:type="dxa" w:w="4419"/>
          </w:tcPr>
          <w:p>
            <w:r>
              <w:rPr>
                <w:sz w:val="18"/>
              </w:rPr>
            </w:r>
            <w:r>
              <w:rPr>
                <w:sz w:val="18"/>
              </w:rPr>
              <w:t>20.7% vs 10.5% (concordance 76.9%)</w:t>
            </w:r>
          </w:p>
        </w:tc>
      </w:tr>
    </w:tbl>
    <w:p/>
    <w:p>
      <w:pPr>
        <w:pStyle w:val="Heading2"/>
      </w:pPr>
      <w:r>
        <w:t>Table 2. 48-h landmark Cox models for 28-day mortality (per SD unless noted; adjusted for age, sex, SOFA, lactate, MAP nadir)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209"/>
        <w:gridCol w:w="2209"/>
        <w:gridCol w:w="2209"/>
        <w:gridCol w:w="2209"/>
      </w:tblGrid>
      <w:tr>
        <w:tc>
          <w:tcPr>
            <w:tcW w:type="dxa" w:w="2209"/>
          </w:tcPr>
          <w:p>
            <w:r/>
            <w:r>
              <w:rPr>
                <w:b/>
                <w:sz w:val="18"/>
              </w:rPr>
              <w:t>Parameter</w:t>
            </w:r>
          </w:p>
        </w:tc>
        <w:tc>
          <w:tcPr>
            <w:tcW w:type="dxa" w:w="2209"/>
          </w:tcPr>
          <w:p>
            <w:r/>
            <w:r>
              <w:rPr>
                <w:b/>
                <w:sz w:val="18"/>
              </w:rPr>
              <w:t>HR (95% CI)</w:t>
            </w:r>
          </w:p>
        </w:tc>
        <w:tc>
          <w:tcPr>
            <w:tcW w:type="dxa" w:w="2209"/>
          </w:tcPr>
          <w:p>
            <w:r/>
            <w:r>
              <w:rPr>
                <w:b/>
                <w:sz w:val="18"/>
              </w:rPr>
              <w:t>P</w:t>
            </w:r>
          </w:p>
        </w:tc>
        <w:tc>
          <w:tcPr>
            <w:tcW w:type="dxa" w:w="2209"/>
          </w:tcPr>
          <w:p>
            <w:r/>
            <w:r>
              <w:rPr>
                <w:b/>
                <w:sz w:val="18"/>
              </w:rPr>
              <w:t>n</w:t>
            </w:r>
          </w:p>
        </w:tc>
      </w:tr>
      <w:tr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QRS-T angle (48h max)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1.125 (1.068-1.185)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&lt;0.0001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11,357</w:t>
            </w:r>
          </w:p>
        </w:tc>
      </w:tr>
      <w:tr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QRS-T angle (48h mean)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1.125 (1.068-1.184)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&lt;0.0001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11,357</w:t>
            </w:r>
          </w:p>
        </w:tc>
      </w:tr>
      <w:tr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QRS-T angle (first ECG)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1.111 (1.055-1.170)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&lt;0.0001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11,357</w:t>
            </w:r>
          </w:p>
        </w:tc>
      </w:tr>
      <w:tr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QTcF (48h max)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0.952 (0.901-1.006)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0.0831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11,379</w:t>
            </w:r>
          </w:p>
        </w:tc>
      </w:tr>
      <w:tr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QTcF (48h mean)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0.952 (0.901-1.006)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0.0813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11,379</w:t>
            </w:r>
          </w:p>
        </w:tc>
      </w:tr>
      <w:tr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QTcF (first ECG)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0.941 (0.891-0.994)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0.0296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11,379</w:t>
            </w:r>
          </w:p>
        </w:tc>
      </w:tr>
      <w:tr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HR (48h max)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1.239 (1.177-1.305)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&lt;0.0001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11,379</w:t>
            </w:r>
          </w:p>
        </w:tc>
      </w:tr>
      <w:tr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QRS duration (48h max)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1.033 (0.980-1.090)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0.2282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11,378</w:t>
            </w:r>
          </w:p>
        </w:tc>
      </w:tr>
      <w:tr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PR (48h max)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0.908 (0.854-0.966)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0.0023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10,716</w:t>
            </w:r>
          </w:p>
        </w:tc>
      </w:tr>
      <w:tr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ST depression v1, mis-anchored (binary)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1.116 (0.986-1.264)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0.0831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11,380</w:t>
            </w:r>
          </w:p>
        </w:tc>
      </w:tr>
      <w:tr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ST depression v2, reference (binary)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1.413 (1.227-1.628)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&lt;0.0001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11,376</w:t>
            </w:r>
          </w:p>
        </w:tc>
      </w:tr>
      <w:tr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ST amplitude v2, continuous per SD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0.925 (0.890-0.961)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&lt;0.0001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11,376</w:t>
            </w:r>
          </w:p>
        </w:tc>
      </w:tr>
      <w:tr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T amp V5 (48h min)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1.025 (0.970-1.084)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0.3784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11,331</w:t>
            </w:r>
          </w:p>
        </w:tc>
      </w:tr>
      <w:tr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T amp II (48h min)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1.047 (0.991-1.106)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0.1041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11,371</w:t>
            </w:r>
          </w:p>
        </w:tc>
      </w:tr>
      <w:tr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QRS amp V5 (48h max)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0.905 (0.852-0.963)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0.0015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11,344</w:t>
            </w:r>
          </w:p>
        </w:tc>
      </w:tr>
      <w:tr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QRS amp II (48h max)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0.980 (0.921-1.042)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0.5189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11,372</w:t>
            </w:r>
          </w:p>
        </w:tc>
      </w:tr>
      <w:tr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QRS area II (48h mean)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0.967 (0.916-1.021)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0.2213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11,376</w:t>
            </w:r>
          </w:p>
        </w:tc>
      </w:tr>
      <w:tr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ST-T area II (48h mean)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0.930 (0.886-0.976)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0.0032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11,376</w:t>
            </w:r>
          </w:p>
        </w:tc>
      </w:tr>
      <w:tr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T area II (48h mean)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0.935 (0.890-0.983)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0.0086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11,376</w:t>
            </w:r>
          </w:p>
        </w:tc>
      </w:tr>
      <w:tr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Tp-Te (48h max)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0.982 (0.913-1.057)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0.6314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7,595</w:t>
            </w:r>
          </w:p>
        </w:tc>
      </w:tr>
      <w:tr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J-to-Tpeak (48h max)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1.121 (1.063-1.183)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&lt;0.0001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11,376</w:t>
            </w:r>
          </w:p>
        </w:tc>
      </w:tr>
    </w:tbl>
    <w:p/>
    <w:p>
      <w:r>
        <w:rPr>
          <w:b/>
        </w:rPr>
        <w:t>QRS-T angle dose-response strata (vs &lt;60 deg)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946"/>
        <w:gridCol w:w="2946"/>
        <w:gridCol w:w="2946"/>
      </w:tblGrid>
      <w:tr>
        <w:tc>
          <w:tcPr>
            <w:tcW w:type="dxa" w:w="2946"/>
          </w:tcPr>
          <w:p>
            <w:r/>
            <w:r>
              <w:rPr>
                <w:b/>
                <w:sz w:val="18"/>
              </w:rPr>
              <w:t>Stratum</w:t>
            </w:r>
          </w:p>
        </w:tc>
        <w:tc>
          <w:tcPr>
            <w:tcW w:type="dxa" w:w="2946"/>
          </w:tcPr>
          <w:p>
            <w:r/>
            <w:r>
              <w:rPr>
                <w:b/>
                <w:sz w:val="18"/>
              </w:rPr>
              <w:t>HR (95% CI)</w:t>
            </w:r>
          </w:p>
        </w:tc>
        <w:tc>
          <w:tcPr>
            <w:tcW w:type="dxa" w:w="2946"/>
          </w:tcPr>
          <w:p>
            <w:r/>
            <w:r>
              <w:rPr>
                <w:b/>
                <w:sz w:val="18"/>
              </w:rPr>
              <w:t>P</w:t>
            </w:r>
          </w:p>
        </w:tc>
      </w:tr>
      <w:tr>
        <w:tc>
          <w:tcPr>
            <w:tcW w:type="dxa" w:w="2946"/>
          </w:tcPr>
          <w:p>
            <w:r>
              <w:rPr>
                <w:sz w:val="18"/>
              </w:rPr>
            </w:r>
            <w:r>
              <w:rPr>
                <w:sz w:val="18"/>
              </w:rPr>
              <w:t>QRS-T 60-90 vs &lt;60</w:t>
            </w:r>
          </w:p>
        </w:tc>
        <w:tc>
          <w:tcPr>
            <w:tcW w:type="dxa" w:w="2946"/>
          </w:tcPr>
          <w:p>
            <w:r>
              <w:rPr>
                <w:sz w:val="18"/>
              </w:rPr>
            </w:r>
            <w:r>
              <w:rPr>
                <w:sz w:val="18"/>
              </w:rPr>
              <w:t>1.103 (0.930-1.307)</w:t>
            </w:r>
          </w:p>
        </w:tc>
        <w:tc>
          <w:tcPr>
            <w:tcW w:type="dxa" w:w="2946"/>
          </w:tcPr>
          <w:p>
            <w:r>
              <w:rPr>
                <w:sz w:val="18"/>
              </w:rPr>
            </w:r>
            <w:r>
              <w:rPr>
                <w:sz w:val="18"/>
              </w:rPr>
              <w:t>0.2607</w:t>
            </w:r>
          </w:p>
        </w:tc>
      </w:tr>
      <w:tr>
        <w:tc>
          <w:tcPr>
            <w:tcW w:type="dxa" w:w="2946"/>
          </w:tcPr>
          <w:p>
            <w:r>
              <w:rPr>
                <w:sz w:val="18"/>
              </w:rPr>
            </w:r>
            <w:r>
              <w:rPr>
                <w:sz w:val="18"/>
              </w:rPr>
              <w:t>QRS-T 90-120 vs &lt;60</w:t>
            </w:r>
          </w:p>
        </w:tc>
        <w:tc>
          <w:tcPr>
            <w:tcW w:type="dxa" w:w="2946"/>
          </w:tcPr>
          <w:p>
            <w:r>
              <w:rPr>
                <w:sz w:val="18"/>
              </w:rPr>
            </w:r>
            <w:r>
              <w:rPr>
                <w:sz w:val="18"/>
              </w:rPr>
              <w:t>1.226 (1.001-1.503)</w:t>
            </w:r>
          </w:p>
        </w:tc>
        <w:tc>
          <w:tcPr>
            <w:tcW w:type="dxa" w:w="2946"/>
          </w:tcPr>
          <w:p>
            <w:r>
              <w:rPr>
                <w:sz w:val="18"/>
              </w:rPr>
            </w:r>
            <w:r>
              <w:rPr>
                <w:sz w:val="18"/>
              </w:rPr>
              <w:t>0.0489</w:t>
            </w:r>
          </w:p>
        </w:tc>
      </w:tr>
      <w:tr>
        <w:tc>
          <w:tcPr>
            <w:tcW w:type="dxa" w:w="2946"/>
          </w:tcPr>
          <w:p>
            <w:r>
              <w:rPr>
                <w:sz w:val="18"/>
              </w:rPr>
            </w:r>
            <w:r>
              <w:rPr>
                <w:sz w:val="18"/>
              </w:rPr>
              <w:t>QRS-T &gt;=120 vs &lt;60</w:t>
            </w:r>
          </w:p>
        </w:tc>
        <w:tc>
          <w:tcPr>
            <w:tcW w:type="dxa" w:w="2946"/>
          </w:tcPr>
          <w:p>
            <w:r>
              <w:rPr>
                <w:sz w:val="18"/>
              </w:rPr>
            </w:r>
            <w:r>
              <w:rPr>
                <w:sz w:val="18"/>
              </w:rPr>
              <w:t>1.350 (1.171-1.555)</w:t>
            </w:r>
          </w:p>
        </w:tc>
        <w:tc>
          <w:tcPr>
            <w:tcW w:type="dxa" w:w="2946"/>
          </w:tcPr>
          <w:p>
            <w:r>
              <w:rPr>
                <w:sz w:val="18"/>
              </w:rPr>
            </w:r>
            <w:r>
              <w:rPr>
                <w:sz w:val="18"/>
              </w:rPr>
              <w:t>&lt;0.0001</w:t>
            </w:r>
          </w:p>
        </w:tc>
      </w:tr>
    </w:tbl>
    <w:p/>
    <w:p>
      <w:r>
        <w:rPr>
          <w:b/>
        </w:rPr>
        <w:t>Trajectory mixed models (survival main effect)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209"/>
        <w:gridCol w:w="2209"/>
        <w:gridCol w:w="2209"/>
        <w:gridCol w:w="2209"/>
      </w:tblGrid>
      <w:tr>
        <w:tc>
          <w:tcPr>
            <w:tcW w:type="dxa" w:w="2209"/>
          </w:tcPr>
          <w:p>
            <w:r/>
            <w:r>
              <w:rPr>
                <w:b/>
                <w:sz w:val="18"/>
              </w:rPr>
              <w:t>Parameter</w:t>
            </w:r>
          </w:p>
        </w:tc>
        <w:tc>
          <w:tcPr>
            <w:tcW w:type="dxa" w:w="2209"/>
          </w:tcPr>
          <w:p>
            <w:r/>
            <w:r>
              <w:rPr>
                <w:b/>
                <w:sz w:val="18"/>
              </w:rPr>
              <w:t>Main effect (non-survivor - survivor)</w:t>
            </w:r>
          </w:p>
        </w:tc>
        <w:tc>
          <w:tcPr>
            <w:tcW w:type="dxa" w:w="2209"/>
          </w:tcPr>
          <w:p>
            <w:r/>
            <w:r>
              <w:rPr>
                <w:b/>
                <w:sz w:val="18"/>
              </w:rPr>
              <w:t>P</w:t>
            </w:r>
          </w:p>
        </w:tc>
        <w:tc>
          <w:tcPr>
            <w:tcW w:type="dxa" w:w="2209"/>
          </w:tcPr>
          <w:p>
            <w:r/>
            <w:r>
              <w:rPr>
                <w:b/>
                <w:sz w:val="18"/>
              </w:rPr>
              <w:t>day x survival P</w:t>
            </w:r>
          </w:p>
        </w:tc>
      </w:tr>
      <w:tr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qrst_angle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+15.29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1.03e-34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0.40</w:t>
            </w:r>
          </w:p>
        </w:tc>
      </w:tr>
      <w:tr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hr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+9.77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3.73e-67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0.36</w:t>
            </w:r>
          </w:p>
        </w:tc>
      </w:tr>
      <w:tr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qrs_duration_ms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+2.44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6.40e-07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0.53</w:t>
            </w:r>
          </w:p>
        </w:tc>
      </w:tr>
      <w:tr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pr_interval_ms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-4.27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2.25e-07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0.29</w:t>
            </w:r>
          </w:p>
        </w:tc>
      </w:tr>
    </w:tbl>
    <w:p/>
    <w:p>
      <w:r>
        <w:rPr>
          <w:b/>
        </w:rPr>
        <w:t>Dynamic increment (first ECG vs first + delta; 5-fold CV AUC)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209"/>
        <w:gridCol w:w="2209"/>
        <w:gridCol w:w="2209"/>
        <w:gridCol w:w="2209"/>
      </w:tblGrid>
      <w:tr>
        <w:tc>
          <w:tcPr>
            <w:tcW w:type="dxa" w:w="2209"/>
          </w:tcPr>
          <w:p>
            <w:r/>
            <w:r>
              <w:rPr>
                <w:b/>
                <w:sz w:val="18"/>
              </w:rPr>
              <w:t>Model</w:t>
            </w:r>
          </w:p>
        </w:tc>
        <w:tc>
          <w:tcPr>
            <w:tcW w:type="dxa" w:w="2209"/>
          </w:tcPr>
          <w:p>
            <w:r/>
            <w:r>
              <w:rPr>
                <w:b/>
                <w:sz w:val="18"/>
              </w:rPr>
              <w:t>AUC first</w:t>
            </w:r>
          </w:p>
        </w:tc>
        <w:tc>
          <w:tcPr>
            <w:tcW w:type="dxa" w:w="2209"/>
          </w:tcPr>
          <w:p>
            <w:r/>
            <w:r>
              <w:rPr>
                <w:b/>
                <w:sz w:val="18"/>
              </w:rPr>
              <w:t>AUC first+delta</w:t>
            </w:r>
          </w:p>
        </w:tc>
        <w:tc>
          <w:tcPr>
            <w:tcW w:type="dxa" w:w="2209"/>
          </w:tcPr>
          <w:p>
            <w:r/>
            <w:r>
              <w:rPr>
                <w:b/>
                <w:sz w:val="18"/>
              </w:rPr>
              <w:t>delta AUC (95% CI)</w:t>
            </w:r>
          </w:p>
        </w:tc>
      </w:tr>
      <w:tr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logistic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0.724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0.724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-0.0005 (-0.0016, +0.0007)</w:t>
            </w:r>
          </w:p>
        </w:tc>
      </w:tr>
      <w:tr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gbm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0.723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0.720</w:t>
            </w:r>
          </w:p>
        </w:tc>
        <w:tc>
          <w:tcPr>
            <w:tcW w:type="dxa" w:w="2209"/>
          </w:tcPr>
          <w:p>
            <w:r>
              <w:rPr>
                <w:sz w:val="18"/>
              </w:rPr>
            </w:r>
            <w:r>
              <w:rPr>
                <w:sz w:val="18"/>
              </w:rPr>
              <w:t>-0.0032 (-0.0066, -0.0002)</w:t>
            </w:r>
          </w:p>
        </w:tc>
      </w:tr>
    </w:tbl>
    <w:p/>
    <w:p>
      <w:pPr>
        <w:pStyle w:val="Heading2"/>
      </w:pPr>
      <w:r>
        <w:t>Table 3. New-onset repolarization abnormalities and ECG-specific outcomes (7-day window after 48-h landmark; cause-specific Cox and Fine-Gray)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263"/>
        <w:gridCol w:w="1263"/>
        <w:gridCol w:w="1263"/>
        <w:gridCol w:w="1263"/>
        <w:gridCol w:w="1263"/>
        <w:gridCol w:w="1263"/>
        <w:gridCol w:w="1263"/>
      </w:tblGrid>
      <w:tr>
        <w:tc>
          <w:tcPr>
            <w:tcW w:type="dxa" w:w="1263"/>
          </w:tcPr>
          <w:p>
            <w:r/>
            <w:r>
              <w:rPr>
                <w:b/>
                <w:sz w:val="18"/>
              </w:rPr>
              <w:t>Outcome</w:t>
            </w:r>
          </w:p>
        </w:tc>
        <w:tc>
          <w:tcPr>
            <w:tcW w:type="dxa" w:w="1263"/>
          </w:tcPr>
          <w:p>
            <w:r/>
            <w:r>
              <w:rPr>
                <w:b/>
                <w:sz w:val="18"/>
              </w:rPr>
              <w:t>Exposure</w:t>
            </w:r>
          </w:p>
        </w:tc>
        <w:tc>
          <w:tcPr>
            <w:tcW w:type="dxa" w:w="1263"/>
          </w:tcPr>
          <w:p>
            <w:r/>
            <w:r>
              <w:rPr>
                <w:b/>
                <w:sz w:val="18"/>
              </w:rPr>
              <w:t>Exposed n</w:t>
            </w:r>
          </w:p>
        </w:tc>
        <w:tc>
          <w:tcPr>
            <w:tcW w:type="dxa" w:w="1263"/>
          </w:tcPr>
          <w:p>
            <w:r/>
            <w:r>
              <w:rPr>
                <w:b/>
                <w:sz w:val="18"/>
              </w:rPr>
              <w:t>CS HR (95% CI)</w:t>
            </w:r>
          </w:p>
        </w:tc>
        <w:tc>
          <w:tcPr>
            <w:tcW w:type="dxa" w:w="1263"/>
          </w:tcPr>
          <w:p>
            <w:r/>
            <w:r>
              <w:rPr>
                <w:b/>
                <w:sz w:val="18"/>
              </w:rPr>
              <w:t>P</w:t>
            </w:r>
          </w:p>
        </w:tc>
        <w:tc>
          <w:tcPr>
            <w:tcW w:type="dxa" w:w="1263"/>
          </w:tcPr>
          <w:p>
            <w:r/>
            <w:r>
              <w:rPr>
                <w:b/>
                <w:sz w:val="18"/>
              </w:rPr>
              <w:t>FG SHR (95% CI)</w:t>
            </w:r>
          </w:p>
        </w:tc>
        <w:tc>
          <w:tcPr>
            <w:tcW w:type="dxa" w:w="1263"/>
          </w:tcPr>
          <w:p>
            <w:r/>
            <w:r>
              <w:rPr>
                <w:b/>
                <w:sz w:val="18"/>
              </w:rPr>
              <w:t>P</w:t>
            </w:r>
          </w:p>
        </w:tc>
      </w:tr>
      <w:tr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new atrial tachyarrhythmia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new-onset ST-dep (v2)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210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3.100 (1.512-6.355)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0.0020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3.097 (1.511-6.348)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0.0020</w:t>
            </w:r>
          </w:p>
        </w:tc>
      </w:tr>
      <w:tr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new atrial tachyarrhythmia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any ST-dep (v2)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1390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1.821 (1.185-2.798)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0.0063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1.819 (1.174-2.816)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0.0074</w:t>
            </w:r>
          </w:p>
        </w:tc>
      </w:tr>
      <w:tr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new atrial tachyarrhythmia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QRS-T &gt;= 90 deg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2594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1.767 (1.221-2.559)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0.0026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1.766 (1.219-2.559)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0.0026</w:t>
            </w:r>
          </w:p>
        </w:tc>
      </w:tr>
      <w:tr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new atrial tachyarrhythmia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new QRS-T &gt;= 90 deg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262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3.768 (2.025-7.012)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&lt;0.0001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3.766 (2.006-7.070)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&lt;0.0001</w:t>
            </w:r>
          </w:p>
        </w:tc>
      </w:tr>
      <w:tr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new atrial tachyarrhythmia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QTcF &gt;= 500 ms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210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1.023 (0.324-3.226)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0.9690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1.022 (0.319-3.274)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0.9708</w:t>
            </w:r>
          </w:p>
        </w:tc>
      </w:tr>
      <w:tr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new atrial tachyarrhythmia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new QTcF &gt;= 500 ms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63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1.153 (0.161-8.277)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0.8873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1.152 (0.168-7.884)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0.8850</w:t>
            </w:r>
          </w:p>
        </w:tc>
      </w:tr>
      <w:tr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new atrial tachyarrhythmia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HR &gt;= 100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3490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1.415 (0.978-2.049)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0.0656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1.414 (0.975-2.050)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0.0677</w:t>
            </w:r>
          </w:p>
        </w:tc>
      </w:tr>
      <w:tr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new myocardial injury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new-onset ST-dep (v2)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210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2.687 (1.316-5.487)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0.0067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2.686 (1.307-5.519)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0.0072</w:t>
            </w:r>
          </w:p>
        </w:tc>
      </w:tr>
      <w:tr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new myocardial injury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any ST-dep (v2)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1390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1.419 (0.928-2.169)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0.1067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1.417 (0.917-2.190)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0.1169</w:t>
            </w:r>
          </w:p>
        </w:tc>
      </w:tr>
      <w:tr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new myocardial injury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QRS-T &gt;= 90 deg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2594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1.459 (1.032-2.063)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0.0325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1.458 (1.028-2.069)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0.0346</w:t>
            </w:r>
          </w:p>
        </w:tc>
      </w:tr>
      <w:tr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new myocardial injury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new QRS-T &gt;= 90 deg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262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1.632 (0.720-3.698)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0.2407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1.630 (0.723-3.673)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0.2384</w:t>
            </w:r>
          </w:p>
        </w:tc>
      </w:tr>
      <w:tr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new myocardial injury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QTcF &gt;= 500 ms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210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0.281 (0.039-2.010)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0.2059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0.280 (0.040-1.990)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0.2035</w:t>
            </w:r>
          </w:p>
        </w:tc>
      </w:tr>
      <w:tr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new myocardial injury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new QTcF &gt;= 500 ms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63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0.000 (0.000-inf)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0.9900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0.000 (0.000-0.000)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&lt;0.0001</w:t>
            </w:r>
          </w:p>
        </w:tc>
      </w:tr>
      <w:tr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new myocardial injury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HR &gt;= 100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3490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1.002 (0.701-1.433)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0.9897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1.001 (0.691-1.450)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0.9943</w:t>
            </w:r>
          </w:p>
        </w:tc>
      </w:tr>
      <w:tr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composite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new-onset ST-dep (v2)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210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2.609 (1.521-4.473)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0.0005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2.606 (1.510-4.499)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0.0006</w:t>
            </w:r>
          </w:p>
        </w:tc>
      </w:tr>
      <w:tr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composite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any ST-dep (v2)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1390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1.550 (1.138-2.113)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0.0055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1.548 (1.127-2.126)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0.0069</w:t>
            </w:r>
          </w:p>
        </w:tc>
      </w:tr>
      <w:tr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composite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QRS-T &gt;= 90 deg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2594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1.573 (1.216-2.035)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0.0006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1.572 (1.214-2.036)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0.0006</w:t>
            </w:r>
          </w:p>
        </w:tc>
      </w:tr>
      <w:tr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composite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new QRS-T &gt;= 90 deg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262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2.354 (1.396-3.968)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0.0013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2.352 (1.397-3.960)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0.0013</w:t>
            </w:r>
          </w:p>
        </w:tc>
      </w:tr>
      <w:tr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composite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QTcF &gt;= 500 ms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210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0.638 (0.237-1.715)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0.3727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0.637 (0.234-1.730)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0.3762</w:t>
            </w:r>
          </w:p>
        </w:tc>
      </w:tr>
      <w:tr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composite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new QTcF &gt;= 500 ms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63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0.555 (0.078-3.962)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0.5574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0.555 (0.077-4.001)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0.5588</w:t>
            </w:r>
          </w:p>
        </w:tc>
      </w:tr>
      <w:tr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composite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HR &gt;= 100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3490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1.181 (0.910-1.532)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0.2110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1.179 (0.904-1.538)</w:t>
            </w:r>
          </w:p>
        </w:tc>
        <w:tc>
          <w:tcPr>
            <w:tcW w:type="dxa" w:w="1263"/>
          </w:tcPr>
          <w:p>
            <w:r>
              <w:rPr>
                <w:sz w:val="18"/>
              </w:rPr>
            </w:r>
            <w:r>
              <w:rPr>
                <w:sz w:val="18"/>
              </w:rPr>
              <w:t>0.2242</w:t>
            </w:r>
          </w:p>
        </w:tc>
      </w:tr>
    </w:tbl>
    <w:p/>
    <w:p>
      <w:r>
        <w:t>Outcome event counts: atrial tachyarrhythmia 125, ventricular tachycardia 10, myocardial injury 150, composite 266.</w:t>
      </w:r>
    </w:p>
    <w:p>
      <w:pPr>
        <w:pStyle w:val="Heading2"/>
      </w:pPr>
      <w:r>
        <w:t>Table 4. Within-patient ECG pharmacodynamics (difference-in-differences vs matched untreated ECG pairs, adjusted for pre-value)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68"/>
        <w:gridCol w:w="1768"/>
        <w:gridCol w:w="1768"/>
        <w:gridCol w:w="1768"/>
        <w:gridCol w:w="1768"/>
      </w:tblGrid>
      <w:tr>
        <w:tc>
          <w:tcPr>
            <w:tcW w:type="dxa" w:w="1768"/>
          </w:tcPr>
          <w:p>
            <w:r/>
            <w:r>
              <w:rPr>
                <w:b/>
                <w:sz w:val="18"/>
              </w:rPr>
              <w:t>Intervention</w:t>
            </w:r>
          </w:p>
        </w:tc>
        <w:tc>
          <w:tcPr>
            <w:tcW w:type="dxa" w:w="1768"/>
          </w:tcPr>
          <w:p>
            <w:r/>
            <w:r>
              <w:rPr>
                <w:b/>
                <w:sz w:val="18"/>
              </w:rPr>
              <w:t>Paired stays</w:t>
            </w:r>
          </w:p>
        </w:tc>
        <w:tc>
          <w:tcPr>
            <w:tcW w:type="dxa" w:w="1768"/>
          </w:tcPr>
          <w:p>
            <w:r/>
            <w:r>
              <w:rPr>
                <w:b/>
                <w:sz w:val="18"/>
              </w:rPr>
              <w:t>Parameter</w:t>
            </w:r>
          </w:p>
        </w:tc>
        <w:tc>
          <w:tcPr>
            <w:tcW w:type="dxa" w:w="1768"/>
          </w:tcPr>
          <w:p>
            <w:r/>
            <w:r>
              <w:rPr>
                <w:b/>
                <w:sz w:val="18"/>
              </w:rPr>
              <w:t>DiD (95% CI)</w:t>
            </w:r>
          </w:p>
        </w:tc>
        <w:tc>
          <w:tcPr>
            <w:tcW w:type="dxa" w:w="1768"/>
          </w:tcPr>
          <w:p>
            <w:r/>
            <w:r>
              <w:rPr>
                <w:b/>
                <w:sz w:val="18"/>
              </w:rPr>
              <w:t>P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amiodarone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41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QTcF, ms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16.380 (7.044-25.716) *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0.0006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amiodarone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41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QRS-T angle, deg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-1.801 (-12.432-8.831)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0.7399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amiodarone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41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HR, bpm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-15.599 (-21.863--9.335) *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&lt;0.0001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amiodarone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41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ST amp (deepest), mV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-0.007 (-0.027-0.012)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0.4620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amiodarone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41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T amp V5, mV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0.005 (-0.082-0.093)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0.9051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amiodarone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41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QRS amp V5, mV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-0.102 (-0.219-0.015)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0.0869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amiodarone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41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QRS dur, ms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1.882 (-2.281-6.046)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0.3756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magnesium_sulfate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913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QTcF, ms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2.524 (-0.100-5.148)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0.0594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magnesium_sulfate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913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QRS-T angle, deg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1.537 (-1.974-5.047)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0.3909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magnesium_sulfate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913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HR, bpm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0.586 (-1.116-2.287)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0.5000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magnesium_sulfate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913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ST amp (deepest), mV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-0.002 (-0.010-0.006)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0.6421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magnesium_sulfate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913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T amp V5, mV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-0.006 (-0.029-0.017)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0.6138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magnesium_sulfate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913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QRS amp V5, mV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-0.020 (-0.057-0.017)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0.2817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magnesium_sulfate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913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PR, ms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-0.142 (-2.097-1.813)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0.8866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magnesium_sulfate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913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QRS dur, ms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-0.412 (-1.454-0.629)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0.4378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norepinephrine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245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QTcF, ms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5.649 (0.925-10.373) *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0.0191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norepinephrine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245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QRS-T angle, deg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2.055 (-3.797-7.907)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0.4913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norepinephrine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245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HR, bpm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-1.946 (-4.857-0.964)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0.1899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norepinephrine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245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ST amp (deepest), mV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-0.006 (-0.020-0.007)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0.3541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norepinephrine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245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T amp V5, mV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-0.031 (-0.070-0.007)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0.1121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norepinephrine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245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QRS amp V5, mV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-0.029 (-0.090-0.031)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0.3469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norepinephrine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245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PR, ms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-1.142 (-4.869-2.585)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0.5480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norepinephrine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245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QRS dur, ms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1.021 (-0.861-2.903)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0.2877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insulin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691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QTcF, ms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-2.339 (-5.061-0.383)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0.0922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insulin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691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QRS-T angle, deg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-1.803 (-5.477-1.871)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0.3362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insulin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691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HR, bpm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-0.521 (-2.287-1.245)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0.5633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insulin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691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ST amp (deepest), mV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-0.006 (-0.016-0.003)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0.1986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insulin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691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T amp V5, mV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0.000 (-0.026-0.026)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0.9783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insulin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691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QRS amp V5, mV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-0.022 (-0.060-0.017)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0.2713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insulin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691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PR, ms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-0.408 (-2.607-1.792)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0.7165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insulin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691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QRS dur, ms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-0.557 (-1.633-0.519)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0.3105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furosemide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501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QTcF, ms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0.686 (-2.671-4.042)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0.6889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furosemide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501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QRS-T angle, deg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4.017 (-0.406-8.441)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0.0751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furosemide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501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HR, bpm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1.799 (-0.228-3.826)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0.0820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furosemide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501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ST amp (deepest), mV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-0.013 (-0.022--0.003) *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0.0089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furosemide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501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T amp V5, mV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-0.011 (-0.041-0.019)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0.4715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furosemide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501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QRS amp V5, mV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0.022 (-0.023-0.067)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0.3308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furosemide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501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PR, ms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1.605 (-1.182-4.392)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0.2591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furosemide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501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QRS dur, ms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1.238 (-0.024-2.501)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0.0546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rrt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180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QTcF, ms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6.391 (0.299-12.484) *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0.0398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rrt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180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QRS-T angle, deg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7.543 (0.154-14.932) *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0.0454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rrt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180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HR, bpm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-3.627 (-6.961--0.293) *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0.0330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rrt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180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ST amp (deepest), mV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0.001 (-0.010-0.011)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0.8933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rrt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180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T amp V5, mV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-0.059 (-0.095--0.023) *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0.0015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rrt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180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QRS amp V5, mV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-0.028 (-0.098-0.042)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0.4354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rrt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180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PR, ms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0.336 (-4.086-4.759)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0.8815</w:t>
            </w:r>
          </w:p>
        </w:tc>
      </w:tr>
      <w:tr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rrt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180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QRS dur, ms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3.636 (1.029-6.243) *</w:t>
            </w:r>
          </w:p>
        </w:tc>
        <w:tc>
          <w:tcPr>
            <w:tcW w:type="dxa" w:w="1768"/>
          </w:tcPr>
          <w:p>
            <w:r>
              <w:rPr>
                <w:sz w:val="18"/>
              </w:rPr>
            </w:r>
            <w:r>
              <w:rPr>
                <w:sz w:val="18"/>
              </w:rPr>
              <w:t>0.0063</w:t>
            </w:r>
          </w:p>
        </w:tc>
      </w:tr>
    </w:tbl>
    <w:p/>
    <w:sectPr w:rsidR="00FC693F" w:rsidRPr="0006063C" w:rsidSect="00034616">
      <w:pgSz w:w="12240" w:h="15840"/>
      <w:pgMar w:top="1440" w:right="1701" w:bottom="144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