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D3BE4" w14:textId="77777777" w:rsidR="00CD4174" w:rsidRPr="009221CE" w:rsidRDefault="00CD4174" w:rsidP="00CD4174">
      <w:pPr>
        <w:spacing w:line="360" w:lineRule="auto"/>
        <w:jc w:val="left"/>
        <w:rPr>
          <w:rFonts w:ascii="Times New Roman" w:hAnsi="Times New Roman" w:cs="Times New Roman"/>
          <w:b/>
          <w:bCs/>
          <w:szCs w:val="20"/>
        </w:rPr>
      </w:pPr>
      <w:r w:rsidRPr="009221CE">
        <w:rPr>
          <w:rFonts w:ascii="Times New Roman" w:hAnsi="Times New Roman" w:cs="Times New Roman" w:hint="eastAsia"/>
          <w:b/>
          <w:bCs/>
          <w:szCs w:val="20"/>
        </w:rPr>
        <w:t xml:space="preserve">Supplementary </w:t>
      </w:r>
      <w:r>
        <w:rPr>
          <w:rFonts w:ascii="Times New Roman" w:hAnsi="Times New Roman" w:cs="Times New Roman"/>
          <w:b/>
          <w:bCs/>
          <w:szCs w:val="20"/>
        </w:rPr>
        <w:t>T</w:t>
      </w:r>
      <w:r w:rsidRPr="004F3DDE">
        <w:rPr>
          <w:rFonts w:ascii="Times New Roman" w:hAnsi="Times New Roman" w:cs="Times New Roman"/>
          <w:b/>
          <w:bCs/>
          <w:szCs w:val="20"/>
        </w:rPr>
        <w:t xml:space="preserve">able </w:t>
      </w:r>
      <w:r>
        <w:rPr>
          <w:rFonts w:ascii="Times New Roman" w:hAnsi="Times New Roman" w:cs="Times New Roman"/>
          <w:b/>
          <w:bCs/>
          <w:szCs w:val="20"/>
        </w:rPr>
        <w:t>1</w:t>
      </w:r>
      <w:r w:rsidRPr="004F3DDE">
        <w:rPr>
          <w:rFonts w:ascii="Times New Roman" w:hAnsi="Times New Roman" w:cs="Times New Roman"/>
          <w:b/>
          <w:bCs/>
        </w:rPr>
        <w:t xml:space="preserve"> Comparison of </w:t>
      </w:r>
      <w:r>
        <w:rPr>
          <w:rFonts w:ascii="Times New Roman" w:hAnsi="Times New Roman" w:cs="Times New Roman"/>
          <w:b/>
          <w:bCs/>
        </w:rPr>
        <w:t>clinical characteristics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and PAH measures according to LGS etiology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81"/>
        <w:gridCol w:w="2781"/>
        <w:gridCol w:w="1229"/>
      </w:tblGrid>
      <w:tr w:rsidR="00CD4174" w:rsidRPr="009221CE" w14:paraId="2DFF490F" w14:textId="77777777" w:rsidTr="00DD7E85">
        <w:trPr>
          <w:trHeight w:val="283"/>
        </w:trPr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5F632E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Variable</w:t>
            </w:r>
          </w:p>
        </w:tc>
        <w:tc>
          <w:tcPr>
            <w:tcW w:w="21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6CD53F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HIE-related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6)</w:t>
            </w:r>
          </w:p>
        </w:tc>
        <w:tc>
          <w:tcPr>
            <w:tcW w:w="27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3D9D56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O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ther 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LGS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etiologies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34)</w:t>
            </w:r>
          </w:p>
        </w:tc>
        <w:tc>
          <w:tcPr>
            <w:tcW w:w="12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C9E914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p</w:t>
            </w:r>
          </w:p>
        </w:tc>
      </w:tr>
      <w:tr w:rsidR="00CD4174" w:rsidRPr="009221CE" w14:paraId="6A087E50" w14:textId="77777777" w:rsidTr="00DD7E85">
        <w:trPr>
          <w:trHeight w:val="283"/>
        </w:trPr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35A27F0B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Age at CPP diagnosis, years</w:t>
            </w:r>
          </w:p>
        </w:tc>
        <w:tc>
          <w:tcPr>
            <w:tcW w:w="2181" w:type="dxa"/>
            <w:tcBorders>
              <w:top w:val="single" w:sz="8" w:space="0" w:color="auto"/>
            </w:tcBorders>
            <w:vAlign w:val="center"/>
          </w:tcPr>
          <w:p w14:paraId="35F0A47C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8.33 ± 2.16</w:t>
            </w:r>
          </w:p>
        </w:tc>
        <w:tc>
          <w:tcPr>
            <w:tcW w:w="2781" w:type="dxa"/>
            <w:tcBorders>
              <w:top w:val="single" w:sz="8" w:space="0" w:color="auto"/>
            </w:tcBorders>
            <w:vAlign w:val="center"/>
          </w:tcPr>
          <w:p w14:paraId="6BE2FA91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8.18 ± 1.85</w:t>
            </w:r>
          </w:p>
        </w:tc>
        <w:tc>
          <w:tcPr>
            <w:tcW w:w="1229" w:type="dxa"/>
            <w:tcBorders>
              <w:top w:val="single" w:sz="8" w:space="0" w:color="auto"/>
            </w:tcBorders>
            <w:vAlign w:val="center"/>
          </w:tcPr>
          <w:p w14:paraId="7DB37E7D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0.876</w:t>
            </w:r>
          </w:p>
        </w:tc>
      </w:tr>
      <w:tr w:rsidR="00CD4174" w:rsidRPr="009221CE" w14:paraId="512E96D6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62E2BB78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Tanner stage at diagnosis</w:t>
            </w:r>
          </w:p>
        </w:tc>
        <w:tc>
          <w:tcPr>
            <w:tcW w:w="2181" w:type="dxa"/>
            <w:vAlign w:val="center"/>
          </w:tcPr>
          <w:p w14:paraId="2F3EE6D4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2.33 ± 0.41</w:t>
            </w:r>
          </w:p>
        </w:tc>
        <w:tc>
          <w:tcPr>
            <w:tcW w:w="2781" w:type="dxa"/>
            <w:vAlign w:val="center"/>
          </w:tcPr>
          <w:p w14:paraId="1B2A0CA3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2.15 ± 0.29</w:t>
            </w:r>
          </w:p>
        </w:tc>
        <w:tc>
          <w:tcPr>
            <w:tcW w:w="1229" w:type="dxa"/>
            <w:vAlign w:val="center"/>
          </w:tcPr>
          <w:p w14:paraId="373396D7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0.183</w:t>
            </w:r>
          </w:p>
        </w:tc>
      </w:tr>
      <w:tr w:rsidR="00CD4174" w:rsidRPr="009221CE" w14:paraId="0468FB84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035D7CB1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B</w:t>
            </w:r>
            <w:r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A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, years</w:t>
            </w:r>
          </w:p>
        </w:tc>
        <w:tc>
          <w:tcPr>
            <w:tcW w:w="2181" w:type="dxa"/>
            <w:vAlign w:val="center"/>
          </w:tcPr>
          <w:p w14:paraId="348549D3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9.12 ± 1.35</w:t>
            </w:r>
          </w:p>
        </w:tc>
        <w:tc>
          <w:tcPr>
            <w:tcW w:w="2781" w:type="dxa"/>
            <w:vAlign w:val="center"/>
          </w:tcPr>
          <w:p w14:paraId="786DEDFA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9.61 ± 1.48</w:t>
            </w:r>
          </w:p>
        </w:tc>
        <w:tc>
          <w:tcPr>
            <w:tcW w:w="1229" w:type="dxa"/>
            <w:vAlign w:val="center"/>
          </w:tcPr>
          <w:p w14:paraId="2C4F9738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0.340</w:t>
            </w:r>
          </w:p>
        </w:tc>
      </w:tr>
      <w:tr w:rsidR="00CD4174" w:rsidRPr="009221CE" w14:paraId="2FE94A91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4A85A4F5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BA/CA ratio</w:t>
            </w:r>
          </w:p>
        </w:tc>
        <w:tc>
          <w:tcPr>
            <w:tcW w:w="2181" w:type="dxa"/>
            <w:vAlign w:val="center"/>
          </w:tcPr>
          <w:p w14:paraId="04163914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1.44 ± 0.37</w:t>
            </w:r>
          </w:p>
        </w:tc>
        <w:tc>
          <w:tcPr>
            <w:tcW w:w="2781" w:type="dxa"/>
            <w:vAlign w:val="center"/>
          </w:tcPr>
          <w:p w14:paraId="63986139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1.24 ± 0.16</w:t>
            </w:r>
          </w:p>
        </w:tc>
        <w:tc>
          <w:tcPr>
            <w:tcW w:w="1229" w:type="dxa"/>
            <w:vAlign w:val="center"/>
          </w:tcPr>
          <w:p w14:paraId="67D6A0F2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0.049</w:t>
            </w:r>
          </w:p>
        </w:tc>
      </w:tr>
      <w:tr w:rsidR="00CD4174" w:rsidRPr="009221CE" w14:paraId="58208DAE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23DE70AC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BA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CA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difference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, years</w:t>
            </w:r>
          </w:p>
        </w:tc>
        <w:tc>
          <w:tcPr>
            <w:tcW w:w="2181" w:type="dxa"/>
            <w:vAlign w:val="center"/>
          </w:tcPr>
          <w:p w14:paraId="279541B7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2.42 ± 0.90</w:t>
            </w:r>
          </w:p>
        </w:tc>
        <w:tc>
          <w:tcPr>
            <w:tcW w:w="2781" w:type="dxa"/>
            <w:vAlign w:val="center"/>
          </w:tcPr>
          <w:p w14:paraId="2406CB0B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1.73 ± 0.78</w:t>
            </w:r>
          </w:p>
        </w:tc>
        <w:tc>
          <w:tcPr>
            <w:tcW w:w="1229" w:type="dxa"/>
            <w:vAlign w:val="center"/>
          </w:tcPr>
          <w:p w14:paraId="33A83C5D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0.078</w:t>
            </w:r>
          </w:p>
        </w:tc>
      </w:tr>
      <w:tr w:rsidR="00CD4174" w:rsidRPr="009221CE" w14:paraId="2816B017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73E83A81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Peak LH, IU/L</w:t>
            </w:r>
          </w:p>
        </w:tc>
        <w:tc>
          <w:tcPr>
            <w:tcW w:w="2181" w:type="dxa"/>
            <w:vAlign w:val="center"/>
          </w:tcPr>
          <w:p w14:paraId="2F194F17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30.82 ± 14.03</w:t>
            </w:r>
          </w:p>
        </w:tc>
        <w:tc>
          <w:tcPr>
            <w:tcW w:w="2781" w:type="dxa"/>
            <w:vAlign w:val="center"/>
          </w:tcPr>
          <w:p w14:paraId="78FBF24E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19.26 ± 14.70</w:t>
            </w:r>
          </w:p>
        </w:tc>
        <w:tc>
          <w:tcPr>
            <w:tcW w:w="1229" w:type="dxa"/>
            <w:vAlign w:val="center"/>
          </w:tcPr>
          <w:p w14:paraId="748B8914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0.054</w:t>
            </w:r>
          </w:p>
        </w:tc>
      </w:tr>
      <w:tr w:rsidR="00CD4174" w:rsidRPr="009221CE" w14:paraId="4E41B8EA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096E2485" w14:textId="77777777" w:rsidR="00CD4174" w:rsidRPr="002B4A51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Peak FSH, IU/L</w:t>
            </w:r>
          </w:p>
        </w:tc>
        <w:tc>
          <w:tcPr>
            <w:tcW w:w="2181" w:type="dxa"/>
            <w:vAlign w:val="center"/>
          </w:tcPr>
          <w:p w14:paraId="617BC4B3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61.83 ± 95.50</w:t>
            </w:r>
          </w:p>
        </w:tc>
        <w:tc>
          <w:tcPr>
            <w:tcW w:w="2781" w:type="dxa"/>
            <w:vAlign w:val="center"/>
          </w:tcPr>
          <w:p w14:paraId="643604AE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18.69 ± 8.44</w:t>
            </w:r>
          </w:p>
        </w:tc>
        <w:tc>
          <w:tcPr>
            <w:tcW w:w="1229" w:type="dxa"/>
            <w:vAlign w:val="center"/>
          </w:tcPr>
          <w:p w14:paraId="075E7882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0.218</w:t>
            </w:r>
          </w:p>
        </w:tc>
      </w:tr>
      <w:tr w:rsidR="00CD4174" w:rsidRPr="009221CE" w14:paraId="570502DC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4A5FD0DC" w14:textId="77777777" w:rsidR="00CD4174" w:rsidRPr="002B4A51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Height SDS at diagnosis</w:t>
            </w:r>
          </w:p>
        </w:tc>
        <w:tc>
          <w:tcPr>
            <w:tcW w:w="2181" w:type="dxa"/>
            <w:vAlign w:val="center"/>
          </w:tcPr>
          <w:p w14:paraId="58DC5852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 ± 1.94</w:t>
            </w:r>
          </w:p>
        </w:tc>
        <w:tc>
          <w:tcPr>
            <w:tcW w:w="2781" w:type="dxa"/>
            <w:vAlign w:val="center"/>
          </w:tcPr>
          <w:p w14:paraId="183517CF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0.60 ± 1.35</w:t>
            </w:r>
          </w:p>
        </w:tc>
        <w:tc>
          <w:tcPr>
            <w:tcW w:w="1229" w:type="dxa"/>
            <w:vAlign w:val="center"/>
          </w:tcPr>
          <w:p w14:paraId="47DF27C1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0.425</w:t>
            </w:r>
          </w:p>
        </w:tc>
      </w:tr>
      <w:tr w:rsidR="00CD4174" w:rsidRPr="009221CE" w14:paraId="5F32AD89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764B9367" w14:textId="77777777" w:rsidR="00CD4174" w:rsidRPr="002B4A51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Weight SDS at diagnosis</w:t>
            </w:r>
          </w:p>
        </w:tc>
        <w:tc>
          <w:tcPr>
            <w:tcW w:w="2181" w:type="dxa"/>
            <w:vAlign w:val="center"/>
          </w:tcPr>
          <w:p w14:paraId="4C62BC52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1.30 ± 1.62</w:t>
            </w:r>
          </w:p>
        </w:tc>
        <w:tc>
          <w:tcPr>
            <w:tcW w:w="2781" w:type="dxa"/>
            <w:vAlign w:val="center"/>
          </w:tcPr>
          <w:p w14:paraId="02DF70D5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0.50 ± 1.58</w:t>
            </w:r>
          </w:p>
        </w:tc>
        <w:tc>
          <w:tcPr>
            <w:tcW w:w="1229" w:type="dxa"/>
            <w:vAlign w:val="center"/>
          </w:tcPr>
          <w:p w14:paraId="50F84317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0.343</w:t>
            </w:r>
          </w:p>
        </w:tc>
      </w:tr>
      <w:tr w:rsidR="00CD4174" w:rsidRPr="009221CE" w14:paraId="471419AA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36384BFE" w14:textId="77777777" w:rsidR="00CD4174" w:rsidRPr="002B4A51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BMI SDS at diagnosis</w:t>
            </w:r>
          </w:p>
        </w:tc>
        <w:tc>
          <w:tcPr>
            <w:tcW w:w="2181" w:type="dxa"/>
            <w:vAlign w:val="center"/>
          </w:tcPr>
          <w:p w14:paraId="28C82658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 ± 2.05</w:t>
            </w:r>
          </w:p>
        </w:tc>
        <w:tc>
          <w:tcPr>
            <w:tcW w:w="2781" w:type="dxa"/>
            <w:vAlign w:val="center"/>
          </w:tcPr>
          <w:p w14:paraId="2173B3FF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–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0.21 ± 1.74</w:t>
            </w:r>
          </w:p>
        </w:tc>
        <w:tc>
          <w:tcPr>
            <w:tcW w:w="1229" w:type="dxa"/>
            <w:vAlign w:val="center"/>
          </w:tcPr>
          <w:p w14:paraId="6ECCEFB0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0.517</w:t>
            </w:r>
          </w:p>
        </w:tc>
      </w:tr>
      <w:tr w:rsidR="00CD4174" w:rsidRPr="009221CE" w14:paraId="45E89862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692969CB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Number of A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SM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s at diagnosis</w:t>
            </w:r>
          </w:p>
        </w:tc>
        <w:tc>
          <w:tcPr>
            <w:tcW w:w="2181" w:type="dxa"/>
            <w:vAlign w:val="center"/>
          </w:tcPr>
          <w:p w14:paraId="74CC852F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3.17 ± 0.98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6)</w:t>
            </w:r>
          </w:p>
        </w:tc>
        <w:tc>
          <w:tcPr>
            <w:tcW w:w="2781" w:type="dxa"/>
            <w:vAlign w:val="center"/>
          </w:tcPr>
          <w:p w14:paraId="651E4040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3.61 ± 1.89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33)</w:t>
            </w:r>
          </w:p>
        </w:tc>
        <w:tc>
          <w:tcPr>
            <w:tcW w:w="1229" w:type="dxa"/>
            <w:vAlign w:val="center"/>
          </w:tcPr>
          <w:p w14:paraId="5493D1E8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0.621</w:t>
            </w:r>
          </w:p>
        </w:tc>
      </w:tr>
      <w:tr w:rsidR="00CD4174" w:rsidRPr="009221CE" w14:paraId="5895C725" w14:textId="77777777" w:rsidTr="00DD7E85">
        <w:trPr>
          <w:trHeight w:val="283"/>
        </w:trPr>
        <w:tc>
          <w:tcPr>
            <w:tcW w:w="2835" w:type="dxa"/>
            <w:vAlign w:val="center"/>
          </w:tcPr>
          <w:p w14:paraId="072ABF0C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PAH at diagnosis, cm</w:t>
            </w:r>
          </w:p>
        </w:tc>
        <w:tc>
          <w:tcPr>
            <w:tcW w:w="2181" w:type="dxa"/>
            <w:vAlign w:val="center"/>
          </w:tcPr>
          <w:p w14:paraId="0DEFE1DD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144.48 ± 7.63</w:t>
            </w:r>
          </w:p>
        </w:tc>
        <w:tc>
          <w:tcPr>
            <w:tcW w:w="2781" w:type="dxa"/>
            <w:vAlign w:val="center"/>
          </w:tcPr>
          <w:p w14:paraId="46B89F18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152.80 ± 12.04</w:t>
            </w:r>
          </w:p>
        </w:tc>
        <w:tc>
          <w:tcPr>
            <w:tcW w:w="1229" w:type="dxa"/>
            <w:vAlign w:val="center"/>
          </w:tcPr>
          <w:p w14:paraId="33BC4452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0.065</w:t>
            </w:r>
          </w:p>
        </w:tc>
      </w:tr>
      <w:tr w:rsidR="00CD4174" w:rsidRPr="009221CE" w14:paraId="22FB51A4" w14:textId="77777777" w:rsidTr="00DD7E85">
        <w:trPr>
          <w:trHeight w:val="283"/>
        </w:trPr>
        <w:tc>
          <w:tcPr>
            <w:tcW w:w="2835" w:type="dxa"/>
            <w:tcBorders>
              <w:bottom w:val="single" w:sz="8" w:space="0" w:color="auto"/>
            </w:tcBorders>
            <w:vAlign w:val="center"/>
          </w:tcPr>
          <w:p w14:paraId="0505A99E" w14:textId="77777777" w:rsidR="00CD4174" w:rsidRPr="009221CE" w:rsidRDefault="00CD4174" w:rsidP="00DD7E85">
            <w:pPr>
              <w:spacing w:line="360" w:lineRule="auto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ΔPAH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, cm</w:t>
            </w:r>
          </w:p>
        </w:tc>
        <w:tc>
          <w:tcPr>
            <w:tcW w:w="2181" w:type="dxa"/>
            <w:tcBorders>
              <w:bottom w:val="single" w:sz="8" w:space="0" w:color="auto"/>
            </w:tcBorders>
            <w:vAlign w:val="center"/>
          </w:tcPr>
          <w:p w14:paraId="4548B757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14.45 ± 12.29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4)</w:t>
            </w:r>
          </w:p>
        </w:tc>
        <w:tc>
          <w:tcPr>
            <w:tcW w:w="2781" w:type="dxa"/>
            <w:tcBorders>
              <w:bottom w:val="single" w:sz="8" w:space="0" w:color="auto"/>
            </w:tcBorders>
            <w:vAlign w:val="center"/>
          </w:tcPr>
          <w:p w14:paraId="11AE4D24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0.61 ± 8.20 (n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=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9221CE">
              <w:rPr>
                <w:rFonts w:ascii="Times New Roman" w:eastAsia="맑은 고딕" w:hAnsi="Times New Roman" w:cs="Times New Roman"/>
                <w:color w:val="000000"/>
                <w:szCs w:val="20"/>
              </w:rPr>
              <w:t>22)</w:t>
            </w:r>
          </w:p>
        </w:tc>
        <w:tc>
          <w:tcPr>
            <w:tcW w:w="1229" w:type="dxa"/>
            <w:tcBorders>
              <w:bottom w:val="single" w:sz="8" w:space="0" w:color="auto"/>
            </w:tcBorders>
            <w:vAlign w:val="center"/>
          </w:tcPr>
          <w:p w14:paraId="66D20AF5" w14:textId="77777777" w:rsidR="00CD4174" w:rsidRPr="009221CE" w:rsidRDefault="00CD4174" w:rsidP="00DD7E85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  <w:r w:rsidRPr="009221C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0.048</w:t>
            </w:r>
          </w:p>
        </w:tc>
      </w:tr>
    </w:tbl>
    <w:p w14:paraId="1E77C4FD" w14:textId="77777777" w:rsidR="00CD4174" w:rsidRDefault="00CD4174" w:rsidP="00CD4174">
      <w:pPr>
        <w:spacing w:after="0" w:line="360" w:lineRule="auto"/>
        <w:rPr>
          <w:rFonts w:ascii="Times New Roman" w:hAnsi="Times New Roman" w:cs="Times New Roman"/>
          <w:szCs w:val="20"/>
        </w:rPr>
      </w:pPr>
      <w:r w:rsidRPr="00345D72">
        <w:rPr>
          <w:rFonts w:ascii="Times New Roman" w:hAnsi="Times New Roman" w:cs="Times New Roman"/>
          <w:szCs w:val="20"/>
        </w:rPr>
        <w:t>Values are means ± standard deviations. Bold p-values indicate significant differences at p &lt; 0.05 using the Mann–Whitney U test.</w:t>
      </w:r>
      <w:r>
        <w:rPr>
          <w:rFonts w:ascii="Times New Roman" w:hAnsi="Times New Roman" w:cs="Times New Roman"/>
          <w:szCs w:val="20"/>
        </w:rPr>
        <w:t xml:space="preserve"> </w:t>
      </w:r>
      <w:r w:rsidRPr="00D22444">
        <w:rPr>
          <w:rFonts w:ascii="Times New Roman" w:hAnsi="Times New Roman" w:cs="Times New Roman"/>
          <w:szCs w:val="20"/>
        </w:rPr>
        <w:t>*PAH at final follow-up minus PAH at diagnosis among patients with PAH available at both time points.</w:t>
      </w:r>
      <w:r>
        <w:rPr>
          <w:rFonts w:ascii="Times New Roman" w:hAnsi="Times New Roman" w:cs="Times New Roman"/>
          <w:szCs w:val="20"/>
        </w:rPr>
        <w:t xml:space="preserve"> </w:t>
      </w:r>
      <w:r w:rsidRPr="009E0C29">
        <w:rPr>
          <w:rFonts w:ascii="Times New Roman" w:hAnsi="Times New Roman" w:cs="Times New Roman"/>
          <w:szCs w:val="20"/>
        </w:rPr>
        <w:t>ASM, antiseizure medication; BA, bone age; BMI, body mass index; CA, chronological age; CPP, central precocious puberty; FSH, follicle-stimulating hormone; HIE, hypoxic-ischemic encephalopathy; LGS, Lennox–</w:t>
      </w:r>
      <w:proofErr w:type="spellStart"/>
      <w:r w:rsidRPr="009E0C29">
        <w:rPr>
          <w:rFonts w:ascii="Times New Roman" w:hAnsi="Times New Roman" w:cs="Times New Roman"/>
          <w:szCs w:val="20"/>
        </w:rPr>
        <w:t>Gastaut</w:t>
      </w:r>
      <w:proofErr w:type="spellEnd"/>
      <w:r w:rsidRPr="009E0C29">
        <w:rPr>
          <w:rFonts w:ascii="Times New Roman" w:hAnsi="Times New Roman" w:cs="Times New Roman"/>
          <w:szCs w:val="20"/>
        </w:rPr>
        <w:t xml:space="preserve"> syndrome; LH, luteinizing hormone; PAH, predicted adult height; SDS, standard deviation score</w:t>
      </w:r>
      <w:r>
        <w:rPr>
          <w:rFonts w:ascii="Times New Roman" w:hAnsi="Times New Roman" w:cs="Times New Roman"/>
          <w:szCs w:val="20"/>
        </w:rPr>
        <w:t xml:space="preserve">. </w:t>
      </w:r>
    </w:p>
    <w:p w14:paraId="60B20C5C" w14:textId="77777777" w:rsidR="00200378" w:rsidRPr="00CD4174" w:rsidRDefault="00200378"/>
    <w:sectPr w:rsidR="00200378" w:rsidRPr="00CD41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74"/>
    <w:rsid w:val="00200378"/>
    <w:rsid w:val="006A5B9C"/>
    <w:rsid w:val="00960A3F"/>
    <w:rsid w:val="00C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2ABAB"/>
  <w15:chartTrackingRefBased/>
  <w15:docId w15:val="{6F6C5018-D066-47D6-BD7F-2027A7F1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17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김수진(소아청소년과)</dc:creator>
  <cp:keywords/>
  <dc:description/>
  <cp:lastModifiedBy>김수진(소아청소년과)</cp:lastModifiedBy>
  <cp:revision>1</cp:revision>
  <dcterms:created xsi:type="dcterms:W3CDTF">2026-09-18T00:52:00Z</dcterms:created>
  <dcterms:modified xsi:type="dcterms:W3CDTF">2026-09-18T00:52:00Z</dcterms:modified>
</cp:coreProperties>
</file>