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keepNext w:val="1"/>
        <w:keepLines w:val="1"/>
        <w:spacing w:before="400" w:after="120"/>
        <w:rPr>
          <w:sz w:val="40"/>
          <w:szCs w:val="40"/>
        </w:rPr>
      </w:pPr>
      <w:bookmarkStart w:name="_gjdgxs" w:id="0"/>
      <w:bookmarkEnd w:id="0"/>
      <w:r>
        <w:rPr>
          <w:sz w:val="40"/>
          <w:szCs w:val="40"/>
          <w:rtl w:val="0"/>
        </w:rPr>
        <w:t>S</w:t>
      </w:r>
      <w:r>
        <w:rPr>
          <w:sz w:val="40"/>
          <w:szCs w:val="40"/>
          <w:rtl w:val="0"/>
          <w:lang w:val="en-US"/>
        </w:rPr>
        <w:t>upplementary Material for TransFarm: A Farm-scale Tool Evaluating Trade-offs in Agroecological Transitions</w:t>
      </w:r>
    </w:p>
    <w:p>
      <w:pPr>
        <w:pStyle w:val="Body"/>
        <w:rPr>
          <w:sz w:val="40"/>
          <w:szCs w:val="40"/>
        </w:rPr>
      </w:pPr>
    </w:p>
    <w:p>
      <w:pPr>
        <w:pStyle w:val="Heading 3"/>
        <w:widowControl w:val="0"/>
      </w:pPr>
      <w:bookmarkStart w:name="_whwml4" w:id="1"/>
      <w:bookmarkEnd w:id="1"/>
      <w:r>
        <w:rPr>
          <w:rtl w:val="0"/>
        </w:rPr>
        <w:t>A</w:t>
      </w:r>
      <w:r>
        <w:rPr>
          <w:rtl w:val="0"/>
          <w:lang w:val="en-US"/>
        </w:rPr>
        <w:t>nnexure 1: Primary Data collection and calculations</w:t>
      </w:r>
    </w:p>
    <w:p>
      <w:pPr>
        <w:pStyle w:val="heading 4"/>
        <w:spacing w:line="240" w:lineRule="auto"/>
      </w:pPr>
      <w:bookmarkStart w:name="_qsh70q" w:id="2"/>
      <w:bookmarkEnd w:id="2"/>
      <w:r>
        <w:rPr>
          <w:rtl w:val="0"/>
          <w:lang w:val="en-US"/>
        </w:rPr>
        <w:t>2</w:t>
      </w:r>
      <w:r>
        <w:rPr>
          <w:rtl w:val="0"/>
          <w:lang w:val="en-US"/>
        </w:rPr>
        <w:t>a. Survey Instrument</w:t>
      </w:r>
    </w:p>
    <w:tbl>
      <w:tblPr>
        <w:tblW w:w="9360" w:type="dxa"/>
        <w:jc w:val="left"/>
        <w:tblInd w:w="11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360"/>
      </w:tblGrid>
      <w:tr>
        <w:tblPrEx>
          <w:shd w:val="clear" w:color="auto" w:fill="ced7e7"/>
        </w:tblPrEx>
        <w:trPr>
          <w:trHeight w:val="265" w:hRule="atLeast"/>
        </w:trPr>
        <w:tc>
          <w:tcPr>
            <w:tcW w:type="dxa" w:w="9360"/>
            <w:tcBorders>
              <w:top w:val="single" w:color="000000"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b w:val="1"/>
                <w:bCs w:val="1"/>
                <w:sz w:val="18"/>
                <w:szCs w:val="18"/>
                <w:shd w:val="nil" w:color="auto" w:fill="auto"/>
                <w:rtl w:val="0"/>
                <w:lang w:val="en-US"/>
              </w:rPr>
              <w:t>Farmer level Questionnaire</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Date</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Serial number</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Farmer name</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Unique farmer ID</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Gram Panchayath</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Village name</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Ph Number</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Farmer Age</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Gender</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Highest education level</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Total members in your household</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How many of them are available for agri labour</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Male members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Female members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Members &lt;18 years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Members &gt;60 years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What is your primary occupation? ( A Agricultur; B Livestock; C Wage Labour; D Salaried employment; E Others)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What is the total landholding (in acres) ?</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Do you keep livestock/ poultry?</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If yes, what type of livestock ?</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Initial herd size</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Final herd size</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How many units were bought last year ?</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How many sold per year?</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Self consumption</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Number of births/year</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Natural death</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Purchase cost per unit (Rs)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Selling price price unit (Rs)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Quantity of feed given per year ( Kg per entire herd )</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Price of feed per Kg (Rs)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Average medical/vaccination costs per year (Rs)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Other costs per year (Rs)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Water requirement(per day per unit) (L)</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Qty of egg/milk( Self consumption + sales)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Price per egg/milk (per litre or per number) (Rs)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Qty of manure (from entire herd in Kgs)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center"/>
          </w:tcPr>
          <w:p>
            <w:pPr>
              <w:pStyle w:val="Body"/>
              <w:widowControl w:val="0"/>
            </w:pPr>
            <w:r>
              <w:rPr>
                <w:sz w:val="20"/>
                <w:szCs w:val="20"/>
                <w:shd w:val="nil" w:color="auto" w:fill="auto"/>
                <w:rtl w:val="0"/>
                <w:lang w:val="en-US"/>
              </w:rPr>
              <w:t>Manure price per kg (Rs)</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Do you have any other sources of off farm or non farm incomes by members of the household ?</w:t>
            </w:r>
          </w:p>
        </w:tc>
      </w:tr>
      <w:tr>
        <w:tblPrEx>
          <w:shd w:val="clear" w:color="auto" w:fill="ced7e7"/>
        </w:tblPrEx>
        <w:trPr>
          <w:trHeight w:val="453"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In the last year, have you recieved any complimentory benefits or inputs as part of agreements with companies or government</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cccccc"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Have you suffered any losses last year e.g. to drought, fire, pests etc.</w:t>
            </w:r>
          </w:p>
        </w:tc>
      </w:tr>
      <w:tr>
        <w:tblPrEx>
          <w:shd w:val="clear" w:color="auto" w:fill="ced7e7"/>
        </w:tblPrEx>
        <w:trPr>
          <w:trHeight w:val="265" w:hRule="atLeast"/>
        </w:trPr>
        <w:tc>
          <w:tcPr>
            <w:tcW w:type="dxa" w:w="9360"/>
            <w:tcBorders>
              <w:top w:val="single" w:color="cccccc" w:sz="6" w:space="0" w:shadow="0" w:frame="0"/>
              <w:left w:val="single" w:color="000000" w:sz="6" w:space="0" w:shadow="0" w:frame="0"/>
              <w:bottom w:val="single" w:color="000000" w:sz="6" w:space="0" w:shadow="0" w:frame="0"/>
              <w:right w:val="single" w:color="000000" w:sz="6" w:space="0" w:shadow="0" w:frame="0"/>
            </w:tcBorders>
            <w:shd w:val="clear" w:color="auto" w:fill="ffffff"/>
            <w:tcMar>
              <w:top w:type="dxa" w:w="80"/>
              <w:left w:type="dxa" w:w="80"/>
              <w:bottom w:type="dxa" w:w="80"/>
              <w:right w:type="dxa" w:w="80"/>
            </w:tcMar>
            <w:vAlign w:val="top"/>
          </w:tcPr>
          <w:p>
            <w:pPr>
              <w:pStyle w:val="Body"/>
              <w:widowControl w:val="0"/>
            </w:pPr>
            <w:r>
              <w:rPr>
                <w:sz w:val="18"/>
                <w:szCs w:val="18"/>
                <w:shd w:val="nil" w:color="auto" w:fill="auto"/>
                <w:rtl w:val="0"/>
                <w:lang w:val="en-US"/>
              </w:rPr>
              <w:t>How many plots do you have?</w:t>
            </w:r>
          </w:p>
        </w:tc>
      </w:tr>
    </w:tbl>
    <w:p>
      <w:pPr>
        <w:pStyle w:val="heading 4"/>
        <w:widowControl w:val="0"/>
        <w:spacing w:line="240" w:lineRule="auto"/>
        <w:ind w:left="2" w:hanging="2"/>
      </w:pPr>
    </w:p>
    <w:p>
      <w:pPr>
        <w:pStyle w:val="heading 4"/>
        <w:widowControl w:val="0"/>
        <w:spacing w:line="240" w:lineRule="auto"/>
      </w:pPr>
    </w:p>
    <w:p>
      <w:pPr>
        <w:pStyle w:val="heading 4"/>
        <w:spacing w:line="240" w:lineRule="auto"/>
      </w:pPr>
      <w:bookmarkStart w:name="_pxezwc" w:id="3"/>
      <w:bookmarkEnd w:id="3"/>
    </w:p>
    <w:tbl>
      <w:tblPr>
        <w:tblW w:w="936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360"/>
      </w:tblGrid>
      <w:tr>
        <w:tblPrEx>
          <w:shd w:val="clear" w:color="auto" w:fill="ced7e7"/>
        </w:tblPrEx>
        <w:trPr>
          <w:trHeight w:val="295" w:hRule="atLeast"/>
        </w:trPr>
        <w:tc>
          <w:tcPr>
            <w:tcW w:type="dxa" w:w="9360"/>
            <w:tcBorders>
              <w:top w:val="single" w:color="000000" w:sz="12" w:space="0" w:shadow="0" w:frame="0"/>
              <w:left w:val="single" w:color="cccccc" w:sz="6" w:space="0" w:shadow="0" w:frame="0"/>
              <w:bottom w:val="single" w:color="cccccc" w:sz="6" w:space="0" w:shadow="0" w:frame="0"/>
              <w:right w:val="single" w:color="000000" w:sz="6" w:space="0" w:shadow="0" w:frame="0"/>
            </w:tcBorders>
            <w:shd w:val="clear" w:color="auto" w:fill="cfe2f3"/>
            <w:tcMar>
              <w:top w:type="dxa" w:w="80"/>
              <w:left w:type="dxa" w:w="80"/>
              <w:bottom w:type="dxa" w:w="80"/>
              <w:right w:type="dxa" w:w="80"/>
            </w:tcMar>
            <w:vAlign w:val="top"/>
          </w:tcPr>
          <w:p>
            <w:pPr>
              <w:pStyle w:val="Body"/>
              <w:widowControl w:val="0"/>
            </w:pPr>
            <w:r>
              <w:rPr>
                <w:b w:val="1"/>
                <w:bCs w:val="1"/>
                <w:sz w:val="18"/>
                <w:szCs w:val="18"/>
                <w:shd w:val="nil" w:color="auto" w:fill="auto"/>
                <w:rtl w:val="0"/>
                <w:lang w:val="en-US"/>
              </w:rPr>
              <w:t>Plot Level Questionnaire</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cfe2f3"/>
            <w:tcMar>
              <w:top w:type="dxa" w:w="80"/>
              <w:left w:type="dxa" w:w="80"/>
              <w:bottom w:type="dxa" w:w="80"/>
              <w:right w:type="dxa" w:w="80"/>
            </w:tcMar>
            <w:vAlign w:val="top"/>
          </w:tcPr>
          <w:p>
            <w:pPr>
              <w:pStyle w:val="Body"/>
              <w:widowControl w:val="0"/>
            </w:pPr>
            <w:r>
              <w:rPr>
                <w:sz w:val="18"/>
                <w:szCs w:val="18"/>
                <w:shd w:val="nil" w:color="auto" w:fill="auto"/>
                <w:rtl w:val="0"/>
                <w:lang w:val="en-US"/>
              </w:rPr>
              <w:t>Plot ID</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cfe2f3"/>
            <w:tcMar>
              <w:top w:type="dxa" w:w="80"/>
              <w:left w:type="dxa" w:w="80"/>
              <w:bottom w:type="dxa" w:w="80"/>
              <w:right w:type="dxa" w:w="80"/>
            </w:tcMar>
            <w:vAlign w:val="top"/>
          </w:tcPr>
          <w:p>
            <w:pPr>
              <w:pStyle w:val="Body"/>
              <w:widowControl w:val="0"/>
            </w:pPr>
            <w:r>
              <w:rPr>
                <w:sz w:val="18"/>
                <w:szCs w:val="18"/>
                <w:shd w:val="nil" w:color="auto" w:fill="auto"/>
                <w:rtl w:val="0"/>
                <w:lang w:val="en-US"/>
              </w:rPr>
              <w:t>Plot size (acres)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cfe2f3"/>
            <w:tcMar>
              <w:top w:type="dxa" w:w="80"/>
              <w:left w:type="dxa" w:w="80"/>
              <w:bottom w:type="dxa" w:w="80"/>
              <w:right w:type="dxa" w:w="80"/>
            </w:tcMar>
            <w:vAlign w:val="top"/>
          </w:tcPr>
          <w:p>
            <w:pPr>
              <w:pStyle w:val="Body"/>
              <w:widowControl w:val="0"/>
            </w:pPr>
            <w:r>
              <w:rPr>
                <w:sz w:val="18"/>
                <w:szCs w:val="18"/>
                <w:shd w:val="nil" w:color="auto" w:fill="auto"/>
                <w:rtl w:val="0"/>
                <w:lang w:val="en-US"/>
              </w:rPr>
              <w:t>Do you own your land or have you leased it from someone?</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cfe2f3"/>
            <w:tcMar>
              <w:top w:type="dxa" w:w="80"/>
              <w:left w:type="dxa" w:w="80"/>
              <w:bottom w:type="dxa" w:w="80"/>
              <w:right w:type="dxa" w:w="80"/>
            </w:tcMar>
            <w:vAlign w:val="top"/>
          </w:tcPr>
          <w:p>
            <w:pPr>
              <w:pStyle w:val="Body"/>
              <w:widowControl w:val="0"/>
            </w:pPr>
            <w:r>
              <w:rPr>
                <w:sz w:val="18"/>
                <w:szCs w:val="18"/>
                <w:shd w:val="nil" w:color="auto" w:fill="auto"/>
                <w:rtl w:val="0"/>
                <w:lang w:val="en-US"/>
              </w:rPr>
              <w:t>In case of leased land, how much is the lease amount of your land per annum (in INR/annum)?</w:t>
            </w:r>
          </w:p>
        </w:tc>
      </w:tr>
      <w:tr>
        <w:tblPrEx>
          <w:shd w:val="clear" w:color="auto" w:fill="ced7e7"/>
        </w:tblPrEx>
        <w:trPr>
          <w:trHeight w:val="453"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f4cccc"/>
            <w:tcMar>
              <w:top w:type="dxa" w:w="80"/>
              <w:left w:type="dxa" w:w="80"/>
              <w:bottom w:type="dxa" w:w="80"/>
              <w:right w:type="dxa" w:w="80"/>
            </w:tcMar>
            <w:vAlign w:val="top"/>
          </w:tcPr>
          <w:p>
            <w:pPr>
              <w:pStyle w:val="Body"/>
              <w:widowControl w:val="0"/>
            </w:pPr>
            <w:r>
              <w:rPr>
                <w:sz w:val="18"/>
                <w:szCs w:val="18"/>
                <w:shd w:val="nil" w:color="auto" w:fill="auto"/>
                <w:rtl w:val="0"/>
                <w:lang w:val="en-US"/>
              </w:rPr>
              <w:t>What are the crops trees grown in the plot?</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f4cccc"/>
            <w:tcMar>
              <w:top w:type="dxa" w:w="80"/>
              <w:left w:type="dxa" w:w="80"/>
              <w:bottom w:type="dxa" w:w="80"/>
              <w:right w:type="dxa" w:w="80"/>
            </w:tcMar>
            <w:vAlign w:val="top"/>
          </w:tcPr>
          <w:p>
            <w:pPr>
              <w:pStyle w:val="Body"/>
              <w:widowControl w:val="0"/>
            </w:pPr>
            <w:r>
              <w:rPr>
                <w:sz w:val="18"/>
                <w:szCs w:val="18"/>
                <w:shd w:val="nil" w:color="auto" w:fill="auto"/>
                <w:rtl w:val="0"/>
                <w:lang w:val="en-US"/>
              </w:rPr>
              <w:t>Season( Kharif/Rabi/Zaid/Perinnial)</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f4cccc"/>
            <w:tcMar>
              <w:top w:type="dxa" w:w="80"/>
              <w:left w:type="dxa" w:w="80"/>
              <w:bottom w:type="dxa" w:w="80"/>
              <w:right w:type="dxa" w:w="80"/>
            </w:tcMar>
            <w:vAlign w:val="top"/>
          </w:tcPr>
          <w:p>
            <w:pPr>
              <w:pStyle w:val="Body"/>
              <w:widowControl w:val="0"/>
            </w:pPr>
            <w:r>
              <w:rPr>
                <w:sz w:val="18"/>
                <w:szCs w:val="18"/>
                <w:shd w:val="nil" w:color="auto" w:fill="auto"/>
                <w:rtl w:val="0"/>
                <w:lang w:val="en-US"/>
              </w:rPr>
              <w:t>Crop Type ( Main crop, intercrop, border crop )</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f4cccc"/>
            <w:tcMar>
              <w:top w:type="dxa" w:w="80"/>
              <w:left w:type="dxa" w:w="80"/>
              <w:bottom w:type="dxa" w:w="80"/>
              <w:right w:type="dxa" w:w="80"/>
            </w:tcMar>
            <w:vAlign w:val="top"/>
          </w:tcPr>
          <w:p>
            <w:pPr>
              <w:pStyle w:val="Body"/>
              <w:widowControl w:val="0"/>
            </w:pPr>
            <w:r>
              <w:rPr>
                <w:sz w:val="18"/>
                <w:szCs w:val="18"/>
                <w:shd w:val="nil" w:color="auto" w:fill="auto"/>
                <w:rtl w:val="0"/>
                <w:lang w:val="en-US"/>
              </w:rPr>
              <w:t>Age( no of years since planting)</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f4cccc"/>
            <w:tcMar>
              <w:top w:type="dxa" w:w="80"/>
              <w:left w:type="dxa" w:w="80"/>
              <w:bottom w:type="dxa" w:w="80"/>
              <w:right w:type="dxa" w:w="80"/>
            </w:tcMar>
            <w:vAlign w:val="top"/>
          </w:tcPr>
          <w:p>
            <w:pPr>
              <w:pStyle w:val="Body"/>
              <w:widowControl w:val="0"/>
            </w:pPr>
            <w:r>
              <w:rPr>
                <w:sz w:val="18"/>
                <w:szCs w:val="18"/>
                <w:shd w:val="nil" w:color="auto" w:fill="auto"/>
                <w:rtl w:val="0"/>
                <w:lang w:val="en-US"/>
              </w:rPr>
              <w:t>Seed qty (In Kg) - only in case of broadcasting of seeds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f4cccc"/>
            <w:tcMar>
              <w:top w:type="dxa" w:w="80"/>
              <w:left w:type="dxa" w:w="80"/>
              <w:bottom w:type="dxa" w:w="80"/>
              <w:right w:type="dxa" w:w="80"/>
            </w:tcMar>
            <w:vAlign w:val="top"/>
          </w:tcPr>
          <w:p>
            <w:pPr>
              <w:pStyle w:val="Body"/>
              <w:widowControl w:val="0"/>
            </w:pPr>
            <w:r>
              <w:rPr>
                <w:sz w:val="18"/>
                <w:szCs w:val="18"/>
                <w:shd w:val="nil" w:color="auto" w:fill="auto"/>
                <w:rtl w:val="0"/>
                <w:lang w:val="en-US"/>
              </w:rPr>
              <w:t>Number of lines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f4cccc"/>
            <w:tcMar>
              <w:top w:type="dxa" w:w="80"/>
              <w:left w:type="dxa" w:w="80"/>
              <w:bottom w:type="dxa" w:w="80"/>
              <w:right w:type="dxa" w:w="80"/>
            </w:tcMar>
            <w:vAlign w:val="top"/>
          </w:tcPr>
          <w:p>
            <w:pPr>
              <w:pStyle w:val="Body"/>
              <w:widowControl w:val="0"/>
            </w:pPr>
            <w:r>
              <w:rPr>
                <w:sz w:val="18"/>
                <w:szCs w:val="18"/>
                <w:shd w:val="nil" w:color="auto" w:fill="auto"/>
                <w:rtl w:val="0"/>
                <w:lang w:val="en-US"/>
              </w:rPr>
              <w:t>Saplings per line</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f4cccc"/>
            <w:tcMar>
              <w:top w:type="dxa" w:w="80"/>
              <w:left w:type="dxa" w:w="80"/>
              <w:bottom w:type="dxa" w:w="80"/>
              <w:right w:type="dxa" w:w="80"/>
            </w:tcMar>
            <w:vAlign w:val="top"/>
          </w:tcPr>
          <w:p>
            <w:pPr>
              <w:pStyle w:val="Body"/>
              <w:widowControl w:val="0"/>
            </w:pPr>
            <w:r>
              <w:rPr>
                <w:sz w:val="18"/>
                <w:szCs w:val="18"/>
                <w:shd w:val="nil" w:color="auto" w:fill="auto"/>
                <w:rtl w:val="0"/>
                <w:lang w:val="en-US"/>
              </w:rPr>
              <w:t>Number of saplings - product of Number of lines and saplings per line or as told by farmers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f4cccc"/>
            <w:tcMar>
              <w:top w:type="dxa" w:w="80"/>
              <w:left w:type="dxa" w:w="80"/>
              <w:bottom w:type="dxa" w:w="80"/>
              <w:right w:type="dxa" w:w="80"/>
            </w:tcMar>
            <w:vAlign w:val="top"/>
          </w:tcPr>
          <w:p>
            <w:pPr>
              <w:pStyle w:val="Body"/>
              <w:widowControl w:val="0"/>
            </w:pPr>
            <w:r>
              <w:rPr>
                <w:sz w:val="18"/>
                <w:szCs w:val="18"/>
                <w:shd w:val="nil" w:color="auto" w:fill="auto"/>
                <w:rtl w:val="0"/>
                <w:lang w:val="en-US"/>
              </w:rPr>
              <w:t>Number of trees ( in case of trees)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0e2f3"/>
            <w:tcMar>
              <w:top w:type="dxa" w:w="80"/>
              <w:left w:type="dxa" w:w="80"/>
              <w:bottom w:type="dxa" w:w="80"/>
              <w:right w:type="dxa" w:w="80"/>
            </w:tcMar>
            <w:vAlign w:val="top"/>
          </w:tcPr>
          <w:p>
            <w:pPr>
              <w:pStyle w:val="Body"/>
              <w:widowControl w:val="0"/>
            </w:pPr>
            <w:r>
              <w:rPr>
                <w:sz w:val="18"/>
                <w:szCs w:val="18"/>
                <w:shd w:val="nil" w:color="auto" w:fill="auto"/>
                <w:rtl w:val="0"/>
                <w:lang w:val="en-US"/>
              </w:rPr>
              <w:t>Plot Category ( A/B/C/D/E)</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0e2f3"/>
            <w:tcMar>
              <w:top w:type="dxa" w:w="80"/>
              <w:left w:type="dxa" w:w="80"/>
              <w:bottom w:type="dxa" w:w="80"/>
              <w:right w:type="dxa" w:w="80"/>
            </w:tcMar>
            <w:vAlign w:val="top"/>
          </w:tcPr>
          <w:p>
            <w:pPr>
              <w:pStyle w:val="Body"/>
              <w:widowControl w:val="0"/>
            </w:pPr>
            <w:r>
              <w:rPr>
                <w:sz w:val="18"/>
                <w:szCs w:val="18"/>
                <w:shd w:val="nil" w:color="auto" w:fill="auto"/>
                <w:rtl w:val="0"/>
                <w:lang w:val="en-US"/>
              </w:rPr>
              <w:t>How long has he/she been cultivating in this cropping pattern category? (years)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0e2f3"/>
            <w:tcMar>
              <w:top w:type="dxa" w:w="80"/>
              <w:left w:type="dxa" w:w="80"/>
              <w:bottom w:type="dxa" w:w="80"/>
              <w:right w:type="dxa" w:w="80"/>
            </w:tcMar>
            <w:vAlign w:val="top"/>
          </w:tcPr>
          <w:p>
            <w:pPr>
              <w:pStyle w:val="Body"/>
              <w:widowControl w:val="0"/>
            </w:pPr>
            <w:r>
              <w:rPr>
                <w:sz w:val="18"/>
                <w:szCs w:val="18"/>
                <w:shd w:val="nil" w:color="auto" w:fill="auto"/>
                <w:rtl w:val="0"/>
                <w:lang w:val="en-US"/>
              </w:rPr>
              <w:t>Source of Irrigation(other than rainfed)</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0e2f3"/>
            <w:tcMar>
              <w:top w:type="dxa" w:w="80"/>
              <w:left w:type="dxa" w:w="80"/>
              <w:bottom w:type="dxa" w:w="80"/>
              <w:right w:type="dxa" w:w="80"/>
            </w:tcMar>
            <w:vAlign w:val="top"/>
          </w:tcPr>
          <w:p>
            <w:pPr>
              <w:pStyle w:val="Body"/>
              <w:widowControl w:val="0"/>
            </w:pPr>
            <w:r>
              <w:rPr>
                <w:sz w:val="18"/>
                <w:szCs w:val="18"/>
                <w:shd w:val="nil" w:color="auto" w:fill="auto"/>
                <w:rtl w:val="0"/>
                <w:lang w:val="en-US"/>
              </w:rPr>
              <w:t>Flood irrigated/drip irrigated/Sprinkler irrigated</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0e2f3"/>
            <w:tcMar>
              <w:top w:type="dxa" w:w="80"/>
              <w:left w:type="dxa" w:w="80"/>
              <w:bottom w:type="dxa" w:w="80"/>
              <w:right w:type="dxa" w:w="80"/>
            </w:tcMar>
            <w:vAlign w:val="top"/>
          </w:tcPr>
          <w:p>
            <w:pPr>
              <w:pStyle w:val="Body"/>
              <w:widowControl w:val="0"/>
            </w:pPr>
            <w:r>
              <w:rPr>
                <w:sz w:val="18"/>
                <w:szCs w:val="18"/>
                <w:shd w:val="nil" w:color="auto" w:fill="auto"/>
                <w:rtl w:val="0"/>
                <w:lang w:val="en-US"/>
              </w:rPr>
              <w:t>Motor HP</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0e2f3"/>
            <w:tcMar>
              <w:top w:type="dxa" w:w="80"/>
              <w:left w:type="dxa" w:w="80"/>
              <w:bottom w:type="dxa" w:w="80"/>
              <w:right w:type="dxa" w:w="80"/>
            </w:tcMar>
            <w:vAlign w:val="top"/>
          </w:tcPr>
          <w:p>
            <w:pPr>
              <w:pStyle w:val="Body"/>
              <w:widowControl w:val="0"/>
            </w:pPr>
            <w:r>
              <w:rPr>
                <w:sz w:val="18"/>
                <w:szCs w:val="18"/>
                <w:shd w:val="nil" w:color="auto" w:fill="auto"/>
                <w:rtl w:val="0"/>
                <w:lang w:val="en-US"/>
              </w:rPr>
              <w:t>Depth of borewell (ft)</w:t>
            </w:r>
          </w:p>
        </w:tc>
      </w:tr>
      <w:tr>
        <w:tblPrEx>
          <w:shd w:val="clear" w:color="auto" w:fill="ced7e7"/>
        </w:tblPrEx>
        <w:trPr>
          <w:trHeight w:val="453"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0e2f3"/>
            <w:tcMar>
              <w:top w:type="dxa" w:w="80"/>
              <w:left w:type="dxa" w:w="80"/>
              <w:bottom w:type="dxa" w:w="80"/>
              <w:right w:type="dxa" w:w="80"/>
            </w:tcMar>
            <w:vAlign w:val="top"/>
          </w:tcPr>
          <w:p>
            <w:pPr>
              <w:pStyle w:val="Body"/>
              <w:widowControl w:val="0"/>
              <w:rPr>
                <w:sz w:val="18"/>
                <w:szCs w:val="18"/>
                <w:shd w:val="nil" w:color="auto" w:fill="auto"/>
              </w:rPr>
            </w:pPr>
            <w:r>
              <w:rPr>
                <w:sz w:val="18"/>
                <w:szCs w:val="18"/>
                <w:shd w:val="nil" w:color="auto" w:fill="auto"/>
                <w:rtl w:val="0"/>
                <w:lang w:val="en-US"/>
              </w:rPr>
              <w:t>Irrigation frequency</w:t>
            </w:r>
          </w:p>
          <w:p>
            <w:pPr>
              <w:pStyle w:val="Body"/>
              <w:widowControl w:val="0"/>
              <w:bidi w:val="0"/>
              <w:ind w:left="0" w:right="0" w:firstLine="0"/>
              <w:jc w:val="left"/>
              <w:rPr>
                <w:rtl w:val="0"/>
              </w:rPr>
            </w:pPr>
            <w:r>
              <w:rPr>
                <w:sz w:val="18"/>
                <w:szCs w:val="18"/>
                <w:shd w:val="nil" w:color="auto" w:fill="auto"/>
                <w:rtl w:val="0"/>
                <w:lang w:val="en-US"/>
              </w:rPr>
              <w:t>[ Duration or trips] hours per annum per plot</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Land preparation costs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Seed/ sapling costs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Manure in tractor load</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Manure costs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Fertiliser</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Pesticide / weedicide</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Labour sowing - Hired</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Labour sowing - Own</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Labour weeding - Hired</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Labour weeding - Own</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Labour harvesting - Hired</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Labour harvesting - own</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Labour inputs and irrigation - Hired</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Labour Land prep, inputs and irrigation - Own</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Prunung costs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7c6df"/>
            <w:tcMar>
              <w:top w:type="dxa" w:w="80"/>
              <w:left w:type="dxa" w:w="80"/>
              <w:bottom w:type="dxa" w:w="80"/>
              <w:right w:type="dxa" w:w="80"/>
            </w:tcMar>
            <w:vAlign w:val="top"/>
          </w:tcPr>
          <w:p>
            <w:pPr>
              <w:pStyle w:val="Body"/>
              <w:widowControl w:val="0"/>
            </w:pPr>
            <w:r>
              <w:rPr>
                <w:sz w:val="18"/>
                <w:szCs w:val="18"/>
                <w:shd w:val="nil" w:color="auto" w:fill="auto"/>
                <w:rtl w:val="0"/>
                <w:lang w:val="en-US"/>
              </w:rPr>
              <w:t>others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cfe2f3"/>
            <w:tcMar>
              <w:top w:type="dxa" w:w="80"/>
              <w:left w:type="dxa" w:w="80"/>
              <w:bottom w:type="dxa" w:w="80"/>
              <w:right w:type="dxa" w:w="80"/>
            </w:tcMar>
            <w:vAlign w:val="top"/>
          </w:tcPr>
          <w:p>
            <w:pPr>
              <w:pStyle w:val="Body"/>
              <w:widowControl w:val="0"/>
            </w:pPr>
            <w:r>
              <w:rPr>
                <w:sz w:val="18"/>
                <w:szCs w:val="18"/>
                <w:shd w:val="nil" w:color="auto" w:fill="auto"/>
                <w:rtl w:val="0"/>
                <w:lang w:val="en-US"/>
              </w:rPr>
              <w:t>Have you used your own livestock/poultry manure in the plots ?</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cfe2f3"/>
            <w:tcMar>
              <w:top w:type="dxa" w:w="80"/>
              <w:left w:type="dxa" w:w="80"/>
              <w:bottom w:type="dxa" w:w="80"/>
              <w:right w:type="dxa" w:w="80"/>
            </w:tcMar>
            <w:vAlign w:val="top"/>
          </w:tcPr>
          <w:p>
            <w:pPr>
              <w:pStyle w:val="Body"/>
              <w:widowControl w:val="0"/>
            </w:pPr>
            <w:r>
              <w:rPr>
                <w:sz w:val="18"/>
                <w:szCs w:val="18"/>
                <w:shd w:val="nil" w:color="auto" w:fill="auto"/>
                <w:rtl w:val="0"/>
                <w:lang w:val="en-US"/>
              </w:rPr>
              <w:t>If yes, What type of manure ?</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cfe2f3"/>
            <w:tcMar>
              <w:top w:type="dxa" w:w="80"/>
              <w:left w:type="dxa" w:w="80"/>
              <w:bottom w:type="dxa" w:w="80"/>
              <w:right w:type="dxa" w:w="80"/>
            </w:tcMar>
            <w:vAlign w:val="top"/>
          </w:tcPr>
          <w:p>
            <w:pPr>
              <w:pStyle w:val="Body"/>
              <w:widowControl w:val="0"/>
            </w:pPr>
            <w:r>
              <w:rPr>
                <w:sz w:val="18"/>
                <w:szCs w:val="18"/>
                <w:shd w:val="nil" w:color="auto" w:fill="auto"/>
                <w:rtl w:val="0"/>
                <w:lang w:val="en-US"/>
              </w:rPr>
              <w:t>If purchased from outside, how much have you spent for the manure in each plot ?</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8c5e0"/>
            <w:tcMar>
              <w:top w:type="dxa" w:w="80"/>
              <w:left w:type="dxa" w:w="80"/>
              <w:bottom w:type="dxa" w:w="80"/>
              <w:right w:type="dxa" w:w="80"/>
            </w:tcMar>
            <w:vAlign w:val="top"/>
          </w:tcPr>
          <w:p>
            <w:pPr>
              <w:pStyle w:val="Body"/>
              <w:widowControl w:val="0"/>
            </w:pPr>
            <w:r>
              <w:rPr>
                <w:sz w:val="18"/>
                <w:szCs w:val="18"/>
                <w:shd w:val="nil" w:color="auto" w:fill="auto"/>
                <w:rtl w:val="0"/>
                <w:lang w:val="en-US"/>
              </w:rPr>
              <w:t>Crop Loss % ( last year)</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8c5e0"/>
            <w:tcMar>
              <w:top w:type="dxa" w:w="80"/>
              <w:left w:type="dxa" w:w="80"/>
              <w:bottom w:type="dxa" w:w="80"/>
              <w:right w:type="dxa" w:w="80"/>
            </w:tcMar>
            <w:vAlign w:val="top"/>
          </w:tcPr>
          <w:p>
            <w:pPr>
              <w:pStyle w:val="Body"/>
              <w:widowControl w:val="0"/>
            </w:pPr>
            <w:r>
              <w:rPr>
                <w:sz w:val="18"/>
                <w:szCs w:val="18"/>
                <w:shd w:val="nil" w:color="auto" w:fill="auto"/>
                <w:rtl w:val="0"/>
                <w:lang w:val="en-US"/>
              </w:rPr>
              <w:t>What was the yield last year for each crop? ( Yields in Kgs)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8c5e0"/>
            <w:tcMar>
              <w:top w:type="dxa" w:w="80"/>
              <w:left w:type="dxa" w:w="80"/>
              <w:bottom w:type="dxa" w:w="80"/>
              <w:right w:type="dxa" w:w="80"/>
            </w:tcMar>
            <w:vAlign w:val="top"/>
          </w:tcPr>
          <w:p>
            <w:pPr>
              <w:pStyle w:val="Body"/>
              <w:widowControl w:val="0"/>
            </w:pPr>
            <w:r>
              <w:rPr>
                <w:sz w:val="18"/>
                <w:szCs w:val="18"/>
                <w:shd w:val="nil" w:color="auto" w:fill="auto"/>
                <w:rtl w:val="0"/>
                <w:lang w:val="en-US"/>
              </w:rPr>
              <w:t>How much of the total quantity produced is used for self-consumption? (kgs)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8c5e0"/>
            <w:tcMar>
              <w:top w:type="dxa" w:w="80"/>
              <w:left w:type="dxa" w:w="80"/>
              <w:bottom w:type="dxa" w:w="80"/>
              <w:right w:type="dxa" w:w="80"/>
            </w:tcMar>
            <w:vAlign w:val="top"/>
          </w:tcPr>
          <w:p>
            <w:pPr>
              <w:pStyle w:val="Body"/>
              <w:widowControl w:val="0"/>
            </w:pPr>
            <w:r>
              <w:rPr>
                <w:sz w:val="18"/>
                <w:szCs w:val="18"/>
                <w:shd w:val="nil" w:color="auto" w:fill="auto"/>
                <w:rtl w:val="0"/>
                <w:lang w:val="en-US"/>
              </w:rPr>
              <w:t>How much of the total quantity produced is used for livestock consumption from each plot ? (In KGs)</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8c5e0"/>
            <w:tcMar>
              <w:top w:type="dxa" w:w="80"/>
              <w:left w:type="dxa" w:w="80"/>
              <w:bottom w:type="dxa" w:w="80"/>
              <w:right w:type="dxa" w:w="80"/>
            </w:tcMar>
            <w:vAlign w:val="top"/>
          </w:tcPr>
          <w:p>
            <w:pPr>
              <w:pStyle w:val="Body"/>
              <w:widowControl w:val="0"/>
            </w:pPr>
            <w:r>
              <w:rPr>
                <w:sz w:val="18"/>
                <w:szCs w:val="18"/>
                <w:shd w:val="nil" w:color="auto" w:fill="auto"/>
                <w:rtl w:val="0"/>
                <w:lang w:val="en-US"/>
              </w:rPr>
              <w:t>Marketable surplus</w:t>
            </w:r>
          </w:p>
        </w:tc>
      </w:tr>
      <w:tr>
        <w:tblPrEx>
          <w:shd w:val="clear" w:color="auto" w:fill="ced7e7"/>
        </w:tblPrEx>
        <w:trPr>
          <w:trHeight w:val="453"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8c5e0"/>
            <w:tcMar>
              <w:top w:type="dxa" w:w="80"/>
              <w:left w:type="dxa" w:w="80"/>
              <w:bottom w:type="dxa" w:w="80"/>
              <w:right w:type="dxa" w:w="80"/>
            </w:tcMar>
            <w:vAlign w:val="top"/>
          </w:tcPr>
          <w:p>
            <w:pPr>
              <w:pStyle w:val="Body"/>
              <w:widowControl w:val="0"/>
              <w:rPr>
                <w:sz w:val="18"/>
                <w:szCs w:val="18"/>
                <w:shd w:val="nil" w:color="auto" w:fill="auto"/>
              </w:rPr>
            </w:pPr>
            <w:r>
              <w:rPr>
                <w:sz w:val="18"/>
                <w:szCs w:val="18"/>
                <w:shd w:val="nil" w:color="auto" w:fill="auto"/>
                <w:rtl w:val="0"/>
                <w:lang w:val="en-US"/>
              </w:rPr>
              <w:t>Price (Rs per kg)</w:t>
            </w:r>
          </w:p>
          <w:p>
            <w:pPr>
              <w:pStyle w:val="Body"/>
              <w:widowControl w:val="0"/>
              <w:bidi w:val="0"/>
              <w:ind w:left="0" w:right="0" w:firstLine="0"/>
              <w:jc w:val="left"/>
              <w:rPr>
                <w:rtl w:val="0"/>
              </w:rPr>
            </w:pPr>
            <w:r>
              <w:rPr>
                <w:sz w:val="18"/>
                <w:szCs w:val="18"/>
                <w:shd w:val="nil" w:color="auto" w:fill="auto"/>
                <w:rtl w:val="0"/>
                <w:lang w:val="en-US"/>
              </w:rPr>
              <w:t>Per tree for timber</w:t>
            </w:r>
          </w:p>
        </w:tc>
      </w:tr>
      <w:tr>
        <w:tblPrEx>
          <w:shd w:val="clear" w:color="auto" w:fill="ced7e7"/>
        </w:tblPrEx>
        <w:trPr>
          <w:trHeight w:val="453"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8c5e0"/>
            <w:tcMar>
              <w:top w:type="dxa" w:w="80"/>
              <w:left w:type="dxa" w:w="80"/>
              <w:bottom w:type="dxa" w:w="80"/>
              <w:right w:type="dxa" w:w="80"/>
            </w:tcMar>
            <w:vAlign w:val="top"/>
          </w:tcPr>
          <w:p>
            <w:pPr>
              <w:pStyle w:val="Body"/>
              <w:widowControl w:val="0"/>
              <w:rPr>
                <w:sz w:val="18"/>
                <w:szCs w:val="18"/>
                <w:shd w:val="nil" w:color="auto" w:fill="auto"/>
              </w:rPr>
            </w:pPr>
            <w:r>
              <w:rPr>
                <w:sz w:val="18"/>
                <w:szCs w:val="18"/>
                <w:shd w:val="nil" w:color="auto" w:fill="auto"/>
                <w:rtl w:val="0"/>
                <w:lang w:val="en-US"/>
              </w:rPr>
              <w:t>How much crop residue you will get from each crop?</w:t>
            </w:r>
          </w:p>
          <w:p>
            <w:pPr>
              <w:pStyle w:val="Body"/>
              <w:widowControl w:val="0"/>
              <w:bidi w:val="0"/>
              <w:ind w:left="0" w:right="0" w:firstLine="0"/>
              <w:jc w:val="left"/>
              <w:rPr>
                <w:rtl w:val="0"/>
              </w:rPr>
            </w:pPr>
            <w:r>
              <w:rPr>
                <w:b w:val="1"/>
                <w:bCs w:val="1"/>
                <w:sz w:val="18"/>
                <w:szCs w:val="18"/>
                <w:shd w:val="nil" w:color="auto" w:fill="auto"/>
                <w:rtl w:val="0"/>
                <w:lang w:val="en-US"/>
              </w:rPr>
              <w:t>(tractor load)</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8c5e0"/>
            <w:tcMar>
              <w:top w:type="dxa" w:w="80"/>
              <w:left w:type="dxa" w:w="80"/>
              <w:bottom w:type="dxa" w:w="80"/>
              <w:right w:type="dxa" w:w="80"/>
            </w:tcMar>
            <w:vAlign w:val="top"/>
          </w:tcPr>
          <w:p>
            <w:pPr>
              <w:pStyle w:val="Body"/>
              <w:widowControl w:val="0"/>
            </w:pPr>
            <w:r>
              <w:rPr>
                <w:sz w:val="18"/>
                <w:szCs w:val="18"/>
                <w:shd w:val="nil" w:color="auto" w:fill="auto"/>
                <w:rtl w:val="0"/>
                <w:lang w:val="en-US"/>
              </w:rPr>
              <w:t>What do you do with the crop residue? Do you use it for feeding livestock/poultry?</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cccccc" w:sz="6" w:space="0" w:shadow="0" w:frame="0"/>
              <w:right w:val="single" w:color="000000" w:sz="6" w:space="0" w:shadow="0" w:frame="0"/>
            </w:tcBorders>
            <w:shd w:val="clear" w:color="auto" w:fill="d8c5e0"/>
            <w:tcMar>
              <w:top w:type="dxa" w:w="80"/>
              <w:left w:type="dxa" w:w="80"/>
              <w:bottom w:type="dxa" w:w="80"/>
              <w:right w:type="dxa" w:w="80"/>
            </w:tcMar>
            <w:vAlign w:val="top"/>
          </w:tcPr>
          <w:p>
            <w:pPr>
              <w:pStyle w:val="Body"/>
              <w:widowControl w:val="0"/>
            </w:pPr>
            <w:r>
              <w:rPr>
                <w:sz w:val="18"/>
                <w:szCs w:val="18"/>
                <w:shd w:val="nil" w:color="auto" w:fill="auto"/>
                <w:rtl w:val="0"/>
                <w:lang w:val="en-US"/>
              </w:rPr>
              <w:t>If yes, for how many days it would last ?</w:t>
            </w:r>
          </w:p>
        </w:tc>
      </w:tr>
      <w:tr>
        <w:tblPrEx>
          <w:shd w:val="clear" w:color="auto" w:fill="ced7e7"/>
        </w:tblPrEx>
        <w:trPr>
          <w:trHeight w:val="265" w:hRule="atLeast"/>
        </w:trPr>
        <w:tc>
          <w:tcPr>
            <w:tcW w:type="dxa" w:w="9360"/>
            <w:tcBorders>
              <w:top w:val="single" w:color="cccccc" w:sz="6" w:space="0" w:shadow="0" w:frame="0"/>
              <w:left w:val="single" w:color="cccccc" w:sz="6" w:space="0" w:shadow="0" w:frame="0"/>
              <w:bottom w:val="single" w:color="000000" w:sz="6" w:space="0" w:shadow="0" w:frame="0"/>
              <w:right w:val="single" w:color="000000" w:sz="6" w:space="0" w:shadow="0" w:frame="0"/>
            </w:tcBorders>
            <w:shd w:val="clear" w:color="auto" w:fill="d8c5e0"/>
            <w:tcMar>
              <w:top w:type="dxa" w:w="80"/>
              <w:left w:type="dxa" w:w="80"/>
              <w:bottom w:type="dxa" w:w="80"/>
              <w:right w:type="dxa" w:w="80"/>
            </w:tcMar>
            <w:vAlign w:val="top"/>
          </w:tcPr>
          <w:p>
            <w:pPr>
              <w:pStyle w:val="Body"/>
              <w:widowControl w:val="0"/>
            </w:pPr>
            <w:r>
              <w:rPr>
                <w:sz w:val="18"/>
                <w:szCs w:val="18"/>
                <w:shd w:val="nil" w:color="auto" w:fill="auto"/>
                <w:rtl w:val="0"/>
                <w:lang w:val="en-US"/>
              </w:rPr>
              <w:t>If sold, for how much rupees ?</w:t>
            </w:r>
          </w:p>
        </w:tc>
      </w:tr>
    </w:tbl>
    <w:p>
      <w:pPr>
        <w:pStyle w:val="heading 4"/>
        <w:widowControl w:val="0"/>
        <w:spacing w:line="240" w:lineRule="auto"/>
        <w:ind w:left="108" w:hanging="108"/>
      </w:pPr>
    </w:p>
    <w:p>
      <w:pPr>
        <w:pStyle w:val="heading 4"/>
        <w:spacing w:line="240" w:lineRule="auto"/>
      </w:pPr>
      <w:bookmarkStart w:name="_x2ik5" w:id="4"/>
      <w:bookmarkEnd w:id="4"/>
    </w:p>
    <w:p>
      <w:pPr>
        <w:pStyle w:val="heading 4"/>
        <w:spacing w:line="240" w:lineRule="auto"/>
        <w:rPr>
          <w:rFonts w:ascii="Montserrat" w:cs="Montserrat" w:hAnsi="Montserrat" w:eastAsia="Montserrat"/>
          <w:outline w:val="0"/>
          <w:color w:val="000000"/>
          <w:sz w:val="22"/>
          <w:szCs w:val="22"/>
          <w:u w:color="000000"/>
          <w14:textFill>
            <w14:solidFill>
              <w14:srgbClr w14:val="000000"/>
            </w14:solidFill>
          </w14:textFill>
        </w:rPr>
      </w:pPr>
      <w:bookmarkStart w:name="_p2csry" w:id="5"/>
      <w:bookmarkEnd w:id="5"/>
      <w:r>
        <w:rPr>
          <w:rtl w:val="0"/>
          <w:lang w:val="en-US"/>
        </w:rPr>
        <w:t>2</w:t>
      </w:r>
      <w:r>
        <w:rPr>
          <w:rtl w:val="0"/>
          <w:lang w:val="en-US"/>
        </w:rPr>
        <w:t>b. Estimation of Income, Water and Carbon stock (Primary)</w:t>
      </w:r>
    </w:p>
    <w:p>
      <w:pPr>
        <w:pStyle w:val="Body"/>
        <w:jc w:val="both"/>
        <w:rPr>
          <w:rFonts w:ascii="Montserrat" w:cs="Montserrat" w:hAnsi="Montserrat" w:eastAsia="Montserrat"/>
        </w:rPr>
      </w:pPr>
      <w:r>
        <w:rPr>
          <w:rFonts w:ascii="Montserrat" w:cs="Montserrat" w:hAnsi="Montserrat" w:eastAsia="Montserrat"/>
          <w:rtl w:val="0"/>
          <w:lang w:val="en-US"/>
        </w:rPr>
        <w:t>The output variables are estimated from the primary data collected as follows:</w:t>
      </w:r>
    </w:p>
    <w:p>
      <w:pPr>
        <w:pStyle w:val="Body"/>
        <w:jc w:val="both"/>
        <w:rPr>
          <w:rFonts w:ascii="Montserrat" w:cs="Montserrat" w:hAnsi="Montserrat" w:eastAsia="Montserrat"/>
          <w:b w:val="1"/>
          <w:bCs w:val="1"/>
          <w:u w:val="single"/>
        </w:rPr>
      </w:pPr>
      <w:r>
        <w:rPr>
          <w:rFonts w:ascii="Montserrat" w:cs="Montserrat" w:hAnsi="Montserrat" w:eastAsia="Montserrat"/>
          <w:b w:val="1"/>
          <w:bCs w:val="1"/>
          <w:u w:val="single"/>
          <w:rtl w:val="0"/>
          <w:lang w:val="en-US"/>
        </w:rPr>
        <w:t>Net Farmer Incomes</w:t>
      </w:r>
    </w:p>
    <w:p>
      <w:pPr>
        <w:pStyle w:val="Body"/>
        <w:jc w:val="both"/>
        <w:rPr>
          <w:rFonts w:ascii="Montserrat" w:cs="Montserrat" w:hAnsi="Montserrat" w:eastAsia="Montserrat"/>
        </w:rPr>
      </w:pPr>
      <w:r>
        <w:rPr>
          <w:rFonts w:ascii="Montserrat" w:cs="Montserrat" w:hAnsi="Montserrat" w:eastAsia="Montserrat"/>
          <w:rtl w:val="0"/>
          <w:lang w:val="en-US"/>
        </w:rPr>
        <w:t>Net farmer income is calculated based on following formulae as the sum of net crop incomes and net livestock incomes.</w:t>
      </w:r>
    </w:p>
    <w:p>
      <w:pPr>
        <w:pStyle w:val="Body"/>
        <w:spacing w:before="300"/>
        <w:ind w:left="720" w:hanging="360"/>
        <w:rPr>
          <w:rFonts w:ascii="Montserrat" w:cs="Montserrat" w:hAnsi="Montserrat" w:eastAsia="Montserrat"/>
        </w:rPr>
      </w:pPr>
      <w:r>
        <w:rPr>
          <w:rFonts w:ascii="Montserrat" w:cs="Montserrat" w:hAnsi="Montserrat" w:eastAsia="Montserrat"/>
          <w:rtl w:val="0"/>
          <w:lang w:val="en-US"/>
        </w:rPr>
        <w:t xml:space="preserve">1. Net Crop Income (NCI) for a single crop: </w:t>
      </w:r>
    </w:p>
    <w:p>
      <w:pPr>
        <w:pStyle w:val="Body"/>
        <w:ind w:left="720" w:hanging="360"/>
        <w:rPr>
          <w:rFonts w:ascii="Montserrat" w:cs="Montserrat" w:hAnsi="Montserrat" w:eastAsia="Montserrat"/>
        </w:rPr>
      </w:pPr>
      <w:r>
        <w:rPr>
          <w:rFonts w:ascii="Montserrat" w:cs="Montserrat" w:hAnsi="Montserrat" w:eastAsia="Montserrat"/>
          <w:rtl w:val="0"/>
          <w:lang w:val="en-US"/>
        </w:rPr>
        <w:t>NCI_i = (Yield_i * Price_i + CropResidueSold_i * SellingPrice_i) - (LandPreparationCost_i + SeedCost_i + FertilizerCost_i + PesticidesCost_i + LaborCost_i)</w:t>
      </w:r>
    </w:p>
    <w:p>
      <w:pPr>
        <w:pStyle w:val="Body"/>
        <w:ind w:left="720" w:hanging="360"/>
        <w:rPr>
          <w:rFonts w:ascii="Montserrat" w:cs="Montserrat" w:hAnsi="Montserrat" w:eastAsia="Montserrat"/>
        </w:rPr>
      </w:pPr>
      <w:r>
        <w:rPr>
          <w:rFonts w:ascii="Montserrat" w:cs="Montserrat" w:hAnsi="Montserrat" w:eastAsia="Montserrat"/>
        </w:rPr>
        <w:br w:type="textWrapping"/>
      </w:r>
      <w:r>
        <w:rPr>
          <w:rFonts w:ascii="Montserrat" w:cs="Montserrat" w:hAnsi="Montserrat" w:eastAsia="Montserrat"/>
          <w:rtl w:val="0"/>
          <w:lang w:val="en-US"/>
        </w:rPr>
        <w:t>Here, the subscript "i" represents a specific crop.</w:t>
      </w:r>
    </w:p>
    <w:p>
      <w:pPr>
        <w:pStyle w:val="Body"/>
        <w:ind w:left="720" w:hanging="360"/>
        <w:rPr>
          <w:rFonts w:ascii="Montserrat" w:cs="Montserrat" w:hAnsi="Montserrat" w:eastAsia="Montserrat"/>
        </w:rPr>
      </w:pPr>
    </w:p>
    <w:p>
      <w:pPr>
        <w:pStyle w:val="Body"/>
        <w:ind w:left="720" w:hanging="360"/>
        <w:rPr>
          <w:rFonts w:ascii="Montserrat" w:cs="Montserrat" w:hAnsi="Montserrat" w:eastAsia="Montserrat"/>
        </w:rPr>
      </w:pPr>
      <w:r>
        <w:rPr>
          <w:rFonts w:ascii="Montserrat" w:cs="Montserrat" w:hAnsi="Montserrat" w:eastAsia="Montserrat"/>
          <w:rtl w:val="0"/>
          <w:lang w:val="en-US"/>
        </w:rPr>
        <w:t xml:space="preserve">2. Net Plot Income (NPI) for a plot with "n" crops: </w:t>
      </w:r>
    </w:p>
    <w:p>
      <w:pPr>
        <w:pStyle w:val="Body"/>
        <w:ind w:left="720" w:hanging="360"/>
        <w:rPr>
          <w:rFonts w:ascii="Montserrat" w:cs="Montserrat" w:hAnsi="Montserrat" w:eastAsia="Montserrat"/>
        </w:rPr>
      </w:pPr>
      <w:r>
        <w:rPr>
          <w:rFonts w:ascii="Montserrat" w:cs="Montserrat" w:hAnsi="Montserrat" w:eastAsia="Montserrat"/>
          <w:rtl w:val="0"/>
          <w:lang w:val="en-US"/>
        </w:rPr>
        <w:t xml:space="preserve">NPI = </w:t>
      </w:r>
      <w:r>
        <w:rPr>
          <w:rFonts w:ascii="Montserrat" w:cs="Montserrat" w:hAnsi="Montserrat" w:eastAsia="Montserrat"/>
          <w:rtl w:val="0"/>
          <w:lang w:val="en-US"/>
        </w:rPr>
        <w:t xml:space="preserve">Σ </w:t>
      </w:r>
      <w:r>
        <w:rPr>
          <w:rFonts w:ascii="Montserrat" w:cs="Montserrat" w:hAnsi="Montserrat" w:eastAsia="Montserrat"/>
          <w:rtl w:val="0"/>
          <w:lang w:val="en-US"/>
        </w:rPr>
        <w:t>NCI_i, where i ranges from 1 to n.</w:t>
      </w:r>
      <w:r>
        <w:rPr>
          <w:rFonts w:ascii="Montserrat" w:cs="Montserrat" w:hAnsi="Montserrat" w:eastAsia="Montserrat"/>
        </w:rPr>
        <w:br w:type="textWrapping"/>
      </w:r>
      <w:r>
        <w:rPr>
          <w:rFonts w:ascii="Montserrat" w:cs="Montserrat" w:hAnsi="Montserrat" w:eastAsia="Montserrat"/>
          <w:rtl w:val="0"/>
          <w:lang w:val="en-US"/>
        </w:rPr>
        <w:t>This equation sums up the Net Crop Incomes for all the crops in the plot.</w:t>
      </w:r>
    </w:p>
    <w:p>
      <w:pPr>
        <w:pStyle w:val="Body"/>
        <w:ind w:left="720" w:hanging="360"/>
        <w:rPr>
          <w:rFonts w:ascii="Montserrat" w:cs="Montserrat" w:hAnsi="Montserrat" w:eastAsia="Montserrat"/>
        </w:rPr>
      </w:pPr>
    </w:p>
    <w:p>
      <w:pPr>
        <w:pStyle w:val="Body"/>
        <w:ind w:left="720" w:hanging="360"/>
        <w:rPr>
          <w:rFonts w:ascii="Montserrat" w:cs="Montserrat" w:hAnsi="Montserrat" w:eastAsia="Montserrat"/>
        </w:rPr>
      </w:pPr>
      <w:r>
        <w:rPr>
          <w:rFonts w:ascii="Montserrat" w:cs="Montserrat" w:hAnsi="Montserrat" w:eastAsia="Montserrat"/>
          <w:rtl w:val="0"/>
          <w:lang w:val="en-US"/>
        </w:rPr>
        <w:t>3. Net Livestock Income (NLI)</w:t>
      </w:r>
    </w:p>
    <w:p>
      <w:pPr>
        <w:pStyle w:val="Body"/>
        <w:ind w:left="720" w:hanging="360"/>
        <w:rPr>
          <w:rFonts w:ascii="Montserrat" w:cs="Montserrat" w:hAnsi="Montserrat" w:eastAsia="Montserrat"/>
        </w:rPr>
      </w:pPr>
      <w:r>
        <w:rPr>
          <w:rFonts w:ascii="Montserrat" w:cs="Montserrat" w:hAnsi="Montserrat" w:eastAsia="Montserrat"/>
          <w:rtl w:val="0"/>
        </w:rPr>
        <w:t xml:space="preserve"> </w:t>
      </w:r>
    </w:p>
    <w:p>
      <w:pPr>
        <w:pStyle w:val="Body"/>
        <w:ind w:left="720" w:hanging="360"/>
        <w:rPr>
          <w:rFonts w:ascii="Montserrat" w:cs="Montserrat" w:hAnsi="Montserrat" w:eastAsia="Montserrat"/>
        </w:rPr>
      </w:pPr>
      <w:r>
        <w:rPr>
          <w:rFonts w:ascii="Montserrat" w:cs="Montserrat" w:hAnsi="Montserrat" w:eastAsia="Montserrat"/>
          <w:rtl w:val="0"/>
          <w:lang w:val="en-US"/>
        </w:rPr>
        <w:t>NLI = (LivestockSold * SellingPrice + EggMilkSold * SellingPrice + ManureSold * SellingPrice) - (CostOfMaintainingLivestock)</w:t>
      </w:r>
    </w:p>
    <w:p>
      <w:pPr>
        <w:pStyle w:val="Body"/>
        <w:ind w:left="720" w:hanging="360"/>
        <w:rPr>
          <w:rFonts w:ascii="Montserrat" w:cs="Montserrat" w:hAnsi="Montserrat" w:eastAsia="Montserrat"/>
        </w:rPr>
      </w:pPr>
    </w:p>
    <w:p>
      <w:pPr>
        <w:pStyle w:val="Body"/>
        <w:spacing w:after="300"/>
        <w:ind w:left="720" w:hanging="360"/>
        <w:rPr>
          <w:rFonts w:ascii="Montserrat" w:cs="Montserrat" w:hAnsi="Montserrat" w:eastAsia="Montserrat"/>
        </w:rPr>
      </w:pPr>
      <w:r>
        <w:rPr>
          <w:rFonts w:ascii="Montserrat" w:cs="Montserrat" w:hAnsi="Montserrat" w:eastAsia="Montserrat"/>
          <w:rtl w:val="0"/>
          <w:lang w:val="en-US"/>
        </w:rPr>
        <w:t>4. Net Farmer Income (NFI): NFI = NPI + NLI</w:t>
      </w:r>
    </w:p>
    <w:p>
      <w:pPr>
        <w:pStyle w:val="Body"/>
        <w:spacing w:before="300" w:after="300" w:line="420" w:lineRule="auto"/>
        <w:jc w:val="both"/>
        <w:rPr>
          <w:rFonts w:ascii="Montserrat" w:cs="Montserrat" w:hAnsi="Montserrat" w:eastAsia="Montserrat"/>
        </w:rPr>
      </w:pPr>
      <w:r>
        <w:rPr>
          <w:rFonts w:ascii="Montserrat" w:cs="Montserrat" w:hAnsi="Montserrat" w:eastAsia="Montserrat"/>
          <w:rtl w:val="0"/>
          <w:lang w:val="en-US"/>
        </w:rPr>
        <w:t>In these equations:</w:t>
      </w:r>
    </w:p>
    <w:p>
      <w:pPr>
        <w:pStyle w:val="Body"/>
        <w:numPr>
          <w:ilvl w:val="0"/>
          <w:numId w:val="2"/>
        </w:numPr>
        <w:bidi w:val="0"/>
        <w:spacing w:before="300"/>
        <w:ind w:right="0"/>
        <w:jc w:val="left"/>
        <w:rPr>
          <w:rFonts w:ascii="Montserrat" w:cs="Montserrat" w:hAnsi="Montserrat" w:eastAsia="Montserrat"/>
          <w:rtl w:val="0"/>
          <w:lang w:val="en-US"/>
        </w:rPr>
      </w:pPr>
      <w:r>
        <w:rPr>
          <w:rFonts w:ascii="Montserrat" w:cs="Montserrat" w:hAnsi="Montserrat" w:eastAsia="Montserrat"/>
          <w:rtl w:val="0"/>
          <w:lang w:val="en-US"/>
        </w:rPr>
        <w:t>NCI_i represents the Net Crop Income for a specific crop.</w:t>
      </w:r>
    </w:p>
    <w:p>
      <w:pPr>
        <w:pStyle w:val="Body"/>
        <w:numPr>
          <w:ilvl w:val="0"/>
          <w:numId w:val="2"/>
        </w:numPr>
        <w:bidi w:val="0"/>
        <w:ind w:right="0"/>
        <w:jc w:val="left"/>
        <w:rPr>
          <w:rFonts w:ascii="Montserrat" w:cs="Montserrat" w:hAnsi="Montserrat" w:eastAsia="Montserrat"/>
          <w:rtl w:val="0"/>
          <w:lang w:val="en-US"/>
        </w:rPr>
      </w:pPr>
      <w:r>
        <w:rPr>
          <w:rFonts w:ascii="Montserrat" w:cs="Montserrat" w:hAnsi="Montserrat" w:eastAsia="Montserrat"/>
          <w:rtl w:val="0"/>
          <w:lang w:val="en-US"/>
        </w:rPr>
        <w:t>NPI represents the Net Plot Income, which is the sum of Net Crop Incomes for all crops in the plot.</w:t>
      </w:r>
    </w:p>
    <w:p>
      <w:pPr>
        <w:pStyle w:val="Body"/>
        <w:numPr>
          <w:ilvl w:val="0"/>
          <w:numId w:val="2"/>
        </w:numPr>
        <w:bidi w:val="0"/>
        <w:ind w:right="0"/>
        <w:jc w:val="left"/>
        <w:rPr>
          <w:rFonts w:ascii="Montserrat" w:cs="Montserrat" w:hAnsi="Montserrat" w:eastAsia="Montserrat"/>
          <w:rtl w:val="0"/>
          <w:lang w:val="en-US"/>
        </w:rPr>
      </w:pPr>
      <w:r>
        <w:rPr>
          <w:rFonts w:ascii="Montserrat" w:cs="Montserrat" w:hAnsi="Montserrat" w:eastAsia="Montserrat"/>
          <w:rtl w:val="0"/>
          <w:lang w:val="en-US"/>
        </w:rPr>
        <w:t>NLI represents the Net Livestock Income, which is the difference between Livestock Revenue and the Cost of Maintaining Livestock.</w:t>
      </w:r>
    </w:p>
    <w:p>
      <w:pPr>
        <w:pStyle w:val="Body"/>
        <w:numPr>
          <w:ilvl w:val="0"/>
          <w:numId w:val="2"/>
        </w:numPr>
        <w:bidi w:val="0"/>
        <w:spacing w:after="300"/>
        <w:ind w:right="0"/>
        <w:jc w:val="left"/>
        <w:rPr>
          <w:rFonts w:ascii="Montserrat" w:cs="Montserrat" w:hAnsi="Montserrat" w:eastAsia="Montserrat"/>
          <w:rtl w:val="0"/>
          <w:lang w:val="en-US"/>
        </w:rPr>
      </w:pPr>
      <w:r>
        <w:rPr>
          <w:rFonts w:ascii="Montserrat" w:cs="Montserrat" w:hAnsi="Montserrat" w:eastAsia="Montserrat"/>
          <w:rtl w:val="0"/>
          <w:lang w:val="en-US"/>
        </w:rPr>
        <w:t>NFI represents Net Farmer Income, which is the sum of Net Plot Income and Net Livestock Income.</w:t>
      </w:r>
    </w:p>
    <w:p>
      <w:pPr>
        <w:pStyle w:val="Body"/>
        <w:jc w:val="both"/>
        <w:rPr>
          <w:rFonts w:ascii="Montserrat" w:cs="Montserrat" w:hAnsi="Montserrat" w:eastAsia="Montserrat"/>
          <w:b w:val="1"/>
          <w:bCs w:val="1"/>
          <w:u w:val="single"/>
        </w:rPr>
      </w:pPr>
      <w:r>
        <w:rPr>
          <w:rFonts w:ascii="Montserrat" w:cs="Montserrat" w:hAnsi="Montserrat" w:eastAsia="Montserrat"/>
          <w:b w:val="1"/>
          <w:bCs w:val="1"/>
          <w:u w:val="single"/>
          <w:rtl w:val="0"/>
          <w:lang w:val="en-US"/>
        </w:rPr>
        <w:t>Additional Water requirement</w:t>
      </w:r>
    </w:p>
    <w:p>
      <w:pPr>
        <w:pStyle w:val="Body"/>
        <w:jc w:val="both"/>
        <w:rPr>
          <w:rFonts w:ascii="Montserrat" w:cs="Montserrat" w:hAnsi="Montserrat" w:eastAsia="Montserrat"/>
        </w:rPr>
      </w:pPr>
      <w:r>
        <w:rPr>
          <w:rFonts w:ascii="Montserrat" w:cs="Montserrat" w:hAnsi="Montserrat" w:eastAsia="Montserrat"/>
          <w:rtl w:val="0"/>
          <w:lang w:val="en-US"/>
        </w:rPr>
        <w:t xml:space="preserve">Additional water requirement is the sum of irrigation water used and the water used for livestock in addition to the rainfall.  </w:t>
      </w:r>
    </w:p>
    <w:p>
      <w:pPr>
        <w:pStyle w:val="Body"/>
        <w:jc w:val="both"/>
        <w:rPr>
          <w:rFonts w:ascii="Montserrat" w:cs="Montserrat" w:hAnsi="Montserrat" w:eastAsia="Montserrat"/>
        </w:rPr>
      </w:pPr>
      <w:r>
        <w:rPr>
          <w:rFonts w:ascii="Montserrat" w:cs="Montserrat" w:hAnsi="Montserrat" w:eastAsia="Montserrat"/>
          <w:rtl w:val="0"/>
          <w:lang w:val="en-US"/>
        </w:rPr>
        <w:t>The irrigation water required is calculated using the following formulae:</w:t>
      </w:r>
    </w:p>
    <w:p>
      <w:pPr>
        <w:pStyle w:val="Body"/>
        <w:jc w:val="both"/>
        <w:rPr>
          <w:rFonts w:ascii="Montserrat" w:cs="Montserrat" w:hAnsi="Montserrat" w:eastAsia="Montserrat"/>
        </w:rPr>
      </w:pPr>
      <w:r>
        <w:rPr>
          <w:rFonts w:ascii="Montserrat" w:cs="Montserrat" w:hAnsi="Montserrat" w:eastAsia="Montserrat"/>
          <w:rtl w:val="0"/>
          <w:lang w:val="en-US"/>
        </w:rPr>
        <w:t>In case of borewell or step well, where a motor pump is used:</w:t>
      </w:r>
    </w:p>
    <w:p>
      <w:pPr>
        <w:pStyle w:val="Body"/>
        <w:jc w:val="both"/>
        <w:rPr>
          <w:rFonts w:ascii="Montserrat" w:cs="Montserrat" w:hAnsi="Montserrat" w:eastAsia="Montserrat"/>
        </w:rPr>
      </w:pPr>
      <w:r>
        <w:rPr>
          <w:rFonts w:ascii="Montserrat" w:cs="Montserrat" w:hAnsi="Montserrat" w:eastAsia="Montserrat"/>
          <w:rtl w:val="0"/>
          <w:lang w:val="en-US"/>
        </w:rPr>
        <w:t>The irrigation water discharge, Q = Water horsepower * 3960/(0.264*TDH*SG)</w:t>
      </w:r>
    </w:p>
    <w:p>
      <w:pPr>
        <w:pStyle w:val="Body"/>
        <w:jc w:val="both"/>
        <w:rPr>
          <w:rFonts w:ascii="Montserrat" w:cs="Montserrat" w:hAnsi="Montserrat" w:eastAsia="Montserrat"/>
        </w:rPr>
      </w:pPr>
      <w:r>
        <w:rPr>
          <w:rFonts w:ascii="Montserrat" w:cs="Montserrat" w:hAnsi="Montserrat" w:eastAsia="Montserrat"/>
          <w:rtl w:val="0"/>
          <w:lang w:val="en-US"/>
        </w:rPr>
        <w:t xml:space="preserve">Where, </w:t>
      </w:r>
    </w:p>
    <w:p>
      <w:pPr>
        <w:pStyle w:val="Body"/>
        <w:jc w:val="both"/>
        <w:rPr>
          <w:rFonts w:ascii="Montserrat" w:cs="Montserrat" w:hAnsi="Montserrat" w:eastAsia="Montserrat"/>
        </w:rPr>
      </w:pPr>
      <w:r>
        <w:rPr>
          <w:rFonts w:ascii="Montserrat" w:cs="Montserrat" w:hAnsi="Montserrat" w:eastAsia="Montserrat"/>
          <w:rtl w:val="0"/>
          <w:lang w:val="en-US"/>
        </w:rPr>
        <w:t>Q is water discharge in Litres per minute</w:t>
      </w:r>
    </w:p>
    <w:p>
      <w:pPr>
        <w:pStyle w:val="Body"/>
        <w:jc w:val="both"/>
        <w:rPr>
          <w:rFonts w:ascii="Montserrat" w:cs="Montserrat" w:hAnsi="Montserrat" w:eastAsia="Montserrat"/>
        </w:rPr>
      </w:pPr>
      <w:r>
        <w:rPr>
          <w:rFonts w:ascii="Montserrat" w:cs="Montserrat" w:hAnsi="Montserrat" w:eastAsia="Montserrat"/>
          <w:rtl w:val="0"/>
          <w:lang w:val="en-US"/>
        </w:rPr>
        <w:t>Water horsepower is the motor HP</w:t>
      </w:r>
    </w:p>
    <w:p>
      <w:pPr>
        <w:pStyle w:val="Body"/>
        <w:jc w:val="both"/>
        <w:rPr>
          <w:rFonts w:ascii="Montserrat" w:cs="Montserrat" w:hAnsi="Montserrat" w:eastAsia="Montserrat"/>
        </w:rPr>
      </w:pPr>
      <w:r>
        <w:rPr>
          <w:rFonts w:ascii="Montserrat" w:cs="Montserrat" w:hAnsi="Montserrat" w:eastAsia="Montserrat"/>
          <w:rtl w:val="0"/>
          <w:lang w:val="en-US"/>
        </w:rPr>
        <w:t>TDH is the depth of the borewell in ft</w:t>
      </w:r>
    </w:p>
    <w:p>
      <w:pPr>
        <w:pStyle w:val="Body"/>
        <w:jc w:val="both"/>
        <w:rPr>
          <w:rFonts w:ascii="Montserrat" w:cs="Montserrat" w:hAnsi="Montserrat" w:eastAsia="Montserrat"/>
        </w:rPr>
      </w:pPr>
      <w:r>
        <w:rPr>
          <w:rFonts w:ascii="Montserrat" w:cs="Montserrat" w:hAnsi="Montserrat" w:eastAsia="Montserrat"/>
          <w:rtl w:val="0"/>
          <w:lang w:val="en-US"/>
        </w:rPr>
        <w:t xml:space="preserve">And SG is the specific gravity of water, that is 1. </w:t>
      </w:r>
    </w:p>
    <w:p>
      <w:pPr>
        <w:pStyle w:val="Body"/>
        <w:jc w:val="both"/>
        <w:rPr>
          <w:rFonts w:ascii="Montserrat" w:cs="Montserrat" w:hAnsi="Montserrat" w:eastAsia="Montserrat"/>
        </w:rPr>
      </w:pPr>
      <w:r>
        <w:rPr>
          <w:rFonts w:ascii="Montserrat" w:cs="Montserrat" w:hAnsi="Montserrat" w:eastAsia="Montserrat"/>
          <w:rtl w:val="0"/>
          <w:lang w:val="en-US"/>
        </w:rPr>
        <w:t>The annual water demand for the entire herd reported by farmers is recorded as the livestock water requirement.</w:t>
      </w:r>
    </w:p>
    <w:p>
      <w:pPr>
        <w:pStyle w:val="Body"/>
        <w:jc w:val="both"/>
        <w:rPr>
          <w:rFonts w:ascii="Montserrat" w:cs="Montserrat" w:hAnsi="Montserrat" w:eastAsia="Montserrat"/>
        </w:rPr>
      </w:pPr>
    </w:p>
    <w:p>
      <w:pPr>
        <w:pStyle w:val="Body"/>
        <w:jc w:val="both"/>
        <w:rPr>
          <w:rFonts w:ascii="Montserrat" w:cs="Montserrat" w:hAnsi="Montserrat" w:eastAsia="Montserrat"/>
        </w:rPr>
      </w:pPr>
      <w:r>
        <w:rPr>
          <w:rFonts w:ascii="Montserrat" w:cs="Montserrat" w:hAnsi="Montserrat" w:eastAsia="Montserrat"/>
          <w:b w:val="1"/>
          <w:bCs w:val="1"/>
          <w:u w:val="single"/>
          <w:rtl w:val="0"/>
          <w:lang w:val="en-US"/>
        </w:rPr>
        <w:t>Accumulated Carbon sequestered</w:t>
      </w:r>
    </w:p>
    <w:p>
      <w:pPr>
        <w:pStyle w:val="Body"/>
        <w:jc w:val="both"/>
        <w:rPr>
          <w:rFonts w:ascii="Montserrat" w:cs="Montserrat" w:hAnsi="Montserrat" w:eastAsia="Montserrat"/>
        </w:rPr>
      </w:pPr>
      <w:r>
        <w:rPr>
          <w:rFonts w:ascii="Montserrat" w:cs="Montserrat" w:hAnsi="Montserrat" w:eastAsia="Montserrat"/>
          <w:rtl w:val="0"/>
          <w:lang w:val="en-US"/>
        </w:rPr>
        <w:t>For carbon, both Soil Organic Carbon and biomass carbon are estimated.</w:t>
      </w:r>
    </w:p>
    <w:p>
      <w:pPr>
        <w:pStyle w:val="Body"/>
        <w:jc w:val="both"/>
        <w:rPr>
          <w:rStyle w:val="None"/>
          <w:rFonts w:ascii="Montserrat" w:cs="Montserrat" w:hAnsi="Montserrat" w:eastAsia="Montserrat"/>
          <w:u w:val="single"/>
        </w:rPr>
      </w:pPr>
      <w:r>
        <w:rPr>
          <w:rStyle w:val="Hyperlink.0"/>
        </w:rPr>
        <w:fldChar w:fldCharType="begin" w:fldLock="0"/>
      </w:r>
      <w:r>
        <w:rPr>
          <w:rStyle w:val="Hyperlink.0"/>
        </w:rPr>
        <w:instrText xml:space="preserve"> HYPERLINK "https://www.agric.wa.gov.au/soil-carbon/measuring-and-reporting-soil-organic-carbon"</w:instrText>
      </w:r>
      <w:r>
        <w:rPr>
          <w:rStyle w:val="Hyperlink.0"/>
        </w:rPr>
        <w:fldChar w:fldCharType="separate" w:fldLock="0"/>
      </w:r>
      <w:r>
        <w:rPr>
          <w:rStyle w:val="Hyperlink.0"/>
          <w:rtl w:val="0"/>
          <w:lang w:val="en-US"/>
        </w:rPr>
        <w:t>Soil Organic Carbon</w:t>
      </w:r>
      <w:r>
        <w:rPr/>
        <w:fldChar w:fldCharType="end" w:fldLock="0"/>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The soil organic carbon (in tonnes per acre) is estimated using the formula:</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Carbon sequestered (Soil) in tonnes per acre = (SOC %* bulk density of fine particles*depth of the core(30 cm)*0.1* 4.047*10^7)/ 10^6</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Carbon sequestered (Soil) in tonnes = Area in hectares*Depth in meters*Bulk density in grams per cubic meter*(SoC%/100)*0.0001</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 xml:space="preserve">The SOC% and bulk density are measured with the help of the soil lab in GKVK extension campus in Chintamani. </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Following methodology is adopted for the collection of soil samples:</w:t>
      </w:r>
    </w:p>
    <w:p>
      <w:pPr>
        <w:pStyle w:val="Body"/>
        <w:rPr>
          <w:rStyle w:val="None"/>
          <w:rFonts w:ascii="Montserrat" w:cs="Montserrat" w:hAnsi="Montserrat" w:eastAsia="Montserrat"/>
        </w:rPr>
      </w:pPr>
      <w:r>
        <w:rPr>
          <w:rStyle w:val="None"/>
          <w:rFonts w:ascii="Montserrat" w:cs="Montserrat" w:hAnsi="Montserrat" w:eastAsia="Montserrat"/>
          <w:rtl w:val="0"/>
          <w:lang w:val="en-US"/>
        </w:rPr>
        <w:t xml:space="preserve">Step 1. For taking one sample: Use the soil augur and ensure the soil is collected from 30 cm depth and ensure no soil is lost from the cylliner. Clean the soil core after one sample. </w:t>
      </w:r>
    </w:p>
    <w:p>
      <w:pPr>
        <w:pStyle w:val="Body"/>
        <w:rPr>
          <w:rStyle w:val="None"/>
          <w:rFonts w:ascii="Montserrat" w:cs="Montserrat" w:hAnsi="Montserrat" w:eastAsia="Montserrat"/>
        </w:rPr>
      </w:pPr>
      <w:r>
        <w:rPr>
          <w:rStyle w:val="None"/>
          <w:rFonts w:ascii="Montserrat" w:cs="Montserrat" w:hAnsi="Montserrat" w:eastAsia="Montserrat"/>
          <w:rtl w:val="0"/>
          <w:lang w:val="en-US"/>
        </w:rPr>
        <w:t>Step 2. Take 5 such soil samples from 5 places in the plot ( 4 corners and the middle) for less than 3 acres and 10 soil samples if more than 3 acres</w:t>
      </w:r>
    </w:p>
    <w:p>
      <w:pPr>
        <w:pStyle w:val="Body"/>
        <w:rPr>
          <w:rStyle w:val="None"/>
          <w:rFonts w:ascii="Montserrat" w:cs="Montserrat" w:hAnsi="Montserrat" w:eastAsia="Montserrat"/>
        </w:rPr>
      </w:pPr>
      <w:r>
        <w:rPr>
          <w:rStyle w:val="None"/>
          <w:rFonts w:ascii="Montserrat" w:cs="Montserrat" w:hAnsi="Montserrat" w:eastAsia="Montserrat"/>
          <w:rtl w:val="0"/>
          <w:lang w:val="en-US"/>
        </w:rPr>
        <w:t>Step 3. Mix all the samples well and remove the pebbles and external materials</w:t>
      </w:r>
    </w:p>
    <w:p>
      <w:pPr>
        <w:pStyle w:val="Body"/>
        <w:rPr>
          <w:rStyle w:val="None"/>
          <w:rFonts w:ascii="Montserrat" w:cs="Montserrat" w:hAnsi="Montserrat" w:eastAsia="Montserrat"/>
        </w:rPr>
      </w:pPr>
      <w:r>
        <w:rPr>
          <w:rStyle w:val="None"/>
          <w:rFonts w:ascii="Montserrat" w:cs="Montserrat" w:hAnsi="Montserrat" w:eastAsia="Montserrat"/>
          <w:rtl w:val="0"/>
          <w:lang w:val="en-US"/>
        </w:rPr>
        <w:t>Step 4. Take 500 grams of sub sample by taking random samples from the mixed sample</w:t>
      </w:r>
    </w:p>
    <w:p>
      <w:pPr>
        <w:pStyle w:val="Body"/>
        <w:rPr>
          <w:rStyle w:val="None"/>
          <w:rFonts w:ascii="Montserrat" w:cs="Montserrat" w:hAnsi="Montserrat" w:eastAsia="Montserrat"/>
        </w:rPr>
      </w:pPr>
      <w:r>
        <w:rPr>
          <w:rStyle w:val="None"/>
          <w:rFonts w:ascii="Montserrat" w:cs="Montserrat" w:hAnsi="Montserrat" w:eastAsia="Montserrat"/>
          <w:rtl w:val="0"/>
          <w:lang w:val="en-US"/>
        </w:rPr>
        <w:t>Step 5. Put it in the plastic cover and stick / add a label with plot ID.</w:t>
      </w:r>
    </w:p>
    <w:p>
      <w:pPr>
        <w:pStyle w:val="Body"/>
        <w:rPr>
          <w:rStyle w:val="None"/>
          <w:rFonts w:ascii="Montserrat" w:cs="Montserrat" w:hAnsi="Montserrat" w:eastAsia="Montserrat"/>
        </w:rPr>
      </w:pPr>
      <w:r>
        <w:rPr>
          <w:rStyle w:val="None"/>
          <w:rFonts w:ascii="Montserrat" w:cs="Montserrat" w:hAnsi="Montserrat" w:eastAsia="Montserrat"/>
          <w:rtl w:val="0"/>
          <w:lang w:val="en-US"/>
        </w:rPr>
        <w:t>Step 6. Close the cover airtight by tying</w:t>
      </w:r>
    </w:p>
    <w:p>
      <w:pPr>
        <w:pStyle w:val="Body"/>
        <w:rPr>
          <w:rStyle w:val="None"/>
          <w:rFonts w:ascii="Montserrat" w:cs="Montserrat" w:hAnsi="Montserrat" w:eastAsia="Montserrat"/>
        </w:rPr>
      </w:pPr>
      <w:r>
        <w:rPr>
          <w:rStyle w:val="None"/>
          <w:rFonts w:ascii="Montserrat" w:cs="Montserrat" w:hAnsi="Montserrat" w:eastAsia="Montserrat"/>
        </w:rPr>
        <w:drawing xmlns:a="http://schemas.openxmlformats.org/drawingml/2006/main">
          <wp:inline distT="0" distB="0" distL="0" distR="0">
            <wp:extent cx="5943600" cy="2755900"/>
            <wp:effectExtent l="0" t="0" r="0" b="0"/>
            <wp:docPr id="1073741825" name="officeArt object" descr="image3.png"/>
            <wp:cNvGraphicFramePr/>
            <a:graphic xmlns:a="http://schemas.openxmlformats.org/drawingml/2006/main">
              <a:graphicData uri="http://schemas.openxmlformats.org/drawingml/2006/picture">
                <pic:pic xmlns:pic="http://schemas.openxmlformats.org/drawingml/2006/picture">
                  <pic:nvPicPr>
                    <pic:cNvPr id="1073741825" name="image3.png" descr="image3.png"/>
                    <pic:cNvPicPr>
                      <a:picLocks noChangeAspect="1"/>
                    </pic:cNvPicPr>
                  </pic:nvPicPr>
                  <pic:blipFill>
                    <a:blip r:embed="rId4">
                      <a:extLst/>
                    </a:blip>
                    <a:stretch>
                      <a:fillRect/>
                    </a:stretch>
                  </pic:blipFill>
                  <pic:spPr>
                    <a:xfrm>
                      <a:off x="0" y="0"/>
                      <a:ext cx="5943600" cy="2755900"/>
                    </a:xfrm>
                    <a:prstGeom prst="rect">
                      <a:avLst/>
                    </a:prstGeom>
                    <a:ln w="12700" cap="flat">
                      <a:noFill/>
                      <a:miter lim="400000"/>
                    </a:ln>
                    <a:effectLst/>
                  </pic:spPr>
                </pic:pic>
              </a:graphicData>
            </a:graphic>
          </wp:inline>
        </w:drawing>
      </w:r>
    </w:p>
    <w:p>
      <w:pPr>
        <w:pStyle w:val="Body"/>
        <w:rPr>
          <w:rStyle w:val="None"/>
          <w:rFonts w:ascii="Montserrat" w:cs="Montserrat" w:hAnsi="Montserrat" w:eastAsia="Montserrat"/>
        </w:rPr>
      </w:pPr>
    </w:p>
    <w:p>
      <w:pPr>
        <w:pStyle w:val="Body"/>
        <w:rPr>
          <w:rStyle w:val="None"/>
          <w:rFonts w:ascii="Montserrat" w:cs="Montserrat" w:hAnsi="Montserrat" w:eastAsia="Montserrat"/>
        </w:rPr>
      </w:pPr>
      <w:r>
        <w:rPr>
          <w:rStyle w:val="None"/>
          <w:rFonts w:ascii="Montserrat" w:cs="Montserrat" w:hAnsi="Montserrat" w:eastAsia="Montserrat"/>
          <w:b w:val="1"/>
          <w:bCs w:val="1"/>
          <w:rtl w:val="0"/>
          <w:lang w:val="en-US"/>
        </w:rPr>
        <w:t>Fig A2: Soil sampling methodology</w:t>
      </w:r>
    </w:p>
    <w:p>
      <w:pPr>
        <w:pStyle w:val="Body"/>
        <w:jc w:val="both"/>
        <w:rPr>
          <w:rStyle w:val="None"/>
          <w:rFonts w:ascii="Montserrat" w:cs="Montserrat" w:hAnsi="Montserrat" w:eastAsia="Montserrat"/>
        </w:rPr>
      </w:pPr>
    </w:p>
    <w:p>
      <w:pPr>
        <w:pStyle w:val="Body"/>
        <w:jc w:val="both"/>
        <w:rPr>
          <w:rStyle w:val="None"/>
          <w:rFonts w:ascii="Montserrat" w:cs="Montserrat" w:hAnsi="Montserrat" w:eastAsia="Montserrat"/>
        </w:rPr>
      </w:pPr>
      <w:r>
        <w:rPr>
          <w:rStyle w:val="None"/>
          <w:rFonts w:ascii="Montserrat" w:cs="Montserrat" w:hAnsi="Montserrat" w:eastAsia="Montserrat"/>
          <w:u w:val="single"/>
          <w:rtl w:val="0"/>
          <w:lang w:val="en-US"/>
        </w:rPr>
        <w:t>Biomass carbon measurement</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 xml:space="preserve">The above and below ground biomass carbon is estimated using volumetric equations for each species. </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 xml:space="preserve">For example, if V = a + bDH is the species-specific equation, the following parameters of the trees need to be measured. </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D, Diameter need to measure at 1.3m above the ground (this is called the Girth at breast height or GBH)</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 xml:space="preserve">It is done for trees &gt; 10cm GBH (&gt; 3-4 cm diameter) (girth at breast height) </w:t>
      </w:r>
      <w:r>
        <w:rPr>
          <w:rStyle w:val="None"/>
          <w:rFonts w:ascii="Montserrat" w:cs="Montserrat" w:hAnsi="Montserrat" w:eastAsia="Montserrat"/>
          <w:rtl w:val="0"/>
          <w:lang w:val="en-US"/>
        </w:rPr>
        <w:t xml:space="preserve">– </w:t>
      </w:r>
      <w:r>
        <w:rPr>
          <w:rStyle w:val="None"/>
          <w:rFonts w:ascii="Montserrat" w:cs="Montserrat" w:hAnsi="Montserrat" w:eastAsia="Montserrat"/>
          <w:rtl w:val="0"/>
          <w:lang w:val="en-US"/>
        </w:rPr>
        <w:t xml:space="preserve">above-ground biomass for woody vegetation </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 xml:space="preserve">WD, Wood density (g/cubic cm) = Usually 0.5-0.6 (species-specific) </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 xml:space="preserve">AGB, Above-ground biomass = V x WD </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 xml:space="preserve">Root-to-shoot ratio = BGB/AGB; usually  0.2-0.3 (species-specific) </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 xml:space="preserve">BGB (roots etc.) = Root-to-shoot ratio x AGB Total biomass </w:t>
      </w: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 xml:space="preserve">Total Biomass carbon = (AGB+BGB)* 0.5 If the stems are &gt; 10 cm girth, and there are multiple stems originating below 1.3 m , then girths of all branches need to be measured. </w:t>
      </w:r>
    </w:p>
    <w:p>
      <w:pPr>
        <w:pStyle w:val="Body"/>
        <w:jc w:val="both"/>
        <w:rPr>
          <w:rStyle w:val="None"/>
          <w:rFonts w:ascii="Montserrat" w:cs="Montserrat" w:hAnsi="Montserrat" w:eastAsia="Montserrat"/>
        </w:rPr>
      </w:pPr>
    </w:p>
    <w:p>
      <w:pPr>
        <w:pStyle w:val="Body"/>
        <w:jc w:val="both"/>
        <w:rPr>
          <w:rStyle w:val="None"/>
          <w:rFonts w:ascii="Montserrat" w:cs="Montserrat" w:hAnsi="Montserrat" w:eastAsia="Montserrat"/>
        </w:rPr>
      </w:pPr>
      <w:r>
        <w:rPr>
          <w:rStyle w:val="None"/>
          <w:rFonts w:ascii="Montserrat" w:cs="Montserrat" w:hAnsi="Montserrat" w:eastAsia="Montserrat"/>
          <w:rtl w:val="0"/>
          <w:lang w:val="en-US"/>
        </w:rPr>
        <w:t>Following is the methodology adopted for biomass girth and height measurements:</w:t>
      </w:r>
    </w:p>
    <w:p>
      <w:pPr>
        <w:pStyle w:val="Body"/>
        <w:rPr>
          <w:rStyle w:val="None"/>
          <w:rFonts w:ascii="Montserrat" w:cs="Montserrat" w:hAnsi="Montserrat" w:eastAsia="Montserrat"/>
        </w:rPr>
      </w:pPr>
      <w:r>
        <w:rPr>
          <w:rStyle w:val="None"/>
          <w:rFonts w:ascii="Montserrat" w:cs="Montserrat" w:hAnsi="Montserrat" w:eastAsia="Montserrat"/>
          <w:rtl w:val="0"/>
          <w:lang w:val="en-US"/>
        </w:rPr>
        <w:t xml:space="preserve">Step 1: If it is a plantation, do tree measurements only in a sample plot. </w:t>
      </w:r>
    </w:p>
    <w:p>
      <w:pPr>
        <w:pStyle w:val="Body"/>
        <w:rPr>
          <w:rStyle w:val="None"/>
          <w:rFonts w:ascii="Montserrat" w:cs="Montserrat" w:hAnsi="Montserrat" w:eastAsia="Montserrat"/>
        </w:rPr>
      </w:pPr>
      <w:r>
        <w:rPr>
          <w:rStyle w:val="None"/>
          <w:rFonts w:ascii="Montserrat" w:cs="Montserrat" w:hAnsi="Montserrat" w:eastAsia="Montserrat"/>
          <w:rtl w:val="0"/>
          <w:lang w:val="en-US"/>
        </w:rPr>
        <w:t xml:space="preserve">Sample plot can be 30*30 m area if the plot size is less than 3 acres and 50m*50m if the plot size is more than 3 acres. Ensure all tree species are covered in one sample plot. </w:t>
      </w:r>
    </w:p>
    <w:p>
      <w:pPr>
        <w:pStyle w:val="Body"/>
        <w:rPr>
          <w:rStyle w:val="None"/>
          <w:rFonts w:ascii="Montserrat" w:cs="Montserrat" w:hAnsi="Montserrat" w:eastAsia="Montserrat"/>
        </w:rPr>
      </w:pPr>
      <w:r>
        <w:rPr>
          <w:rStyle w:val="None"/>
          <w:rFonts w:ascii="Montserrat" w:cs="Montserrat" w:hAnsi="Montserrat" w:eastAsia="Montserrat"/>
          <w:rtl w:val="0"/>
          <w:lang w:val="en-US"/>
        </w:rPr>
        <w:t>Step 2: Take Tree diameter at 1.3 meter height ( Use 1.3 m PVC pipe and measuring tape for the same).</w:t>
      </w:r>
    </w:p>
    <w:p>
      <w:pPr>
        <w:pStyle w:val="Body"/>
        <w:rPr>
          <w:rStyle w:val="Hyperlink.1"/>
        </w:rPr>
      </w:pPr>
      <w:r>
        <w:rPr>
          <w:rStyle w:val="None"/>
          <w:rFonts w:ascii="Montserrat" w:cs="Montserrat" w:hAnsi="Montserrat" w:eastAsia="Montserrat"/>
          <w:rtl w:val="0"/>
          <w:lang w:val="en-US"/>
        </w:rPr>
        <w:t xml:space="preserve">Step 3: Measure the height of the tree either using the 5 m length stick or </w:t>
      </w:r>
      <w:r>
        <w:rPr>
          <w:rStyle w:val="Hyperlink.1"/>
        </w:rPr>
        <w:fldChar w:fldCharType="begin" w:fldLock="0"/>
      </w:r>
      <w:r>
        <w:rPr>
          <w:rStyle w:val="Hyperlink.1"/>
        </w:rPr>
        <w:instrText xml:space="preserve"> HYPERLINK "https://www.libertymissouri.gov/DocumentCenter/View/19783/Measuring-for-the-Champion-Tree%23:~:text=Now,%252520without%252520moving%252520the%252520yardstick,the%252520height%252520of%252520the%252520tree."</w:instrText>
      </w:r>
      <w:r>
        <w:rPr>
          <w:rStyle w:val="Hyperlink.1"/>
        </w:rPr>
        <w:fldChar w:fldCharType="separate" w:fldLock="0"/>
      </w:r>
      <w:r>
        <w:rPr>
          <w:rStyle w:val="Hyperlink.1"/>
          <w:rtl w:val="0"/>
          <w:lang w:val="en-US"/>
        </w:rPr>
        <w:t xml:space="preserve">yardstick method </w:t>
      </w:r>
      <w:r>
        <w:rPr/>
        <w:fldChar w:fldCharType="end" w:fldLock="0"/>
      </w:r>
    </w:p>
    <w:p>
      <w:pPr>
        <w:pStyle w:val="Body"/>
        <w:rPr>
          <w:rStyle w:val="Hyperlink.1"/>
        </w:rPr>
      </w:pPr>
      <w:r>
        <w:rPr>
          <w:rStyle w:val="Hyperlink.1"/>
          <w:rtl w:val="0"/>
          <w:lang w:val="en-US"/>
        </w:rPr>
        <w:t xml:space="preserve">Step 4: Note down all measurements </w:t>
      </w:r>
    </w:p>
    <w:p>
      <w:pPr>
        <w:pStyle w:val="Body"/>
      </w:pPr>
      <w:r>
        <w:rPr>
          <w:rStyle w:val="Hyperlink.1"/>
          <w:rtl w:val="0"/>
          <w:lang w:val="en-US"/>
        </w:rPr>
        <w:t>Step 5: Note down plot details including plot location, sample location, plot area, sample plot area etc</w:t>
      </w:r>
    </w:p>
    <w:p>
      <w:pPr>
        <w:pStyle w:val="Heading 3"/>
        <w:rPr>
          <w:rStyle w:val="None"/>
          <w:rFonts w:ascii="Josefin Sans" w:cs="Josefin Sans" w:hAnsi="Josefin Sans" w:eastAsia="Josefin Sans"/>
          <w:outline w:val="0"/>
          <w:color w:val="000000"/>
          <w:sz w:val="24"/>
          <w:szCs w:val="24"/>
          <w:u w:color="000000"/>
          <w14:textFill>
            <w14:solidFill>
              <w14:srgbClr w14:val="000000"/>
            </w14:solidFill>
          </w14:textFill>
        </w:rPr>
      </w:pPr>
      <w:bookmarkStart w:name="_n2zr" w:id="6"/>
      <w:bookmarkEnd w:id="6"/>
      <w:r>
        <w:rPr>
          <w:rStyle w:val="None"/>
          <w:rFonts w:cs="Arial Unicode MS" w:eastAsia="Arial Unicode MS"/>
          <w:rtl w:val="0"/>
        </w:rPr>
        <w:t>A</w:t>
      </w:r>
      <w:r>
        <w:rPr>
          <w:rStyle w:val="None"/>
          <w:rFonts w:cs="Arial Unicode MS" w:eastAsia="Arial Unicode MS"/>
          <w:rtl w:val="0"/>
          <w:lang w:val="en-US"/>
        </w:rPr>
        <w:t>nnexure 2A: Farm-scale trade of assessment tool - User guidelines</w:t>
      </w:r>
    </w:p>
    <w:p>
      <w:pPr>
        <w:pStyle w:val="Body"/>
        <w:rPr>
          <w:rStyle w:val="Hyperlink.1"/>
        </w:rPr>
      </w:pPr>
      <w:r>
        <w:rPr>
          <w:rStyle w:val="Hyperlink.1"/>
          <w:rtl w:val="0"/>
          <w:lang w:val="en-US"/>
        </w:rPr>
        <w:t xml:space="preserve">The proposed tool framework is developed to an excel based tool. The steps given here can be followed by the user for effective use of the farm-scale trade off assessment tool. </w:t>
      </w:r>
    </w:p>
    <w:p>
      <w:pPr>
        <w:pStyle w:val="Body"/>
        <w:rPr>
          <w:rStyle w:val="Hyperlink.1"/>
        </w:rPr>
      </w:pPr>
      <w:r>
        <w:rPr>
          <w:rStyle w:val="Hyperlink.1"/>
          <w:rtl w:val="0"/>
          <w:lang w:val="en-US"/>
        </w:rPr>
        <w:t xml:space="preserve">Tool prototype link: </w:t>
      </w:r>
      <w:r>
        <w:rPr>
          <w:rStyle w:val="Hyperlink.2"/>
        </w:rPr>
        <w:fldChar w:fldCharType="begin" w:fldLock="0"/>
      </w:r>
      <w:r>
        <w:rPr>
          <w:rStyle w:val="Hyperlink.2"/>
        </w:rPr>
        <w:instrText xml:space="preserve"> HYPERLINK "https://docs.google.com/spreadsheets/d/1BwOaWouxIQ2RhuseY5ePLIdIoD5ZyWNESbs2aDwZNgk/edit?usp=sharing"</w:instrText>
      </w:r>
      <w:r>
        <w:rPr>
          <w:rStyle w:val="Hyperlink.2"/>
        </w:rPr>
        <w:fldChar w:fldCharType="separate" w:fldLock="0"/>
      </w:r>
      <w:r>
        <w:rPr>
          <w:rStyle w:val="Hyperlink.2"/>
          <w:rtl w:val="0"/>
        </w:rPr>
        <w:t>TransFarm Prototype V1.0</w:t>
      </w:r>
      <w:r>
        <w:rPr/>
        <w:fldChar w:fldCharType="end" w:fldLock="0"/>
      </w:r>
      <w:r>
        <w:rPr>
          <w:rStyle w:val="Hyperlink.1"/>
          <w:rtl w:val="0"/>
          <w:lang w:val="en-US"/>
        </w:rPr>
        <w:t xml:space="preserve"> and </w:t>
      </w:r>
      <w:r>
        <w:rPr>
          <w:rStyle w:val="Hyperlink.0"/>
        </w:rPr>
        <w:fldChar w:fldCharType="begin" w:fldLock="0"/>
      </w:r>
      <w:r>
        <w:rPr>
          <w:rStyle w:val="Hyperlink.0"/>
        </w:rPr>
        <w:instrText xml:space="preserve"> HYPERLINK "https://doi.org/10.5281/zenodo.15494218"</w:instrText>
      </w:r>
      <w:r>
        <w:rPr>
          <w:rStyle w:val="Hyperlink.0"/>
        </w:rPr>
        <w:fldChar w:fldCharType="separate" w:fldLock="0"/>
      </w:r>
      <w:r>
        <w:rPr>
          <w:rStyle w:val="Hyperlink.0"/>
          <w:rtl w:val="0"/>
        </w:rPr>
        <w:t>https://doi.org/10.5281/zenodo.15494218</w:t>
      </w:r>
      <w:r>
        <w:rPr/>
        <w:fldChar w:fldCharType="end" w:fldLock="0"/>
      </w:r>
    </w:p>
    <w:p>
      <w:pPr>
        <w:pStyle w:val="Body"/>
        <w:rPr>
          <w:rStyle w:val="None"/>
          <w:outline w:val="0"/>
          <w:color w:val="434343"/>
          <w:sz w:val="28"/>
          <w:szCs w:val="28"/>
          <w:u w:color="434343"/>
          <w14:textFill>
            <w14:solidFill>
              <w14:srgbClr w14:val="434343"/>
            </w14:solidFill>
          </w14:textFill>
        </w:rPr>
      </w:pPr>
      <w:r>
        <w:rPr>
          <w:rStyle w:val="None"/>
          <w:outline w:val="0"/>
          <w:color w:val="434343"/>
          <w:sz w:val="28"/>
          <w:szCs w:val="28"/>
          <w:u w:color="434343"/>
          <w14:textFill>
            <w14:solidFill>
              <w14:srgbClr w14:val="434343"/>
            </w14:solidFill>
          </w14:textFill>
        </w:rPr>
        <w:drawing xmlns:a="http://schemas.openxmlformats.org/drawingml/2006/main">
          <wp:inline distT="0" distB="0" distL="0" distR="0">
            <wp:extent cx="5017730" cy="3397614"/>
            <wp:effectExtent l="0" t="0" r="0" b="0"/>
            <wp:docPr id="1073741826" name="officeArt object" descr="image7.png"/>
            <wp:cNvGraphicFramePr/>
            <a:graphic xmlns:a="http://schemas.openxmlformats.org/drawingml/2006/main">
              <a:graphicData uri="http://schemas.openxmlformats.org/drawingml/2006/picture">
                <pic:pic xmlns:pic="http://schemas.openxmlformats.org/drawingml/2006/picture">
                  <pic:nvPicPr>
                    <pic:cNvPr id="1073741826" name="image7.png" descr="image7.png"/>
                    <pic:cNvPicPr>
                      <a:picLocks noChangeAspect="1"/>
                    </pic:cNvPicPr>
                  </pic:nvPicPr>
                  <pic:blipFill>
                    <a:blip r:embed="rId5">
                      <a:extLst/>
                    </a:blip>
                    <a:stretch>
                      <a:fillRect/>
                    </a:stretch>
                  </pic:blipFill>
                  <pic:spPr>
                    <a:xfrm>
                      <a:off x="0" y="0"/>
                      <a:ext cx="5017730" cy="3397614"/>
                    </a:xfrm>
                    <a:prstGeom prst="rect">
                      <a:avLst/>
                    </a:prstGeom>
                    <a:ln w="12700" cap="flat">
                      <a:noFill/>
                      <a:miter lim="400000"/>
                    </a:ln>
                    <a:effectLst/>
                  </pic:spPr>
                </pic:pic>
              </a:graphicData>
            </a:graphic>
          </wp:inline>
        </w:drawing>
      </w:r>
    </w:p>
    <w:p>
      <w:pPr>
        <w:pStyle w:val="Body"/>
        <w:rPr>
          <w:rStyle w:val="None"/>
          <w:outline w:val="0"/>
          <w:color w:val="434343"/>
          <w:sz w:val="28"/>
          <w:szCs w:val="28"/>
          <w:u w:color="434343"/>
          <w14:textFill>
            <w14:solidFill>
              <w14:srgbClr w14:val="434343"/>
            </w14:solidFill>
          </w14:textFill>
        </w:rPr>
      </w:pPr>
      <w:r>
        <w:rPr>
          <w:rStyle w:val="None"/>
          <w:rFonts w:ascii="Montserrat" w:cs="Montserrat" w:hAnsi="Montserrat" w:eastAsia="Montserrat"/>
          <w:b w:val="1"/>
          <w:bCs w:val="1"/>
          <w:rtl w:val="0"/>
          <w:lang w:val="en-US"/>
        </w:rPr>
        <w:t>Fig A3: Tool input interface</w:t>
      </w:r>
    </w:p>
    <w:p>
      <w:pPr>
        <w:pStyle w:val="Body"/>
        <w:rPr>
          <w:rStyle w:val="Hyperlink.1"/>
        </w:rPr>
      </w:pPr>
      <w:r>
        <w:rPr>
          <w:rStyle w:val="Hyperlink.1"/>
          <w:rtl w:val="0"/>
          <w:lang w:val="en-US"/>
        </w:rPr>
        <w:t>Step 1: Input the values or select from drop downs in yellow highlighted cells for baseline farm design</w:t>
      </w:r>
    </w:p>
    <w:p>
      <w:pPr>
        <w:pStyle w:val="Body"/>
        <w:numPr>
          <w:ilvl w:val="0"/>
          <w:numId w:val="4"/>
        </w:numPr>
        <w:bidi w:val="0"/>
        <w:ind w:right="0"/>
        <w:jc w:val="left"/>
        <w:rPr>
          <w:rFonts w:ascii="Montserrat" w:cs="Montserrat" w:hAnsi="Montserrat" w:eastAsia="Montserrat"/>
          <w:rtl w:val="0"/>
          <w:lang w:val="en-US"/>
        </w:rPr>
      </w:pPr>
      <w:r>
        <w:rPr>
          <w:rStyle w:val="None"/>
          <w:rFonts w:ascii="Montserrat" w:cs="Montserrat" w:hAnsi="Montserrat" w:eastAsia="Montserrat"/>
          <w:rtl w:val="0"/>
          <w:lang w:val="en-US"/>
        </w:rPr>
        <w:t xml:space="preserve"> Farmer level information like farmer landholding, plot size, irrigation source and irrigation methods need to be filled in.</w:t>
      </w:r>
    </w:p>
    <w:p>
      <w:pPr>
        <w:pStyle w:val="Body"/>
        <w:numPr>
          <w:ilvl w:val="0"/>
          <w:numId w:val="4"/>
        </w:numPr>
        <w:bidi w:val="0"/>
        <w:ind w:right="0"/>
        <w:jc w:val="left"/>
        <w:rPr>
          <w:rFonts w:ascii="Montserrat" w:cs="Montserrat" w:hAnsi="Montserrat" w:eastAsia="Montserrat"/>
          <w:rtl w:val="0"/>
          <w:lang w:val="en-US"/>
        </w:rPr>
      </w:pPr>
      <w:r>
        <w:rPr>
          <w:rStyle w:val="None"/>
          <w:rFonts w:ascii="Montserrat" w:cs="Montserrat" w:hAnsi="Montserrat" w:eastAsia="Montserrat"/>
          <w:rtl w:val="0"/>
          <w:lang w:val="en-US"/>
        </w:rPr>
        <w:t>Crop details needs to be filled in for all the crops in the plot including  crop type, age, season, tree density, area %, crop residue use and crop loss % ( expected)</w:t>
      </w:r>
    </w:p>
    <w:p>
      <w:pPr>
        <w:pStyle w:val="Body"/>
        <w:numPr>
          <w:ilvl w:val="0"/>
          <w:numId w:val="4"/>
        </w:numPr>
        <w:bidi w:val="0"/>
        <w:ind w:right="0"/>
        <w:jc w:val="left"/>
        <w:rPr>
          <w:rFonts w:ascii="Montserrat" w:cs="Montserrat" w:hAnsi="Montserrat" w:eastAsia="Montserrat"/>
          <w:rtl w:val="0"/>
          <w:lang w:val="en-US"/>
        </w:rPr>
      </w:pPr>
      <w:r>
        <w:rPr>
          <w:rStyle w:val="None"/>
          <w:rFonts w:ascii="Montserrat" w:cs="Montserrat" w:hAnsi="Montserrat" w:eastAsia="Montserrat"/>
          <w:rtl w:val="0"/>
          <w:lang w:val="en-US"/>
        </w:rPr>
        <w:t xml:space="preserve">Livestock related data needs to be filled including herd size and manure application. </w:t>
      </w:r>
    </w:p>
    <w:p>
      <w:pPr>
        <w:pStyle w:val="Body"/>
        <w:rPr>
          <w:rStyle w:val="Hyperlink.1"/>
        </w:rPr>
      </w:pPr>
      <w:r>
        <w:rPr>
          <w:rStyle w:val="Hyperlink.1"/>
          <w:rtl w:val="0"/>
          <w:lang w:val="en-US"/>
        </w:rPr>
        <w:t>Step 2: The tool will generate per acre values for farmer income, annual water demand, fodder available, fodder required, manure available and carbon sequestered.</w:t>
      </w:r>
    </w:p>
    <w:p>
      <w:pPr>
        <w:pStyle w:val="Body"/>
        <w:rPr>
          <w:rStyle w:val="None"/>
          <w:outline w:val="0"/>
          <w:color w:val="434343"/>
          <w:sz w:val="28"/>
          <w:szCs w:val="28"/>
          <w:u w:color="434343"/>
          <w14:textFill>
            <w14:solidFill>
              <w14:srgbClr w14:val="434343"/>
            </w14:solidFill>
          </w14:textFill>
        </w:rPr>
      </w:pPr>
      <w:r>
        <w:rPr>
          <w:rStyle w:val="Hyperlink.1"/>
          <w:rtl w:val="0"/>
          <w:lang w:val="en-US"/>
        </w:rPr>
        <w:t xml:space="preserve">Step 3: Iteratively change the input parameters including crop choices, crop area %, tree density, livestock distribution etc to achieve desired outcome based on the objective; for example increase income and reduce the water demand for use case objective 1 ( Increase water productivity). </w:t>
      </w:r>
    </w:p>
    <w:p>
      <w:pPr>
        <w:pStyle w:val="Heading 3"/>
      </w:pPr>
      <w:bookmarkStart w:name="_hef26yg1054f" w:id="7"/>
      <w:bookmarkEnd w:id="7"/>
      <w:r>
        <w:rPr>
          <w:rStyle w:val="None"/>
          <w:rFonts w:cs="Arial Unicode MS" w:eastAsia="Arial Unicode MS"/>
          <w:rtl w:val="0"/>
        </w:rPr>
        <w:t>A</w:t>
      </w:r>
      <w:r>
        <w:rPr>
          <w:rStyle w:val="None"/>
          <w:rFonts w:cs="Arial Unicode MS" w:eastAsia="Arial Unicode MS"/>
          <w:rtl w:val="0"/>
          <w:lang w:val="en-US"/>
        </w:rPr>
        <w:t>nnexure 2B: Farm-scale trade of assessment tool - Assumptions and References</w:t>
      </w:r>
    </w:p>
    <w:p>
      <w:pPr>
        <w:pStyle w:val="Body"/>
        <w:rPr>
          <w:rStyle w:val="None"/>
          <w:outline w:val="0"/>
          <w:color w:val="434343"/>
          <w:sz w:val="28"/>
          <w:szCs w:val="28"/>
          <w:u w:color="434343"/>
          <w14:textFill>
            <w14:solidFill>
              <w14:srgbClr w14:val="434343"/>
            </w14:solidFill>
          </w14:textFill>
        </w:rPr>
      </w:pPr>
      <w:r>
        <w:rPr>
          <w:rStyle w:val="None"/>
          <w:outline w:val="0"/>
          <w:color w:val="434343"/>
          <w:sz w:val="28"/>
          <w:szCs w:val="28"/>
          <w:u w:color="434343"/>
          <w:rtl w:val="0"/>
          <w:lang w:val="en-US"/>
          <w14:textFill>
            <w14:solidFill>
              <w14:srgbClr w14:val="434343"/>
            </w14:solidFill>
          </w14:textFill>
        </w:rPr>
        <w:t>Crop reference table assumptions</w:t>
      </w:r>
    </w:p>
    <w:p>
      <w:pPr>
        <w:pStyle w:val="Body"/>
        <w:rPr>
          <w:rStyle w:val="None"/>
          <w:outline w:val="0"/>
          <w:color w:val="434343"/>
          <w:sz w:val="28"/>
          <w:szCs w:val="28"/>
          <w:u w:color="434343"/>
          <w14:textFill>
            <w14:solidFill>
              <w14:srgbClr w14:val="434343"/>
            </w14:solidFill>
          </w14:textFill>
        </w:rPr>
      </w:pPr>
    </w:p>
    <w:tbl>
      <w:tblPr>
        <w:tblW w:w="93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620"/>
        <w:gridCol w:w="1620"/>
        <w:gridCol w:w="1174"/>
        <w:gridCol w:w="910"/>
        <w:gridCol w:w="864"/>
        <w:gridCol w:w="1056"/>
        <w:gridCol w:w="1056"/>
        <w:gridCol w:w="1056"/>
      </w:tblGrid>
      <w:tr>
        <w:tblPrEx>
          <w:shd w:val="clear" w:color="auto" w:fill="ced7e7"/>
        </w:tblPrEx>
        <w:trPr>
          <w:trHeight w:val="2240" w:hRule="atLeast"/>
        </w:trPr>
        <w:tc>
          <w:tcPr>
            <w:tcW w:type="dxa" w:w="1620"/>
            <w:tcBorders>
              <w:top w:val="single" w:color="000000"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b w:val="1"/>
                <w:bCs w:val="1"/>
                <w:outline w:val="0"/>
                <w:color w:val="434343"/>
                <w:sz w:val="20"/>
                <w:szCs w:val="20"/>
                <w:u w:color="434343"/>
                <w:shd w:val="nil" w:color="auto" w:fill="auto"/>
                <w:rtl w:val="0"/>
                <w:lang w:val="en-US"/>
                <w14:textFill>
                  <w14:solidFill>
                    <w14:srgbClr w14:val="434343"/>
                  </w14:solidFill>
                </w14:textFill>
              </w:rPr>
              <w:t>Crop</w:t>
            </w:r>
          </w:p>
        </w:tc>
        <w:tc>
          <w:tcPr>
            <w:tcW w:type="dxa" w:w="1620"/>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b w:val="1"/>
                <w:bCs w:val="1"/>
                <w:outline w:val="0"/>
                <w:color w:val="434343"/>
                <w:sz w:val="20"/>
                <w:szCs w:val="20"/>
                <w:u w:color="434343"/>
                <w:shd w:val="nil" w:color="auto" w:fill="auto"/>
                <w:rtl w:val="0"/>
                <w:lang w:val="en-US"/>
                <w14:textFill>
                  <w14:solidFill>
                    <w14:srgbClr w14:val="434343"/>
                  </w14:solidFill>
                </w14:textFill>
              </w:rPr>
              <w:t>Field crop / Tree</w:t>
            </w:r>
          </w:p>
        </w:tc>
        <w:tc>
          <w:tcPr>
            <w:tcW w:type="dxa" w:w="1174"/>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b w:val="1"/>
                <w:bCs w:val="1"/>
                <w:outline w:val="0"/>
                <w:color w:val="434343"/>
                <w:sz w:val="20"/>
                <w:szCs w:val="20"/>
                <w:u w:color="434343"/>
                <w:shd w:val="nil" w:color="auto" w:fill="auto"/>
                <w:rtl w:val="0"/>
                <w:lang w:val="en-US"/>
                <w14:textFill>
                  <w14:solidFill>
                    <w14:srgbClr w14:val="434343"/>
                  </w14:solidFill>
                </w14:textFill>
              </w:rPr>
              <w:t>Yield/ acre or Yield per tree</w:t>
            </w:r>
          </w:p>
        </w:tc>
        <w:tc>
          <w:tcPr>
            <w:tcW w:type="dxa" w:w="910"/>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b w:val="1"/>
                <w:bCs w:val="1"/>
                <w:outline w:val="0"/>
                <w:color w:val="434343"/>
                <w:sz w:val="20"/>
                <w:szCs w:val="20"/>
                <w:u w:color="434343"/>
                <w:shd w:val="nil" w:color="auto" w:fill="auto"/>
                <w:rtl w:val="0"/>
                <w:lang w:val="en-US"/>
                <w14:textFill>
                  <w14:solidFill>
                    <w14:srgbClr w14:val="434343"/>
                  </w14:solidFill>
                </w14:textFill>
              </w:rPr>
              <w:t>AVG Net farmer Income ( Rs per acre/ Rs per tree)</w:t>
            </w:r>
          </w:p>
        </w:tc>
        <w:tc>
          <w:tcPr>
            <w:tcW w:type="dxa" w:w="864"/>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rPr>
                <w:rStyle w:val="None"/>
                <w:b w:val="1"/>
                <w:bCs w:val="1"/>
                <w:outline w:val="0"/>
                <w:color w:val="434343"/>
                <w:sz w:val="20"/>
                <w:szCs w:val="20"/>
                <w:u w:color="434343"/>
                <w:shd w:val="nil" w:color="auto" w:fill="auto"/>
                <w14:textFill>
                  <w14:solidFill>
                    <w14:srgbClr w14:val="434343"/>
                  </w14:solidFill>
                </w14:textFill>
              </w:rPr>
            </w:pPr>
            <w:r>
              <w:rPr>
                <w:rStyle w:val="None"/>
                <w:b w:val="1"/>
                <w:bCs w:val="1"/>
                <w:outline w:val="0"/>
                <w:color w:val="434343"/>
                <w:sz w:val="20"/>
                <w:szCs w:val="20"/>
                <w:u w:color="434343"/>
                <w:shd w:val="nil" w:color="auto" w:fill="auto"/>
                <w:rtl w:val="0"/>
                <w:lang w:val="en-US"/>
                <w14:textFill>
                  <w14:solidFill>
                    <w14:srgbClr w14:val="434343"/>
                  </w14:solidFill>
                </w14:textFill>
              </w:rPr>
              <w:t>Crop Residue ( Kg per acre)</w:t>
            </w:r>
          </w:p>
          <w:p>
            <w:pPr>
              <w:pStyle w:val="Body"/>
              <w:bidi w:val="0"/>
              <w:ind w:left="0" w:right="0" w:firstLine="0"/>
              <w:jc w:val="left"/>
              <w:rPr>
                <w:rtl w:val="0"/>
              </w:rPr>
            </w:pPr>
            <w:r>
              <w:rPr>
                <w:rStyle w:val="None"/>
                <w:b w:val="1"/>
                <w:bCs w:val="1"/>
                <w:outline w:val="0"/>
                <w:color w:val="434343"/>
                <w:sz w:val="20"/>
                <w:szCs w:val="20"/>
                <w:u w:color="434343"/>
                <w:shd w:val="nil" w:color="auto" w:fill="auto"/>
                <w:rtl w:val="0"/>
                <w:lang w:val="en-US"/>
                <w14:textFill>
                  <w14:solidFill>
                    <w14:srgbClr w14:val="434343"/>
                  </w14:solidFill>
                </w14:textFill>
              </w:rPr>
              <w:t>Litter (Kg/tree)</w:t>
            </w:r>
          </w:p>
        </w:tc>
        <w:tc>
          <w:tcPr>
            <w:tcW w:type="dxa" w:w="1055"/>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b w:val="1"/>
                <w:bCs w:val="1"/>
                <w:outline w:val="0"/>
                <w:color w:val="434343"/>
                <w:sz w:val="20"/>
                <w:szCs w:val="20"/>
                <w:u w:color="434343"/>
                <w:shd w:val="nil" w:color="auto" w:fill="auto"/>
                <w:rtl w:val="0"/>
                <w:lang w:val="en-US"/>
                <w14:textFill>
                  <w14:solidFill>
                    <w14:srgbClr w14:val="434343"/>
                  </w14:solidFill>
                </w14:textFill>
              </w:rPr>
              <w:t>Annual irrigation water requirement ( in Ltrs) - If season is Kharif</w:t>
            </w:r>
          </w:p>
        </w:tc>
        <w:tc>
          <w:tcPr>
            <w:tcW w:type="dxa" w:w="1056"/>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b w:val="1"/>
                <w:bCs w:val="1"/>
                <w:outline w:val="0"/>
                <w:color w:val="434343"/>
                <w:sz w:val="20"/>
                <w:szCs w:val="20"/>
                <w:u w:color="434343"/>
                <w:shd w:val="nil" w:color="auto" w:fill="auto"/>
                <w:rtl w:val="0"/>
                <w:lang w:val="en-US"/>
                <w14:textFill>
                  <w14:solidFill>
                    <w14:srgbClr w14:val="434343"/>
                  </w14:solidFill>
                </w14:textFill>
              </w:rPr>
              <w:t>Annual irrigation water requirement ( in Ltrs) - If season is Rabi</w:t>
            </w:r>
          </w:p>
        </w:tc>
        <w:tc>
          <w:tcPr>
            <w:tcW w:type="dxa" w:w="1056"/>
            <w:tcBorders>
              <w:top w:val="single" w:color="000000"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top"/>
          </w:tcPr>
          <w:p>
            <w:pPr>
              <w:pStyle w:val="Body"/>
            </w:pPr>
            <w:r>
              <w:rPr>
                <w:rStyle w:val="None"/>
                <w:b w:val="1"/>
                <w:bCs w:val="1"/>
                <w:outline w:val="0"/>
                <w:color w:val="434343"/>
                <w:sz w:val="20"/>
                <w:szCs w:val="20"/>
                <w:u w:color="434343"/>
                <w:shd w:val="nil" w:color="auto" w:fill="auto"/>
                <w:rtl w:val="0"/>
                <w:lang w:val="en-US"/>
                <w14:textFill>
                  <w14:solidFill>
                    <w14:srgbClr w14:val="434343"/>
                  </w14:solidFill>
                </w14:textFill>
              </w:rPr>
              <w:t>Annual irrigation water requirement ( in Ltrs) - If season is Zaid</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None</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Paddy</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1943</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10440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3070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4920660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6625595</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7014453</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Ragi</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1255</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-153</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2632</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1005039</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1393898</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Groundnut</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495</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9847</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233</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604073</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2309008</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2697867</w:t>
            </w:r>
          </w:p>
        </w:tc>
      </w:tr>
      <w:tr>
        <w:tblPrEx>
          <w:shd w:val="clear" w:color="auto" w:fill="ced7e7"/>
        </w:tblPrEx>
        <w:trPr>
          <w:trHeight w:val="47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Bajra/ Pearl Millet</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468</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-356</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1171</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266840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1971775</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2360633</w:t>
            </w:r>
          </w:p>
        </w:tc>
      </w:tr>
      <w:tr>
        <w:tblPrEx>
          <w:shd w:val="clear" w:color="auto" w:fill="ced7e7"/>
        </w:tblPrEx>
        <w:trPr>
          <w:trHeight w:val="727"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Arhar/Tur/ Red gram/ Pigeon pea</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270</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1876</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192</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1409719</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1798578</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Horsegram</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354</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6762</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251</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398019</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786878</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Cowpea (Lobia)</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155</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5479</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110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1409719</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1798578</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Jowar</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446</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345</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1089</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379251</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2084186</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2473044</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Onion</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2156</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19828</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3234</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1634541</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2023400</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Sunflower</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406</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13306</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381</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1503362</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3208297</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3597156</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Maize</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1510</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9713</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3790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1454684</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1843542</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Little millet</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522</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6687</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1326</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1005039</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1393898</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Brinjal</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24291</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28340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30364</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91478</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1796413</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2185272</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Watermelon</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16194</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20243</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40486</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604073</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2309008</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2697867</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Mulberry</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6126</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19000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604073</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2309008</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2697867</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Mango</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25</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391</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100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840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Tamarind</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75</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360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100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Cashew</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10</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869</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100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1507</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Guava</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75</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63</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100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312</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Coconut</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60</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360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100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2440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Silver Oak</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175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Milia dubia</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175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Teak</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175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Mahagony</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175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Eucalyptus</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175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Jamun</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63</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281</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65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Banana</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15</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473</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65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980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Beans</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14230</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119503</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17788</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1409719</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1798578</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Beetroot</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15000</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45200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15000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154428</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1859364</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2248222</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Bottle gourd</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16194</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47773</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40486</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1409719</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1798578</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Cabbage</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30364</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70243</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37955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1589577</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1978436</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Capsicum</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7287</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38462</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9109</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64500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1769435</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2158293</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Carrot</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6073</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46409</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6073</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1594073</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1982932</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Chilli</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8907</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25911</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11134</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783931</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2488866</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2877724</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Coriander</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35223</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22267</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35223</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1589577</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1978436</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Custard apple</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60</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64</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65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Dayancha</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18219</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-6478</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54656</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379251</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2084186</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2473044</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Foxtail millet</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181</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6849</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453</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1005039</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1393898</w:t>
            </w:r>
          </w:p>
        </w:tc>
      </w:tr>
      <w:tr>
        <w:tblPrEx>
          <w:shd w:val="clear" w:color="auto" w:fill="ced7e7"/>
        </w:tblPrEx>
        <w:trPr>
          <w:trHeight w:val="980"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Geddekosu/Nool Kosu/Kohlrabi/German Turnip</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5500</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96703</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9625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1522130</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1910989</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Napier</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24291</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-7692</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85020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1953006</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3657941</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4046800</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Niger seeds</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247</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4629</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247</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1409719</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1798578</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Pongamia</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100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Potato</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8577</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46643</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8577</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604073</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2309008</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2697867</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Pumpkin</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623</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52099</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1558</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379251</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2084186</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2473044</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Ridge gourd</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49000</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154000</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122500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1409719</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1798578</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Snake gourd</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4617</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73626</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11541</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379251</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2084186</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2473044</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Subabul</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65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Suppotta</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Tree</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40</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185</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65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225</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Tomato</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20243</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15789</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35425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154428</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1859364</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2248222</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Sweet corn</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1510</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9713</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3775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1454684</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1843542</w:t>
            </w:r>
          </w:p>
        </w:tc>
      </w:tr>
      <w:tr>
        <w:tblPrEx>
          <w:shd w:val="clear" w:color="auto" w:fill="ced7e7"/>
        </w:tblPrEx>
        <w:trPr>
          <w:trHeight w:val="47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Arka/ Kodo Millet</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522</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6849</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1305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1005039</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1393898</w:t>
            </w:r>
          </w:p>
        </w:tc>
      </w:tr>
      <w:tr>
        <w:tblPrEx>
          <w:shd w:val="clear" w:color="auto" w:fill="ced7e7"/>
        </w:tblPrEx>
        <w:trPr>
          <w:trHeight w:val="727"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Yellow Chrysanthemum</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8097</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139676</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14170</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379251</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2084186</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2473044</w:t>
            </w:r>
          </w:p>
        </w:tc>
      </w:tr>
      <w:tr>
        <w:tblPrEx>
          <w:shd w:val="clear" w:color="auto" w:fill="ced7e7"/>
        </w:tblPrEx>
        <w:trPr>
          <w:trHeight w:val="475" w:hRule="atLeast"/>
        </w:trPr>
        <w:tc>
          <w:tcPr>
            <w:tcW w:type="dxa" w:w="162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Methi/Fenugreek</w:t>
            </w:r>
          </w:p>
        </w:tc>
        <w:tc>
          <w:tcPr>
            <w:tcW w:type="dxa" w:w="162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405</w:t>
            </w:r>
          </w:p>
        </w:tc>
        <w:tc>
          <w:tcPr>
            <w:tcW w:type="dxa" w:w="9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-4251</w:t>
            </w:r>
          </w:p>
        </w:tc>
        <w:tc>
          <w:tcPr>
            <w:tcW w:type="dxa" w:w="864"/>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405</w:t>
            </w:r>
          </w:p>
        </w:tc>
        <w:tc>
          <w:tcPr>
            <w:tcW w:type="dxa" w:w="105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1589577</w:t>
            </w:r>
          </w:p>
        </w:tc>
        <w:tc>
          <w:tcPr>
            <w:tcW w:type="dxa" w:w="1056"/>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1978436</w:t>
            </w:r>
          </w:p>
        </w:tc>
      </w:tr>
      <w:tr>
        <w:tblPrEx>
          <w:shd w:val="clear" w:color="auto" w:fill="ced7e7"/>
        </w:tblPrEx>
        <w:trPr>
          <w:trHeight w:val="245" w:hRule="atLeast"/>
        </w:trPr>
        <w:tc>
          <w:tcPr>
            <w:tcW w:type="dxa" w:w="1620"/>
            <w:tcBorders>
              <w:top w:val="single" w:color="cccccc" w:sz="4" w:space="0" w:shadow="0" w:frame="0"/>
              <w:left w:val="single" w:color="000000" w:sz="4" w:space="0" w:shadow="0" w:frame="0"/>
              <w:bottom w:val="single" w:color="000000"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Hyacinth Beans</w:t>
            </w:r>
          </w:p>
        </w:tc>
        <w:tc>
          <w:tcPr>
            <w:tcW w:type="dxa" w:w="1620"/>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Field Crop</w:t>
            </w:r>
          </w:p>
        </w:tc>
        <w:tc>
          <w:tcPr>
            <w:tcW w:type="dxa" w:w="1174"/>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jc w:val="right"/>
            </w:pPr>
            <w:r>
              <w:rPr>
                <w:rStyle w:val="None"/>
                <w:outline w:val="0"/>
                <w:color w:val="434343"/>
                <w:sz w:val="20"/>
                <w:szCs w:val="20"/>
                <w:u w:color="434343"/>
                <w:shd w:val="nil" w:color="auto" w:fill="auto"/>
                <w:rtl w:val="0"/>
                <w:lang w:val="en-US"/>
                <w14:textFill>
                  <w14:solidFill>
                    <w14:srgbClr w14:val="434343"/>
                  </w14:solidFill>
                </w14:textFill>
              </w:rPr>
              <w:t>320</w:t>
            </w:r>
          </w:p>
        </w:tc>
        <w:tc>
          <w:tcPr>
            <w:tcW w:type="dxa" w:w="910"/>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jc w:val="right"/>
            </w:pPr>
            <w:r>
              <w:rPr>
                <w:rStyle w:val="None"/>
                <w:outline w:val="0"/>
                <w:color w:val="434343"/>
                <w:sz w:val="20"/>
                <w:szCs w:val="20"/>
                <w:u w:color="434343"/>
                <w:shd w:val="nil" w:color="auto" w:fill="auto"/>
                <w:rtl w:val="0"/>
                <w:lang w:val="en-US"/>
                <w14:textFill>
                  <w14:solidFill>
                    <w14:srgbClr w14:val="434343"/>
                  </w14:solidFill>
                </w14:textFill>
              </w:rPr>
              <w:t>31790</w:t>
            </w:r>
          </w:p>
        </w:tc>
        <w:tc>
          <w:tcPr>
            <w:tcW w:type="dxa" w:w="864"/>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ffffff"/>
            <w:tcMar>
              <w:top w:type="dxa" w:w="80"/>
              <w:left w:type="dxa" w:w="80"/>
              <w:bottom w:type="dxa" w:w="80"/>
              <w:right w:type="dxa" w:w="80"/>
            </w:tcMar>
            <w:vAlign w:val="top"/>
          </w:tcPr>
          <w:p>
            <w:pPr>
              <w:pStyle w:val="Body"/>
            </w:pPr>
            <w:r>
              <w:rPr>
                <w:rStyle w:val="None"/>
                <w:outline w:val="0"/>
                <w:color w:val="434343"/>
                <w:sz w:val="20"/>
                <w:szCs w:val="20"/>
                <w:u w:color="434343"/>
                <w:shd w:val="nil" w:color="auto" w:fill="auto"/>
                <w:rtl w:val="0"/>
                <w:lang w:val="en-US"/>
                <w14:textFill>
                  <w14:solidFill>
                    <w14:srgbClr w14:val="434343"/>
                  </w14:solidFill>
                </w14:textFill>
              </w:rPr>
              <w:t>1170</w:t>
            </w:r>
          </w:p>
        </w:tc>
        <w:tc>
          <w:tcPr>
            <w:tcW w:type="dxa" w:w="1055"/>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0</w:t>
            </w:r>
          </w:p>
        </w:tc>
        <w:tc>
          <w:tcPr>
            <w:tcW w:type="dxa" w:w="1056"/>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1409719</w:t>
            </w:r>
          </w:p>
        </w:tc>
        <w:tc>
          <w:tcPr>
            <w:tcW w:type="dxa" w:w="1056"/>
            <w:tcBorders>
              <w:top w:val="single" w:color="cccccc" w:sz="4" w:space="0" w:shadow="0" w:frame="0"/>
              <w:left w:val="single" w:color="cccccc"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pPr>
            <w:r>
              <w:rPr>
                <w:rStyle w:val="None"/>
                <w:outline w:val="0"/>
                <w:color w:val="434343"/>
                <w:sz w:val="20"/>
                <w:szCs w:val="20"/>
                <w:u w:color="434343"/>
                <w:shd w:val="nil" w:color="auto" w:fill="auto"/>
                <w:rtl w:val="0"/>
                <w:lang w:val="en-US"/>
                <w14:textFill>
                  <w14:solidFill>
                    <w14:srgbClr w14:val="434343"/>
                  </w14:solidFill>
                </w14:textFill>
              </w:rPr>
              <w:t>1798578</w:t>
            </w:r>
          </w:p>
        </w:tc>
      </w:tr>
    </w:tbl>
    <w:p>
      <w:pPr>
        <w:pStyle w:val="Body"/>
        <w:widowControl w:val="0"/>
        <w:spacing w:line="240" w:lineRule="auto"/>
        <w:rPr>
          <w:rStyle w:val="None"/>
          <w:outline w:val="0"/>
          <w:color w:val="434343"/>
          <w:sz w:val="28"/>
          <w:szCs w:val="28"/>
          <w:u w:color="434343"/>
          <w14:textFill>
            <w14:solidFill>
              <w14:srgbClr w14:val="434343"/>
            </w14:solidFill>
          </w14:textFill>
        </w:rPr>
      </w:pPr>
    </w:p>
    <w:p>
      <w:pPr>
        <w:pStyle w:val="Body"/>
        <w:rPr>
          <w:rStyle w:val="None"/>
          <w:outline w:val="0"/>
          <w:color w:val="434343"/>
          <w:sz w:val="28"/>
          <w:szCs w:val="28"/>
          <w:u w:color="434343"/>
          <w14:textFill>
            <w14:solidFill>
              <w14:srgbClr w14:val="434343"/>
            </w14:solidFill>
          </w14:textFill>
        </w:rPr>
      </w:pPr>
    </w:p>
    <w:p>
      <w:pPr>
        <w:pStyle w:val="Body"/>
        <w:rPr>
          <w:rStyle w:val="None"/>
          <w:outline w:val="0"/>
          <w:color w:val="434343"/>
          <w:sz w:val="28"/>
          <w:szCs w:val="28"/>
          <w:u w:color="434343"/>
          <w14:textFill>
            <w14:solidFill>
              <w14:srgbClr w14:val="434343"/>
            </w14:solidFill>
          </w14:textFill>
        </w:rPr>
      </w:pPr>
      <w:r>
        <w:rPr>
          <w:rStyle w:val="None"/>
          <w:outline w:val="0"/>
          <w:color w:val="434343"/>
          <w:sz w:val="28"/>
          <w:szCs w:val="28"/>
          <w:u w:color="434343"/>
          <w:rtl w:val="0"/>
          <w:lang w:val="en-US"/>
          <w14:textFill>
            <w14:solidFill>
              <w14:srgbClr w14:val="434343"/>
            </w14:solidFill>
          </w14:textFill>
        </w:rPr>
        <w:t>Livestock reference table</w:t>
      </w:r>
    </w:p>
    <w:p>
      <w:pPr>
        <w:pStyle w:val="Body"/>
        <w:rPr>
          <w:rStyle w:val="None"/>
          <w:outline w:val="0"/>
          <w:color w:val="434343"/>
          <w:sz w:val="28"/>
          <w:szCs w:val="28"/>
          <w:u w:color="434343"/>
          <w14:textFill>
            <w14:solidFill>
              <w14:srgbClr w14:val="434343"/>
            </w14:solidFill>
          </w14:textFill>
        </w:rPr>
      </w:pPr>
    </w:p>
    <w:tbl>
      <w:tblPr>
        <w:tblW w:w="935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410"/>
        <w:gridCol w:w="993"/>
        <w:gridCol w:w="993"/>
        <w:gridCol w:w="993"/>
        <w:gridCol w:w="993"/>
        <w:gridCol w:w="993"/>
        <w:gridCol w:w="993"/>
        <w:gridCol w:w="993"/>
        <w:gridCol w:w="993"/>
      </w:tblGrid>
      <w:tr>
        <w:tblPrEx>
          <w:shd w:val="clear" w:color="auto" w:fill="ced7e7"/>
        </w:tblPrEx>
        <w:trPr>
          <w:trHeight w:val="1232" w:hRule="atLeast"/>
        </w:trPr>
        <w:tc>
          <w:tcPr>
            <w:tcW w:type="dxa" w:w="1410"/>
            <w:tcBorders>
              <w:top w:val="single" w:color="000000" w:sz="4" w:space="0" w:shadow="0" w:frame="0"/>
              <w:left w:val="single" w:color="000000"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top"/>
          </w:tcPr>
          <w:p>
            <w:pPr>
              <w:pStyle w:val="Body"/>
              <w:widowControl w:val="0"/>
            </w:pPr>
            <w:r>
              <w:rPr>
                <w:rStyle w:val="None"/>
                <w:b w:val="1"/>
                <w:bCs w:val="1"/>
                <w:sz w:val="20"/>
                <w:szCs w:val="20"/>
                <w:shd w:val="nil" w:color="auto" w:fill="auto"/>
                <w:rtl w:val="0"/>
                <w:lang w:val="en-US"/>
              </w:rPr>
              <w:t>Livestock species</w:t>
            </w:r>
          </w:p>
        </w:tc>
        <w:tc>
          <w:tcPr>
            <w:tcW w:type="dxa" w:w="993"/>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top"/>
          </w:tcPr>
          <w:p>
            <w:pPr>
              <w:pStyle w:val="Body"/>
              <w:widowControl w:val="0"/>
            </w:pPr>
            <w:r>
              <w:rPr>
                <w:rStyle w:val="None"/>
                <w:b w:val="1"/>
                <w:bCs w:val="1"/>
                <w:sz w:val="20"/>
                <w:szCs w:val="20"/>
                <w:shd w:val="nil" w:color="auto" w:fill="auto"/>
                <w:rtl w:val="0"/>
                <w:lang w:val="en-US"/>
              </w:rPr>
              <w:t>Net income per unit</w:t>
            </w:r>
          </w:p>
        </w:tc>
        <w:tc>
          <w:tcPr>
            <w:tcW w:type="dxa" w:w="993"/>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top"/>
          </w:tcPr>
          <w:p>
            <w:pPr>
              <w:pStyle w:val="Body"/>
              <w:widowControl w:val="0"/>
            </w:pPr>
            <w:r>
              <w:rPr>
                <w:rStyle w:val="None"/>
                <w:b w:val="1"/>
                <w:bCs w:val="1"/>
                <w:sz w:val="20"/>
                <w:szCs w:val="20"/>
                <w:shd w:val="nil" w:color="auto" w:fill="auto"/>
                <w:rtl w:val="0"/>
                <w:lang w:val="en-US"/>
              </w:rPr>
              <w:t>Water requirement per unit per day</w:t>
            </w:r>
          </w:p>
        </w:tc>
        <w:tc>
          <w:tcPr>
            <w:tcW w:type="dxa" w:w="993"/>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top"/>
          </w:tcPr>
          <w:p>
            <w:pPr>
              <w:pStyle w:val="Body"/>
              <w:widowControl w:val="0"/>
            </w:pPr>
            <w:r>
              <w:rPr>
                <w:rStyle w:val="None"/>
                <w:b w:val="1"/>
                <w:bCs w:val="1"/>
                <w:sz w:val="20"/>
                <w:szCs w:val="20"/>
                <w:shd w:val="nil" w:color="auto" w:fill="auto"/>
                <w:rtl w:val="0"/>
                <w:lang w:val="en-US"/>
              </w:rPr>
              <w:t>Dry fodder requirement</w:t>
            </w:r>
          </w:p>
        </w:tc>
        <w:tc>
          <w:tcPr>
            <w:tcW w:type="dxa" w:w="993"/>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top"/>
          </w:tcPr>
          <w:p>
            <w:pPr>
              <w:pStyle w:val="Body"/>
              <w:widowControl w:val="0"/>
            </w:pPr>
            <w:r>
              <w:rPr>
                <w:rStyle w:val="None"/>
                <w:b w:val="1"/>
                <w:bCs w:val="1"/>
                <w:sz w:val="20"/>
                <w:szCs w:val="20"/>
                <w:shd w:val="nil" w:color="auto" w:fill="auto"/>
                <w:rtl w:val="0"/>
                <w:lang w:val="en-US"/>
              </w:rPr>
              <w:t>Green fodder requirement</w:t>
            </w:r>
          </w:p>
        </w:tc>
        <w:tc>
          <w:tcPr>
            <w:tcW w:type="dxa" w:w="993"/>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top"/>
          </w:tcPr>
          <w:p>
            <w:pPr>
              <w:pStyle w:val="Body"/>
              <w:widowControl w:val="0"/>
            </w:pPr>
            <w:r>
              <w:rPr>
                <w:rStyle w:val="None"/>
                <w:b w:val="1"/>
                <w:bCs w:val="1"/>
                <w:sz w:val="20"/>
                <w:szCs w:val="20"/>
                <w:shd w:val="nil" w:color="auto" w:fill="auto"/>
                <w:rtl w:val="0"/>
                <w:lang w:val="en-US"/>
              </w:rPr>
              <w:t>Fodder requirement per year</w:t>
            </w:r>
          </w:p>
        </w:tc>
        <w:tc>
          <w:tcPr>
            <w:tcW w:type="dxa" w:w="993"/>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top"/>
          </w:tcPr>
          <w:p>
            <w:pPr>
              <w:pStyle w:val="Body"/>
              <w:widowControl w:val="0"/>
            </w:pPr>
            <w:r>
              <w:rPr>
                <w:rStyle w:val="None"/>
                <w:b w:val="1"/>
                <w:bCs w:val="1"/>
                <w:sz w:val="20"/>
                <w:szCs w:val="20"/>
                <w:shd w:val="nil" w:color="auto" w:fill="auto"/>
                <w:rtl w:val="0"/>
                <w:lang w:val="en-US"/>
              </w:rPr>
              <w:t>Manure per year (kg)</w:t>
            </w:r>
          </w:p>
        </w:tc>
        <w:tc>
          <w:tcPr>
            <w:tcW w:type="dxa" w:w="993"/>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Purchase price</w:t>
            </w:r>
          </w:p>
        </w:tc>
        <w:tc>
          <w:tcPr>
            <w:tcW w:type="dxa" w:w="993"/>
            <w:tcBorders>
              <w:top w:val="single" w:color="000000" w:sz="4" w:space="0" w:shadow="0" w:frame="0"/>
              <w:left w:val="single" w:color="cccccc" w:sz="4" w:space="0" w:shadow="0" w:frame="0"/>
              <w:bottom w:val="single" w:color="cccccc"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Sales price</w:t>
            </w:r>
          </w:p>
        </w:tc>
      </w:tr>
      <w:tr>
        <w:tblPrEx>
          <w:shd w:val="clear" w:color="auto" w:fill="ced7e7"/>
        </w:tblPrEx>
        <w:trPr>
          <w:trHeight w:val="245" w:hRule="atLeast"/>
        </w:trPr>
        <w:tc>
          <w:tcPr>
            <w:tcW w:type="dxa" w:w="141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None</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0</w:t>
            </w:r>
          </w:p>
        </w:tc>
        <w:tc>
          <w:tcPr>
            <w:tcW w:type="dxa" w:w="993"/>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0</w:t>
            </w:r>
          </w:p>
        </w:tc>
      </w:tr>
      <w:tr>
        <w:tblPrEx>
          <w:shd w:val="clear" w:color="auto" w:fill="ced7e7"/>
        </w:tblPrEx>
        <w:trPr>
          <w:trHeight w:val="245" w:hRule="atLeast"/>
        </w:trPr>
        <w:tc>
          <w:tcPr>
            <w:tcW w:type="dxa" w:w="141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Goat</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5522.6</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5</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730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2190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2920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456.25</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6049</w:t>
            </w:r>
          </w:p>
        </w:tc>
        <w:tc>
          <w:tcPr>
            <w:tcW w:type="dxa" w:w="993"/>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7917</w:t>
            </w:r>
          </w:p>
        </w:tc>
      </w:tr>
      <w:tr>
        <w:tblPrEx>
          <w:shd w:val="clear" w:color="auto" w:fill="ced7e7"/>
        </w:tblPrEx>
        <w:trPr>
          <w:trHeight w:val="245" w:hRule="atLeast"/>
        </w:trPr>
        <w:tc>
          <w:tcPr>
            <w:tcW w:type="dxa" w:w="141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Sheep</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1203.2</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5</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730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2190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2920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456.25</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6049</w:t>
            </w:r>
          </w:p>
        </w:tc>
        <w:tc>
          <w:tcPr>
            <w:tcW w:type="dxa" w:w="993"/>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7917</w:t>
            </w:r>
          </w:p>
        </w:tc>
      </w:tr>
      <w:tr>
        <w:tblPrEx>
          <w:shd w:val="clear" w:color="auto" w:fill="ced7e7"/>
        </w:tblPrEx>
        <w:trPr>
          <w:trHeight w:val="245" w:hRule="atLeast"/>
        </w:trPr>
        <w:tc>
          <w:tcPr>
            <w:tcW w:type="dxa" w:w="1410"/>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Cow/Buffalo</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23414</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74</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1825</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7300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9125</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8760</w:t>
            </w:r>
          </w:p>
        </w:tc>
        <w:tc>
          <w:tcPr>
            <w:tcW w:type="dxa" w:w="993"/>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29313</w:t>
            </w:r>
          </w:p>
        </w:tc>
        <w:tc>
          <w:tcPr>
            <w:tcW w:type="dxa" w:w="993"/>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40734</w:t>
            </w:r>
          </w:p>
        </w:tc>
      </w:tr>
      <w:tr>
        <w:tblPrEx>
          <w:shd w:val="clear" w:color="auto" w:fill="ced7e7"/>
        </w:tblPrEx>
        <w:trPr>
          <w:trHeight w:val="245" w:hRule="atLeast"/>
        </w:trPr>
        <w:tc>
          <w:tcPr>
            <w:tcW w:type="dxa" w:w="1410"/>
            <w:tcBorders>
              <w:top w:val="single" w:color="cccccc" w:sz="4" w:space="0" w:shadow="0" w:frame="0"/>
              <w:left w:val="single" w:color="000000" w:sz="4" w:space="0" w:shadow="0" w:frame="0"/>
              <w:bottom w:val="single" w:color="000000"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Poultry</w:t>
            </w:r>
          </w:p>
        </w:tc>
        <w:tc>
          <w:tcPr>
            <w:tcW w:type="dxa" w:w="993"/>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138.6</w:t>
            </w:r>
          </w:p>
        </w:tc>
        <w:tc>
          <w:tcPr>
            <w:tcW w:type="dxa" w:w="993"/>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0.3</w:t>
            </w:r>
          </w:p>
        </w:tc>
        <w:tc>
          <w:tcPr>
            <w:tcW w:type="dxa" w:w="993"/>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auto"/>
            <w:tcMar>
              <w:top w:type="dxa" w:w="80"/>
              <w:left w:type="dxa" w:w="80"/>
              <w:bottom w:type="dxa" w:w="80"/>
              <w:right w:type="dxa" w:w="80"/>
            </w:tcMar>
            <w:vAlign w:val="bottom"/>
          </w:tcPr>
          <w:p/>
        </w:tc>
        <w:tc>
          <w:tcPr>
            <w:tcW w:type="dxa" w:w="993"/>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auto"/>
            <w:tcMar>
              <w:top w:type="dxa" w:w="80"/>
              <w:left w:type="dxa" w:w="80"/>
              <w:bottom w:type="dxa" w:w="80"/>
              <w:right w:type="dxa" w:w="80"/>
            </w:tcMar>
            <w:vAlign w:val="bottom"/>
          </w:tcPr>
          <w:p/>
        </w:tc>
        <w:tc>
          <w:tcPr>
            <w:tcW w:type="dxa" w:w="993"/>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auto"/>
            <w:tcMar>
              <w:top w:type="dxa" w:w="80"/>
              <w:left w:type="dxa" w:w="80"/>
              <w:bottom w:type="dxa" w:w="80"/>
              <w:right w:type="dxa" w:w="80"/>
            </w:tcMar>
            <w:vAlign w:val="bottom"/>
          </w:tcPr>
          <w:p/>
        </w:tc>
        <w:tc>
          <w:tcPr>
            <w:tcW w:type="dxa" w:w="993"/>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11</w:t>
            </w:r>
          </w:p>
        </w:tc>
        <w:tc>
          <w:tcPr>
            <w:tcW w:type="dxa" w:w="993"/>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396</w:t>
            </w:r>
          </w:p>
        </w:tc>
        <w:tc>
          <w:tcPr>
            <w:tcW w:type="dxa" w:w="993"/>
            <w:tcBorders>
              <w:top w:val="single" w:color="cccccc" w:sz="4" w:space="0" w:shadow="0" w:frame="0"/>
              <w:left w:val="single" w:color="cccccc"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Body"/>
              <w:widowControl w:val="0"/>
              <w:jc w:val="right"/>
            </w:pPr>
            <w:r>
              <w:rPr>
                <w:rStyle w:val="None"/>
                <w:sz w:val="20"/>
                <w:szCs w:val="20"/>
                <w:shd w:val="nil" w:color="auto" w:fill="auto"/>
                <w:rtl w:val="0"/>
                <w:lang w:val="en-US"/>
              </w:rPr>
              <w:t>1002</w:t>
            </w:r>
          </w:p>
        </w:tc>
      </w:tr>
    </w:tbl>
    <w:p>
      <w:pPr>
        <w:pStyle w:val="Body"/>
        <w:widowControl w:val="0"/>
        <w:spacing w:line="240" w:lineRule="auto"/>
        <w:rPr>
          <w:rStyle w:val="None"/>
          <w:outline w:val="0"/>
          <w:color w:val="434343"/>
          <w:sz w:val="28"/>
          <w:szCs w:val="28"/>
          <w:u w:color="434343"/>
          <w14:textFill>
            <w14:solidFill>
              <w14:srgbClr w14:val="434343"/>
            </w14:solidFill>
          </w14:textFill>
        </w:rPr>
      </w:pPr>
    </w:p>
    <w:p>
      <w:pPr>
        <w:pStyle w:val="Body"/>
        <w:rPr>
          <w:rStyle w:val="None"/>
          <w:outline w:val="0"/>
          <w:color w:val="434343"/>
          <w:sz w:val="28"/>
          <w:szCs w:val="28"/>
          <w:u w:color="434343"/>
          <w14:textFill>
            <w14:solidFill>
              <w14:srgbClr w14:val="434343"/>
            </w14:solidFill>
          </w14:textFill>
        </w:rPr>
      </w:pPr>
    </w:p>
    <w:p>
      <w:pPr>
        <w:pStyle w:val="Body"/>
        <w:rPr>
          <w:rStyle w:val="None"/>
          <w:outline w:val="0"/>
          <w:color w:val="434343"/>
          <w:sz w:val="28"/>
          <w:szCs w:val="28"/>
          <w:u w:color="434343"/>
          <w14:textFill>
            <w14:solidFill>
              <w14:srgbClr w14:val="434343"/>
            </w14:solidFill>
          </w14:textFill>
        </w:rPr>
      </w:pPr>
      <w:r>
        <w:rPr>
          <w:rStyle w:val="None"/>
          <w:outline w:val="0"/>
          <w:color w:val="434343"/>
          <w:sz w:val="28"/>
          <w:szCs w:val="28"/>
          <w:u w:color="434343"/>
          <w:rtl w:val="0"/>
          <w:lang w:val="fr-FR"/>
          <w14:textFill>
            <w14:solidFill>
              <w14:srgbClr w14:val="434343"/>
            </w14:solidFill>
          </w14:textFill>
        </w:rPr>
        <w:t>References:</w:t>
      </w:r>
    </w:p>
    <w:p>
      <w:pPr>
        <w:pStyle w:val="Body"/>
        <w:numPr>
          <w:ilvl w:val="0"/>
          <w:numId w:val="6"/>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"https://www.thepharmajournal.com/archives/2021/vol10issue9S/PartH/S-10-9-81-195.pdf"</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lang w:val="en-US"/>
          <w14:textFill>
            <w14:solidFill>
              <w14:srgbClr w14:val="1155CC"/>
            </w14:solidFill>
          </w14:textFill>
        </w:rPr>
        <w:t>https://www.thepharmajournal.com/archives/2021/vol10issue9S/PartH/S-10-9-81-195.pdf</w:t>
      </w:r>
      <w:r>
        <w:rPr>
          <w:outline w:val="0"/>
          <w:color w:val="434343"/>
          <w:sz w:val="28"/>
          <w:szCs w:val="28"/>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"https://agritech.tnau.ac.in/horticulture/horti_cost%2520of%2520cultivation.html"</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it-IT"/>
          <w14:textFill>
            <w14:solidFill>
              <w14:srgbClr w14:val="1155CC"/>
            </w14:solidFill>
          </w14:textFill>
        </w:rPr>
        <w:t>https://agritech.tnau.ac.in/horticulture/horti_cost%20of%20cultivation.html</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"https://agritech.tnau.ac.in/horticulture/horti_cost%2520of%2520cultivation.html"</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it-IT"/>
          <w14:textFill>
            <w14:solidFill>
              <w14:srgbClr w14:val="1155CC"/>
            </w14:solidFill>
          </w14:textFill>
        </w:rPr>
        <w:t>https://agritech.tnau.ac.in/horticulture/horti_cost%20of%20cultivation.html</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"https://horticulture.tg.nic.in/HFarm/Downloads/G.O.No.31%2520-%252019.07.2017%2520-%2520Land%2520Acquisition.pdf"</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en-US"/>
          <w14:textFill>
            <w14:solidFill>
              <w14:srgbClr w14:val="1155CC"/>
            </w14:solidFill>
          </w14:textFill>
        </w:rPr>
        <w:t>https://horticulture.tg.nic.in/HFarm/Downloads/G.O.No.31%20-%2019.07.2017%20-%20Land%20Acquisition.pdf</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"https://www.agrifarming.in/mango-farming-project-report-cost-and-profit-analysis"</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en-US"/>
          <w14:textFill>
            <w14:solidFill>
              <w14:srgbClr w14:val="1155CC"/>
            </w14:solidFill>
          </w14:textFill>
        </w:rPr>
        <w:t>https://www.agrifarming.in/mango-farming-project-report-cost-and-profit-analysis</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"https://agritech.tnau.ac.in/horticulture/horti_spice%2520crops_tamarind.html"</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14:textFill>
            <w14:solidFill>
              <w14:srgbClr w14:val="1155CC"/>
            </w14:solidFill>
          </w14:textFill>
        </w:rPr>
        <w:t>https://agritech.tnau.ac.in/horticulture/horti_spice%20crops_tamarind.html</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"https://www.agrifarming.in/tamrind-cultivation-income-cost-yield-project-report"</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it-IT"/>
          <w14:textFill>
            <w14:solidFill>
              <w14:srgbClr w14:val="1155CC"/>
            </w14:solidFill>
          </w14:textFill>
        </w:rPr>
        <w:t>https://www.agrifarming.in/tamrind-cultivation-income-cost-yield-project-report</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"https://farmer.gov.in/imagedefault/handbooks/BooKLet/MAHARASHTRA/20141110124058_Improved%2520Practices%2520for%2520Cashew%2520Production.pdf"</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en-US"/>
          <w14:textFill>
            <w14:solidFill>
              <w14:srgbClr w14:val="1155CC"/>
            </w14:solidFill>
          </w14:textFill>
        </w:rPr>
        <w:t>https://farmer.gov.in/imagedefault/handbooks/BooKLet/MAHARASHTRA/20141110124058_Improved%20Practices%20for%20Cashew%20Production.pdf</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"https://horticulture.tg.nic.in/HFarm/Downloads/G.O.No.31%2520-%252019.07.2017%2520-%2520Land%2520Acquisition.pdf"</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en-US"/>
          <w14:textFill>
            <w14:solidFill>
              <w14:srgbClr w14:val="1155CC"/>
            </w14:solidFill>
          </w14:textFill>
        </w:rPr>
        <w:t>https://horticulture.tg.nic.in/HFarm/Downloads/G.O.No.31%20-%2019.07.2017%20-%20Land%20Acquisition.pdf</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"https://nhb.gov.in/report_files/guava/GUAVA.htm"</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14:textFill>
            <w14:solidFill>
              <w14:srgbClr w14:val="1155CC"/>
            </w14:solidFill>
          </w14:textFill>
        </w:rPr>
        <w:t>https://nhb.gov.in/report_files/guava/GUAVA.htm</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"http://www.agritech.tnau.ac.in/expert_system/coconut/coconut/coconut_cost_of_cultivation.html"</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en-US"/>
          <w14:textFill>
            <w14:solidFill>
              <w14:srgbClr w14:val="1155CC"/>
            </w14:solidFill>
          </w14:textFill>
        </w:rPr>
        <w:t>http://www.agritech.tnau.ac.in/expert_system/coconut/coconut/coconut_cost_of_cultivation.html</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"https://www.agrifarming.in/jamun-cultivation-income-alla-neredu-project-report%23:~:text=Farmer%2520can%2520bag%2520up%2520to,from%2520one%2520acre%2520of%2520land."</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en-US"/>
          <w14:textFill>
            <w14:solidFill>
              <w14:srgbClr w14:val="1155CC"/>
            </w14:solidFill>
          </w14:textFill>
        </w:rPr>
        <w:t>https://www.agrifarming.in/jamun-cultivation-income-alla-neredu-project-report#:~:text=Farmer%20can%20bag%20up%20to,from%20one%20acre%20of%20land.</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"https://agritech.tnau.ac.in/horticulture/horti_cost%2520of%2520cultivation.html"</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it-IT"/>
          <w14:textFill>
            <w14:solidFill>
              <w14:srgbClr w14:val="1155CC"/>
            </w14:solidFill>
          </w14:textFill>
        </w:rPr>
        <w:t>https://agritech.tnau.ac.in/horticulture/horti_cost%20of%20cultivation.html</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"https://agritech.tnau.ac.in/horticulture/horti_cost%2520of%2520cultivation.html"</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it-IT"/>
          <w14:textFill>
            <w14:solidFill>
              <w14:srgbClr w14:val="1155CC"/>
            </w14:solidFill>
          </w14:textFill>
        </w:rPr>
        <w:t>https://agritech.tnau.ac.in/horticulture/horti_cost%20of%20cultivation.html</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"https://kapricom.karnataka.gov.in/storage/pdf-files/KAPCAnnualReport2021-22Part1.pdf"</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14:textFill>
            <w14:solidFill>
              <w14:srgbClr w14:val="1155CC"/>
            </w14:solidFill>
          </w14:textFill>
        </w:rPr>
        <w:t>https://kapricom.karnataka.gov.in/storage/pdf-files/KAPCAnnualReport2021-22Part1.pdf</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www.krishimaratavahini.kar.nic.in/MainPage/DailyMrktPriceRep2.aspx?Rep=Com&amp;CommCode=78&amp;VarCode=4&amp;Date=01/03/2018&amp;CommName=Tomato%2520/%2520%25E0%25B2%259F%25E0%25B3%258A%25E0%25B2%25AE%25E0%25B3%258D%25E0%25B2%25AF%25E0%25B2%25BE%25E0%25B2%259F%25E0%25B3%258A&amp;VarName=Hybrid%2520/%2520%25E0%25B2%25B9%25E0%25B3%2588%25E0%25B2%25AC%25E0%25B3%258D%25E0%25B2%25B0%25E0%25B2%25BF%25E0%25B2%25A1%25E0%25B3%258D"</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14:textFill>
            <w14:solidFill>
              <w14:srgbClr w14:val="1155CC"/>
            </w14:solidFill>
          </w14:textFill>
        </w:rPr>
        <w:t>https://www.krishimaratavahini.kar.nic.in/MainPage/DailyMrktPriceRep2.aspx?Rep=Com&amp;CommCode=78&amp;VarCode=4&amp;Date=01/03/2018&amp;CommName=Tomato%20/%20%E0%B2%9F%E0%B3%8A%E0%B2%AE%E0%B3%8D%E0%B2%AF%E0%B2%BE%E0%B2%9F%E0%B3%8A&amp;VarName=Hybrid%20/%20%E0%B2%B9%E0%B3%88%E0%B2%AC%E0%B3%8D%E0%B2%B0%E0%B2%BF%E0%B2%A1%E0%B3%8D</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"https://des.karnataka.gov.in/storage/pdf-files/AGS/2020-21%2520District%2520wise%2520Final%2520Estimates.pdf"</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14:textFill>
            <w14:solidFill>
              <w14:srgbClr w14:val="1155CC"/>
            </w14:solidFill>
          </w14:textFill>
        </w:rPr>
        <w:t>https://des.karnataka.gov.in/storage/pdf-files/AGS/2020-21%20District%20wise%20Final%20Estimates.pdf</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"https://iihr.res.in/varieties-crop-name/brinjal"</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14:textFill>
            <w14:solidFill>
              <w14:srgbClr w14:val="1155CC"/>
            </w14:solidFill>
          </w14:textFill>
        </w:rPr>
        <w:t>https://iihr.res.in/varieties-crop-name/brinjal</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"https://www.agrifarming.in/yelakki-banana-farming-in-india-production-and-cultivation-management-practices"</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en-US"/>
          <w14:textFill>
            <w14:solidFill>
              <w14:srgbClr w14:val="1155CC"/>
            </w14:solidFill>
          </w14:textFill>
        </w:rPr>
        <w:t>https://www.agrifarming.in/yelakki-banana-farming-in-india-production-and-cultivation-management-practices</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"https://raitamitra.karnataka.gov.in/english"</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14:textFill>
            <w14:solidFill>
              <w14:srgbClr w14:val="1155CC"/>
            </w14:solidFill>
          </w14:textFill>
        </w:rPr>
        <w:t>https://raitamitra.karnataka.gov.in/english</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"https://www.uasbangalore.edu.in/"</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14:textFill>
            <w14:solidFill>
              <w14:srgbClr w14:val="1155CC"/>
            </w14:solidFill>
          </w14:textFill>
        </w:rPr>
        <w:t>https://www.uasbangalore.edu.in/</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"https://www.icar.gov.in/"</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14:textFill>
            <w14:solidFill>
              <w14:srgbClr w14:val="1155CC"/>
            </w14:solidFill>
          </w14:textFill>
        </w:rPr>
        <w:t>https://www.icar.gov.in/</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"https://eands.dacnet.nic.in/Plot-Level-Summary-Data.htm"</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de-DE"/>
          <w14:textFill>
            <w14:solidFill>
              <w14:srgbClr w14:val="1155CC"/>
            </w14:solidFill>
          </w14:textFill>
        </w:rPr>
        <w:t>https://eands.dacnet.nic.in/Plot-Level-Summary-Data.htm</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lang w:val="en-US"/>
          <w14:textFill>
            <w14:solidFill>
              <w14:srgbClr w14:val="434343"/>
            </w14:solidFill>
          </w14:textFill>
        </w:rPr>
      </w:pPr>
      <w:r>
        <w:rPr>
          <w:rStyle w:val="None"/>
          <w:outline w:val="0"/>
          <w:color w:val="434343"/>
          <w:sz w:val="20"/>
          <w:szCs w:val="20"/>
          <w:u w:color="434343"/>
          <w:shd w:val="clear" w:color="auto" w:fill="ffffff"/>
          <w:rtl w:val="0"/>
          <w:lang w:val="en-US"/>
          <w14:textFill>
            <w14:solidFill>
              <w14:srgbClr w14:val="434343"/>
            </w14:solidFill>
          </w14:textFill>
        </w:rPr>
        <w:t xml:space="preserve">Champaneri, Dushyant &amp; Patel, Naren &amp; Desai, Chirag &amp; Bhupendrabhai, Tandel. (2020). Economics of Indian Bean [Lablab purpureus (L.) Sweet] Production Influenced by Application of Novel Organic Liquid Nutrient and Novel Plus Organic Liquid Nutrient. Asian Journal of Agricultural Extension, Economics &amp; Sociology. 10.9734/AJAEES/2020/v38i930414. </w:t>
      </w:r>
    </w:p>
    <w:p>
      <w:pPr>
        <w:pStyle w:val="Body"/>
        <w:numPr>
          <w:ilvl w:val="0"/>
          <w:numId w:val="7"/>
        </w:numPr>
        <w:bidi w:val="0"/>
        <w:ind w:right="0"/>
        <w:jc w:val="left"/>
        <w:rPr>
          <w:outline w:val="0"/>
          <w:color w:val="434343"/>
          <w:sz w:val="20"/>
          <w:szCs w:val="20"/>
          <w:rtl w:val="0"/>
          <w:lang w:val="de-DE"/>
          <w14:textFill>
            <w14:solidFill>
              <w14:srgbClr w14:val="434343"/>
            </w14:solidFill>
          </w14:textFill>
        </w:rPr>
      </w:pPr>
      <w:r>
        <w:rPr>
          <w:rStyle w:val="None"/>
          <w:outline w:val="0"/>
          <w:color w:val="434343"/>
          <w:sz w:val="20"/>
          <w:szCs w:val="20"/>
          <w:u w:color="434343"/>
          <w:shd w:val="clear" w:color="auto" w:fill="ffffff"/>
          <w:rtl w:val="0"/>
          <w:lang w:val="de-DE"/>
          <w14:textFill>
            <w14:solidFill>
              <w14:srgbClr w14:val="434343"/>
            </w14:solidFill>
          </w14:textFill>
        </w:rPr>
        <w:t>Heuz</w:t>
      </w:r>
      <w:r>
        <w:rPr>
          <w:rStyle w:val="None"/>
          <w:outline w:val="0"/>
          <w:color w:val="434343"/>
          <w:sz w:val="20"/>
          <w:szCs w:val="20"/>
          <w:u w:color="434343"/>
          <w:shd w:val="clear" w:color="auto" w:fill="ffffff"/>
          <w:rtl w:val="0"/>
          <w:lang w:val="fr-FR"/>
          <w14:textFill>
            <w14:solidFill>
              <w14:srgbClr w14:val="434343"/>
            </w14:solidFill>
          </w14:textFill>
        </w:rPr>
        <w:t xml:space="preserve">é </w:t>
      </w:r>
      <w:r>
        <w:rPr>
          <w:rStyle w:val="None"/>
          <w:outline w:val="0"/>
          <w:color w:val="434343"/>
          <w:sz w:val="20"/>
          <w:szCs w:val="20"/>
          <w:u w:color="434343"/>
          <w:shd w:val="clear" w:color="auto" w:fill="ffffff"/>
          <w:rtl w:val="0"/>
          <w:lang w:val="en-US"/>
          <w14:textFill>
            <w14:solidFill>
              <w14:srgbClr w14:val="434343"/>
            </w14:solidFill>
          </w14:textFill>
        </w:rPr>
        <w:t>V., Tran G., Sauvant D., Renaudeau D., Bastianelli D., Lebas F., 2016. Lablab (Lablab purpureus). Feedipedia, a programme by INRAE, CIRAD, AFZ and FAO. https://www.feedipedia.org/node/297 Last updated on February 19, 2016, 11:2</w:t>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"https://academicjournals.org/article/article1380902370_Nyambati%2520et%2520al.pdf"</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en-US"/>
          <w14:textFill>
            <w14:solidFill>
              <w14:srgbClr w14:val="1155CC"/>
            </w14:solidFill>
          </w14:textFill>
        </w:rPr>
        <w:t>https://academicjournals.org/article/article1380902370_Nyambati%20et%20al.pdf</w:t>
      </w:r>
      <w:r>
        <w:rPr>
          <w:outline w:val="0"/>
          <w:color w:val="434343"/>
          <w:sz w:val="20"/>
          <w:szCs w:val="20"/>
          <w14:textFill>
            <w14:solidFill>
              <w14:srgbClr w14:val="434343"/>
            </w14:solidFill>
          </w14:textFill>
        </w:rPr>
        <w:fldChar w:fldCharType="end" w:fldLock="0"/>
      </w:r>
    </w:p>
    <w:p>
      <w:pPr>
        <w:pStyle w:val="Body"/>
        <w:numPr>
          <w:ilvl w:val="0"/>
          <w:numId w:val="7"/>
        </w:numPr>
        <w:bidi w:val="0"/>
        <w:ind w:right="0"/>
        <w:jc w:val="left"/>
        <w:rPr>
          <w:outline w:val="0"/>
          <w:color w:val="434343"/>
          <w:sz w:val="20"/>
          <w:szCs w:val="20"/>
          <w:rtl w:val="0"/>
          <w14:textFill>
            <w14:solidFill>
              <w14:srgbClr w14:val="434343"/>
            </w14:solidFill>
          </w14:textFill>
        </w:rPr>
      </w:pPr>
      <w:r>
        <w:rPr>
          <w:rStyle w:val="Hyperlink.4"/>
          <w:outline w:val="0"/>
          <w:color w:val="1155cc"/>
          <w:sz w:val="20"/>
          <w:szCs w:val="20"/>
          <w:u w:val="single" w:color="1155cc"/>
          <w:shd w:val="clear" w:color="auto" w:fill="ffffff"/>
          <w14:textFill>
            <w14:solidFill>
              <w14:srgbClr w14:val="1155CC"/>
            </w14:solidFill>
          </w14:textFill>
        </w:rPr>
        <w:fldChar w:fldCharType="begin" w:fldLock="0"/>
      </w:r>
      <w:r>
        <w:rPr>
          <w:rStyle w:val="Hyperlink.4"/>
          <w:outline w:val="0"/>
          <w:color w:val="1155cc"/>
          <w:sz w:val="20"/>
          <w:szCs w:val="20"/>
          <w:u w:val="single" w:color="1155cc"/>
          <w:shd w:val="clear" w:color="auto" w:fill="ffffff"/>
          <w14:textFill>
            <w14:solidFill>
              <w14:srgbClr w14:val="1155CC"/>
            </w14:solidFill>
          </w14:textFill>
        </w:rPr>
        <w:instrText xml:space="preserve"> HYPERLINK "https://indiawris.gov.in/wris/%23/rainfall"</w:instrText>
      </w:r>
      <w:r>
        <w:rPr>
          <w:rStyle w:val="Hyperlink.4"/>
          <w:outline w:val="0"/>
          <w:color w:val="1155cc"/>
          <w:sz w:val="20"/>
          <w:szCs w:val="20"/>
          <w:u w:val="single" w:color="1155cc"/>
          <w:shd w:val="clear" w:color="auto" w:fill="ffffff"/>
          <w14:textFill>
            <w14:solidFill>
              <w14:srgbClr w14:val="1155CC"/>
            </w14:solidFill>
          </w14:textFill>
        </w:rPr>
        <w:fldChar w:fldCharType="separate" w:fldLock="0"/>
      </w:r>
      <w:r>
        <w:rPr>
          <w:rStyle w:val="Hyperlink.4"/>
          <w:outline w:val="0"/>
          <w:color w:val="1155cc"/>
          <w:sz w:val="20"/>
          <w:szCs w:val="20"/>
          <w:u w:val="single" w:color="1155cc"/>
          <w:shd w:val="clear" w:color="auto" w:fill="ffffff"/>
          <w:rtl w:val="0"/>
          <w:lang w:val="it-IT"/>
          <w14:textFill>
            <w14:solidFill>
              <w14:srgbClr w14:val="1155CC"/>
            </w14:solidFill>
          </w14:textFill>
        </w:rPr>
        <w:t>https://indiawris.gov.in/wris/#/rainfall</w:t>
      </w:r>
      <w:r>
        <w:rPr>
          <w:outline w:val="0"/>
          <w:color w:val="434343"/>
          <w:sz w:val="20"/>
          <w:szCs w:val="20"/>
          <w14:textFill>
            <w14:solidFill>
              <w14:srgbClr w14:val="434343"/>
            </w14:solidFill>
          </w14:textFill>
        </w:rPr>
        <w:fldChar w:fldCharType="end" w:fldLock="0"/>
      </w:r>
    </w:p>
    <w:p>
      <w:pPr>
        <w:pStyle w:val="Body"/>
        <w:numPr>
          <w:ilvl w:val="0"/>
          <w:numId w:val="8"/>
        </w:numPr>
        <w:bidi w:val="0"/>
        <w:ind w:right="0"/>
        <w:jc w:val="left"/>
        <w:rPr>
          <w:outline w:val="0"/>
          <w:color w:val="434343"/>
          <w:sz w:val="23"/>
          <w:szCs w:val="23"/>
          <w:rtl w:val="0"/>
          <w:lang w:val="en-US"/>
          <w14:textFill>
            <w14:solidFill>
              <w14:srgbClr w14:val="434343"/>
            </w14:solidFill>
          </w14:textFill>
        </w:rPr>
      </w:pPr>
      <w:r>
        <w:rPr>
          <w:rStyle w:val="None"/>
          <w:outline w:val="0"/>
          <w:color w:val="434343"/>
          <w:sz w:val="23"/>
          <w:szCs w:val="23"/>
          <w:u w:color="434343"/>
          <w:shd w:val="clear" w:color="auto" w:fill="ffffff"/>
          <w:rtl w:val="0"/>
          <w:lang w:val="en-US"/>
          <w14:textFill>
            <w14:solidFill>
              <w14:srgbClr w14:val="434343"/>
            </w14:solidFill>
          </w14:textFill>
        </w:rPr>
        <w:t xml:space="preserve">Zanne, A.E., Lopez-Gonzalez, G.*, Coomes, D.A., Ilic, J., Jansen, S., Lewis, S.L., Miller, R.B., Swenson, N.G., Wiemann, M.C., and Chave, J. 2009. Global wood density database. Dryad. Identifier: http://hdl.handle.net/10255/dryad.235. </w:t>
      </w:r>
    </w:p>
    <w:p>
      <w:pPr>
        <w:pStyle w:val="Body"/>
        <w:numPr>
          <w:ilvl w:val="0"/>
          <w:numId w:val="9"/>
        </w:numPr>
        <w:bidi w:val="0"/>
        <w:ind w:right="0"/>
        <w:jc w:val="left"/>
        <w:rPr>
          <w:outline w:val="0"/>
          <w:color w:val="434343"/>
          <w:sz w:val="23"/>
          <w:szCs w:val="23"/>
          <w:rtl w:val="0"/>
          <w14:textFill>
            <w14:solidFill>
              <w14:srgbClr w14:val="434343"/>
            </w14:solidFill>
          </w14:textFill>
        </w:rPr>
      </w:pPr>
      <w:r>
        <w:rPr>
          <w:rStyle w:val="Hyperlink.4"/>
          <w:outline w:val="0"/>
          <w:color w:val="1155cc"/>
          <w:sz w:val="23"/>
          <w:szCs w:val="23"/>
          <w:u w:val="single" w:color="1155cc"/>
          <w:shd w:val="clear" w:color="auto" w:fill="ffffff"/>
          <w14:textFill>
            <w14:solidFill>
              <w14:srgbClr w14:val="1155CC"/>
            </w14:solidFill>
          </w14:textFill>
        </w:rPr>
        <w:fldChar w:fldCharType="begin" w:fldLock="0"/>
      </w:r>
      <w:r>
        <w:rPr>
          <w:rStyle w:val="Hyperlink.4"/>
          <w:outline w:val="0"/>
          <w:color w:val="1155cc"/>
          <w:sz w:val="23"/>
          <w:szCs w:val="23"/>
          <w:u w:val="single" w:color="1155cc"/>
          <w:shd w:val="clear" w:color="auto" w:fill="ffffff"/>
          <w14:textFill>
            <w14:solidFill>
              <w14:srgbClr w14:val="1155CC"/>
            </w14:solidFill>
          </w14:textFill>
        </w:rPr>
        <w:instrText xml:space="preserve"> HYPERLINK "https://fsi.nic.in/isfr-2021/refference-annxure-contribute.pdf"</w:instrText>
      </w:r>
      <w:r>
        <w:rPr>
          <w:rStyle w:val="Hyperlink.4"/>
          <w:outline w:val="0"/>
          <w:color w:val="1155cc"/>
          <w:sz w:val="23"/>
          <w:szCs w:val="23"/>
          <w:u w:val="single" w:color="1155cc"/>
          <w:shd w:val="clear" w:color="auto" w:fill="ffffff"/>
          <w14:textFill>
            <w14:solidFill>
              <w14:srgbClr w14:val="1155CC"/>
            </w14:solidFill>
          </w14:textFill>
        </w:rPr>
        <w:fldChar w:fldCharType="separate" w:fldLock="0"/>
      </w:r>
      <w:r>
        <w:rPr>
          <w:rStyle w:val="Hyperlink.4"/>
          <w:outline w:val="0"/>
          <w:color w:val="1155cc"/>
          <w:sz w:val="23"/>
          <w:szCs w:val="23"/>
          <w:u w:val="single" w:color="1155cc"/>
          <w:shd w:val="clear" w:color="auto" w:fill="ffffff"/>
          <w:rtl w:val="0"/>
          <w:lang w:val="en-US"/>
          <w14:textFill>
            <w14:solidFill>
              <w14:srgbClr w14:val="1155CC"/>
            </w14:solidFill>
          </w14:textFill>
        </w:rPr>
        <w:t>https://fsi.nic.in/isfr-2021/refference-annxure-contribute.pdf</w:t>
      </w:r>
      <w:r>
        <w:rPr>
          <w:outline w:val="0"/>
          <w:color w:val="434343"/>
          <w:sz w:val="23"/>
          <w:szCs w:val="23"/>
          <w14:textFill>
            <w14:solidFill>
              <w14:srgbClr w14:val="434343"/>
            </w14:solidFill>
          </w14:textFill>
        </w:rPr>
        <w:fldChar w:fldCharType="end" w:fldLock="0"/>
      </w:r>
    </w:p>
    <w:p>
      <w:pPr>
        <w:pStyle w:val="Body"/>
        <w:numPr>
          <w:ilvl w:val="0"/>
          <w:numId w:val="9"/>
        </w:numPr>
        <w:bidi w:val="0"/>
        <w:ind w:right="0"/>
        <w:jc w:val="left"/>
        <w:rPr>
          <w:outline w:val="0"/>
          <w:color w:val="434343"/>
          <w:sz w:val="23"/>
          <w:szCs w:val="23"/>
          <w:rtl w:val="0"/>
          <w14:textFill>
            <w14:solidFill>
              <w14:srgbClr w14:val="434343"/>
            </w14:solidFill>
          </w14:textFill>
        </w:rPr>
      </w:pPr>
      <w:r>
        <w:rPr>
          <w:rStyle w:val="Hyperlink.4"/>
          <w:outline w:val="0"/>
          <w:color w:val="1155cc"/>
          <w:sz w:val="23"/>
          <w:szCs w:val="23"/>
          <w:u w:val="single" w:color="1155cc"/>
          <w:shd w:val="clear" w:color="auto" w:fill="ffffff"/>
          <w14:textFill>
            <w14:solidFill>
              <w14:srgbClr w14:val="1155CC"/>
            </w14:solidFill>
          </w14:textFill>
        </w:rPr>
        <w:fldChar w:fldCharType="begin" w:fldLock="0"/>
      </w:r>
      <w:r>
        <w:rPr>
          <w:rStyle w:val="Hyperlink.4"/>
          <w:outline w:val="0"/>
          <w:color w:val="1155cc"/>
          <w:sz w:val="23"/>
          <w:szCs w:val="23"/>
          <w:u w:val="single" w:color="1155cc"/>
          <w:shd w:val="clear" w:color="auto" w:fill="ffffff"/>
          <w14:textFill>
            <w14:solidFill>
              <w14:srgbClr w14:val="1155CC"/>
            </w14:solidFill>
          </w14:textFill>
        </w:rPr>
        <w:instrText xml:space="preserve"> HYPERLINK "https://webline.co.in/fsi-result/technical-information-series-vol2-no1-2020.pdf"</w:instrText>
      </w:r>
      <w:r>
        <w:rPr>
          <w:rStyle w:val="Hyperlink.4"/>
          <w:outline w:val="0"/>
          <w:color w:val="1155cc"/>
          <w:sz w:val="23"/>
          <w:szCs w:val="23"/>
          <w:u w:val="single" w:color="1155cc"/>
          <w:shd w:val="clear" w:color="auto" w:fill="ffffff"/>
          <w14:textFill>
            <w14:solidFill>
              <w14:srgbClr w14:val="1155CC"/>
            </w14:solidFill>
          </w14:textFill>
        </w:rPr>
        <w:fldChar w:fldCharType="separate" w:fldLock="0"/>
      </w:r>
      <w:r>
        <w:rPr>
          <w:rStyle w:val="Hyperlink.4"/>
          <w:outline w:val="0"/>
          <w:color w:val="1155cc"/>
          <w:sz w:val="23"/>
          <w:szCs w:val="23"/>
          <w:u w:val="single" w:color="1155cc"/>
          <w:shd w:val="clear" w:color="auto" w:fill="ffffff"/>
          <w:rtl w:val="0"/>
          <w:lang w:val="en-US"/>
          <w14:textFill>
            <w14:solidFill>
              <w14:srgbClr w14:val="1155CC"/>
            </w14:solidFill>
          </w14:textFill>
        </w:rPr>
        <w:t>https://webline.co.in/fsi-result/technical-information-series-vol2-no1-2020.pdf</w:t>
      </w:r>
      <w:r>
        <w:rPr>
          <w:outline w:val="0"/>
          <w:color w:val="434343"/>
          <w:sz w:val="23"/>
          <w:szCs w:val="23"/>
          <w14:textFill>
            <w14:solidFill>
              <w14:srgbClr w14:val="434343"/>
            </w14:solidFill>
          </w14:textFill>
        </w:rPr>
        <w:fldChar w:fldCharType="end" w:fldLock="0"/>
      </w:r>
    </w:p>
    <w:p>
      <w:pPr>
        <w:pStyle w:val="Body"/>
        <w:numPr>
          <w:ilvl w:val="0"/>
          <w:numId w:val="9"/>
        </w:numPr>
        <w:bidi w:val="0"/>
        <w:ind w:right="0"/>
        <w:jc w:val="left"/>
        <w:rPr>
          <w:outline w:val="0"/>
          <w:color w:val="434343"/>
          <w:sz w:val="23"/>
          <w:szCs w:val="23"/>
          <w:rtl w:val="0"/>
          <w14:textFill>
            <w14:solidFill>
              <w14:srgbClr w14:val="434343"/>
            </w14:solidFill>
          </w14:textFill>
        </w:rPr>
      </w:pPr>
      <w:r>
        <w:rPr>
          <w:rStyle w:val="Hyperlink.5"/>
          <w:outline w:val="0"/>
          <w:color w:val="0000ff"/>
          <w:sz w:val="23"/>
          <w:szCs w:val="23"/>
          <w:u w:val="single" w:color="0000ff"/>
          <w:shd w:val="clear" w:color="auto" w:fill="ffffff"/>
          <w14:textFill>
            <w14:solidFill>
              <w14:srgbClr w14:val="0000FF"/>
            </w14:solidFill>
          </w14:textFill>
        </w:rPr>
        <w:fldChar w:fldCharType="begin" w:fldLock="0"/>
      </w:r>
      <w:r>
        <w:rPr>
          <w:rStyle w:val="Hyperlink.5"/>
          <w:outline w:val="0"/>
          <w:color w:val="0000ff"/>
          <w:sz w:val="23"/>
          <w:szCs w:val="23"/>
          <w:u w:val="single" w:color="0000ff"/>
          <w:shd w:val="clear" w:color="auto" w:fill="ffffff"/>
          <w14:textFill>
            <w14:solidFill>
              <w14:srgbClr w14:val="0000FF"/>
            </w14:solidFill>
          </w14:textFill>
        </w:rPr>
        <w:instrText xml:space="preserve"> HYPERLINK "https://www.cabidigitallibrary.org/doi/10.1079/cabicompendium.50389"</w:instrText>
      </w:r>
      <w:r>
        <w:rPr>
          <w:rStyle w:val="Hyperlink.5"/>
          <w:outline w:val="0"/>
          <w:color w:val="0000ff"/>
          <w:sz w:val="23"/>
          <w:szCs w:val="23"/>
          <w:u w:val="single" w:color="0000ff"/>
          <w:shd w:val="clear" w:color="auto" w:fill="ffffff"/>
          <w14:textFill>
            <w14:solidFill>
              <w14:srgbClr w14:val="0000FF"/>
            </w14:solidFill>
          </w14:textFill>
        </w:rPr>
        <w:fldChar w:fldCharType="separate" w:fldLock="0"/>
      </w:r>
      <w:r>
        <w:rPr>
          <w:rStyle w:val="Hyperlink.5"/>
          <w:outline w:val="0"/>
          <w:color w:val="0000ff"/>
          <w:sz w:val="23"/>
          <w:szCs w:val="23"/>
          <w:u w:val="single" w:color="0000ff"/>
          <w:shd w:val="clear" w:color="auto" w:fill="ffffff"/>
          <w:rtl w:val="0"/>
          <w:lang w:val="en-US"/>
          <w14:textFill>
            <w14:solidFill>
              <w14:srgbClr w14:val="0000FF"/>
            </w14:solidFill>
          </w14:textFill>
        </w:rPr>
        <w:t>https://www.cabidigitallibrary.org/doi/10.1079/cabicompendium.50389</w:t>
      </w:r>
      <w:r>
        <w:rPr>
          <w:outline w:val="0"/>
          <w:color w:val="434343"/>
          <w:sz w:val="23"/>
          <w:szCs w:val="23"/>
          <w14:textFill>
            <w14:solidFill>
              <w14:srgbClr w14:val="434343"/>
            </w14:solidFill>
          </w14:textFill>
        </w:rPr>
        <w:fldChar w:fldCharType="end" w:fldLock="0"/>
      </w:r>
    </w:p>
    <w:p>
      <w:pPr>
        <w:pStyle w:val="Body"/>
        <w:numPr>
          <w:ilvl w:val="0"/>
          <w:numId w:val="9"/>
        </w:numPr>
        <w:bidi w:val="0"/>
        <w:ind w:right="0"/>
        <w:jc w:val="left"/>
        <w:rPr>
          <w:outline w:val="0"/>
          <w:color w:val="434343"/>
          <w:sz w:val="23"/>
          <w:szCs w:val="23"/>
          <w:rtl w:val="0"/>
          <w:lang w:val="en-US"/>
          <w14:textFill>
            <w14:solidFill>
              <w14:srgbClr w14:val="434343"/>
            </w14:solidFill>
          </w14:textFill>
        </w:rPr>
      </w:pPr>
      <w:r>
        <w:rPr>
          <w:rStyle w:val="None"/>
          <w:outline w:val="0"/>
          <w:color w:val="434343"/>
          <w:sz w:val="23"/>
          <w:szCs w:val="23"/>
          <w:u w:color="434343"/>
          <w:shd w:val="clear" w:color="auto" w:fill="ffffff"/>
          <w:rtl w:val="0"/>
          <w:lang w:val="en-US"/>
          <w14:textFill>
            <w14:solidFill>
              <w14:srgbClr w14:val="434343"/>
            </w14:solidFill>
          </w14:textFill>
        </w:rPr>
        <w:t>doi: 10.1111/gcb.12629</w:t>
      </w:r>
    </w:p>
    <w:p>
      <w:pPr>
        <w:pStyle w:val="Body"/>
        <w:numPr>
          <w:ilvl w:val="0"/>
          <w:numId w:val="9"/>
        </w:numPr>
        <w:bidi w:val="0"/>
        <w:ind w:right="0"/>
        <w:jc w:val="left"/>
        <w:rPr>
          <w:outline w:val="0"/>
          <w:color w:val="434343"/>
          <w:sz w:val="23"/>
          <w:szCs w:val="23"/>
          <w:rtl w:val="0"/>
          <w14:textFill>
            <w14:solidFill>
              <w14:srgbClr w14:val="434343"/>
            </w14:solidFill>
          </w14:textFill>
        </w:rPr>
      </w:pPr>
      <w:r>
        <w:rPr>
          <w:rStyle w:val="Hyperlink.5"/>
          <w:outline w:val="0"/>
          <w:color w:val="0000ff"/>
          <w:sz w:val="23"/>
          <w:szCs w:val="23"/>
          <w:u w:val="single" w:color="0000ff"/>
          <w:shd w:val="clear" w:color="auto" w:fill="ffffff"/>
          <w14:textFill>
            <w14:solidFill>
              <w14:srgbClr w14:val="0000FF"/>
            </w14:solidFill>
          </w14:textFill>
        </w:rPr>
        <w:fldChar w:fldCharType="begin" w:fldLock="0"/>
      </w:r>
      <w:r>
        <w:rPr>
          <w:rStyle w:val="Hyperlink.5"/>
          <w:outline w:val="0"/>
          <w:color w:val="0000ff"/>
          <w:sz w:val="23"/>
          <w:szCs w:val="23"/>
          <w:u w:val="single" w:color="0000ff"/>
          <w:shd w:val="clear" w:color="auto" w:fill="ffffff"/>
          <w14:textFill>
            <w14:solidFill>
              <w14:srgbClr w14:val="0000FF"/>
            </w14:solidFill>
          </w14:textFill>
        </w:rPr>
        <w:instrText xml:space="preserve"> HYPERLINK "https://www.researchgate.net/publication/237339477_Wood_Densities_of_Tropical_Tree_Species"</w:instrText>
      </w:r>
      <w:r>
        <w:rPr>
          <w:rStyle w:val="Hyperlink.5"/>
          <w:outline w:val="0"/>
          <w:color w:val="0000ff"/>
          <w:sz w:val="23"/>
          <w:szCs w:val="23"/>
          <w:u w:val="single" w:color="0000ff"/>
          <w:shd w:val="clear" w:color="auto" w:fill="ffffff"/>
          <w14:textFill>
            <w14:solidFill>
              <w14:srgbClr w14:val="0000FF"/>
            </w14:solidFill>
          </w14:textFill>
        </w:rPr>
        <w:fldChar w:fldCharType="separate" w:fldLock="0"/>
      </w:r>
      <w:r>
        <w:rPr>
          <w:rStyle w:val="Hyperlink.5"/>
          <w:outline w:val="0"/>
          <w:color w:val="0000ff"/>
          <w:sz w:val="23"/>
          <w:szCs w:val="23"/>
          <w:u w:val="single" w:color="0000ff"/>
          <w:shd w:val="clear" w:color="auto" w:fill="ffffff"/>
          <w:rtl w:val="0"/>
          <w:lang w:val="en-US"/>
          <w14:textFill>
            <w14:solidFill>
              <w14:srgbClr w14:val="0000FF"/>
            </w14:solidFill>
          </w14:textFill>
        </w:rPr>
        <w:t>https://www.researchgate.net/publication/237339477_Wood_Densities_of_Tropical_Tree_Species</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"https://des.karnataka.gov.in/storage/pdf-files/AGS/2020-21%2520District%2520wise%2520Final%2520Estimates.pdf"</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14:textFill>
            <w14:solidFill>
              <w14:srgbClr w14:val="1155CC"/>
            </w14:solidFill>
          </w14:textFill>
        </w:rPr>
        <w:t>https://des.karnataka.gov.in/storage/pdf-files/AGS/2020-21%20District%20wise%20Final%20Estimates.pdf</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"http://www.agritech.tnau.ac.in/expert_system/cattlebuffalo/Fodder%2520Production.html%23Legume"</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lang w:val="en-US"/>
          <w14:textFill>
            <w14:solidFill>
              <w14:srgbClr w14:val="1155CC"/>
            </w14:solidFill>
          </w14:textFill>
        </w:rPr>
        <w:t>http://www.agritech.tnau.ac.in/expert_system/cattlebuffalo/Fodder%20Production.html#Legume</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"https://eands.dacnet.nic.in/fhprice/FHP%2520Publication%25202021-22.pdf"</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14:textFill>
            <w14:solidFill>
              <w14:srgbClr w14:val="1155CC"/>
            </w14:solidFill>
          </w14:textFill>
        </w:rPr>
        <w:t>https://eands.dacnet.nic.in/fhprice/FHP%20Publication%202021-22.pdf</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"https://www.feedipedia.org/node/744"</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lang w:val="en-US"/>
          <w14:textFill>
            <w14:solidFill>
              <w14:srgbClr w14:val="1155CC"/>
            </w14:solidFill>
          </w14:textFill>
        </w:rPr>
        <w:t>https://www.feedipedia.org/node/744</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"https://kapricom.karnataka.gov.in/storage/pdf-files/Assured%2520Price%2520&amp;%2520Stable%2520Market%2520Report%25202018.pdf"</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14:textFill>
            <w14:solidFill>
              <w14:srgbClr w14:val="1155CC"/>
            </w14:solidFill>
          </w14:textFill>
        </w:rPr>
        <w:t>https://kapricom.karnataka.gov.in/storage/pdf-files/Assured%20Price%20&amp;%20Stable%20Market%20Report%202018.pdf</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"https://www.fao.org/fileadmin/user_upload/energy/befs/natural_resources/external/Agricultural_Residues__tool_2.0.xlsm"</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lang w:val="en-US"/>
          <w14:textFill>
            <w14:solidFill>
              <w14:srgbClr w14:val="1155CC"/>
            </w14:solidFill>
          </w14:textFill>
        </w:rPr>
        <w:t>https://www.fao.org/fileadmin/user_upload/energy/befs/natural_resources/external/Agricultural_Residues__tool_2.0.xlsm</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6"/>
          <w:outline w:val="0"/>
          <w:color w:val="1967d2"/>
          <w:sz w:val="20"/>
          <w:szCs w:val="20"/>
          <w:u w:val="single" w:color="1967d2"/>
          <w:shd w:val="clear" w:color="auto" w:fill="ffffff"/>
          <w14:textFill>
            <w14:solidFill>
              <w14:srgbClr w14:val="1967D2"/>
            </w14:solidFill>
          </w14:textFill>
        </w:rPr>
        <w:fldChar w:fldCharType="begin" w:fldLock="0"/>
      </w:r>
      <w:r>
        <w:rPr>
          <w:rStyle w:val="Hyperlink.6"/>
          <w:outline w:val="0"/>
          <w:color w:val="1967d2"/>
          <w:sz w:val="20"/>
          <w:szCs w:val="20"/>
          <w:u w:val="single" w:color="1967d2"/>
          <w:shd w:val="clear" w:color="auto" w:fill="ffffff"/>
          <w14:textFill>
            <w14:solidFill>
              <w14:srgbClr w14:val="1967D2"/>
            </w14:solidFill>
          </w14:textFill>
        </w:rPr>
        <w:instrText xml:space="preserve"> HYPERLINK "https://www.fao.org/3/X0490E/x0490e0b.htm"</w:instrText>
      </w:r>
      <w:r>
        <w:rPr>
          <w:rStyle w:val="Hyperlink.6"/>
          <w:outline w:val="0"/>
          <w:color w:val="1967d2"/>
          <w:sz w:val="20"/>
          <w:szCs w:val="20"/>
          <w:u w:val="single" w:color="1967d2"/>
          <w:shd w:val="clear" w:color="auto" w:fill="ffffff"/>
          <w14:textFill>
            <w14:solidFill>
              <w14:srgbClr w14:val="1967D2"/>
            </w14:solidFill>
          </w14:textFill>
        </w:rPr>
        <w:fldChar w:fldCharType="separate" w:fldLock="0"/>
      </w:r>
      <w:r>
        <w:rPr>
          <w:rStyle w:val="Hyperlink.6"/>
          <w:outline w:val="0"/>
          <w:color w:val="1967d2"/>
          <w:sz w:val="20"/>
          <w:szCs w:val="20"/>
          <w:u w:val="single" w:color="1967d2"/>
          <w:shd w:val="clear" w:color="auto" w:fill="ffffff"/>
          <w:rtl w:val="0"/>
          <w:lang w:val="en-US"/>
          <w14:textFill>
            <w14:solidFill>
              <w14:srgbClr w14:val="1967D2"/>
            </w14:solidFill>
          </w14:textFill>
        </w:rPr>
        <w:t>https://www.fao.org/3/X0490E/x0490e0b.htm</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"https://www.manage.gov.in/stry&amp;fcac/Project%2520Report%2520on%2520Goat%2520Farming.pdf"</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14:textFill>
            <w14:solidFill>
              <w14:srgbClr w14:val="1155CC"/>
            </w14:solidFill>
          </w14:textFill>
        </w:rPr>
        <w:t>https://www.manage.gov.in/stry&amp;fcac/Project%20Report%20on%20Goat%20Farming.pdf</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"https://agritech.tnau.ac.in/banking/nabard_pdf/Animal%2520husbandry/5.Sheep_Farming.pdf"</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lang w:val="en-US"/>
          <w14:textFill>
            <w14:solidFill>
              <w14:srgbClr w14:val="1155CC"/>
            </w14:solidFill>
          </w14:textFill>
        </w:rPr>
        <w:t>https://agritech.tnau.ac.in/banking/nabard_pdf/Animal%20husbandry/5.Sheep_Farming.pdf</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"https://www.dairyknowledge.in/dkp/content/10-crossbred-cow-farm"</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lang w:val="en-US"/>
          <w14:textFill>
            <w14:solidFill>
              <w14:srgbClr w14:val="1155CC"/>
            </w14:solidFill>
          </w14:textFill>
        </w:rPr>
        <w:t>https://www.dairyknowledge.in/dkp/content/10-crossbred-cow-farm</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"https://www.agrifarming.in/country-chicken-farming-project-report-cost-and-profit%23google_vignette"</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lang w:val="en-US"/>
          <w14:textFill>
            <w14:solidFill>
              <w14:srgbClr w14:val="1155CC"/>
            </w14:solidFill>
          </w14:textFill>
        </w:rPr>
        <w:t>https://www.agrifarming.in/country-chicken-farming-project-report-cost-and-profit#google_vignette</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"https://www.entomoljournal.com/archives/2019/vol7issue3/PartG/6-6-95-692.pdf"</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lang w:val="en-US"/>
          <w14:textFill>
            <w14:solidFill>
              <w14:srgbClr w14:val="1155CC"/>
            </w14:solidFill>
          </w14:textFill>
        </w:rPr>
        <w:t>https://www.entomoljournal.com/archives/2019/vol7issue3/PartG/6-6-95-692.pdf</w:t>
      </w:r>
      <w:r>
        <w:rPr>
          <w:outline w:val="0"/>
          <w:color w:val="434343"/>
          <w:sz w:val="23"/>
          <w:szCs w:val="23"/>
          <w14:textFill>
            <w14:solidFill>
              <w14:srgbClr w14:val="434343"/>
            </w14:solidFill>
          </w14:textFill>
        </w:rPr>
        <w:fldChar w:fldCharType="end" w:fldLock="0"/>
      </w:r>
    </w:p>
    <w:p>
      <w:pPr>
        <w:pStyle w:val="Body"/>
        <w:numPr>
          <w:ilvl w:val="0"/>
          <w:numId w:val="10"/>
        </w:numPr>
        <w:bidi w:val="0"/>
        <w:ind w:right="0"/>
        <w:jc w:val="left"/>
        <w:rPr>
          <w:outline w:val="0"/>
          <w:color w:val="434343"/>
          <w:sz w:val="20"/>
          <w:szCs w:val="20"/>
          <w:rtl w:val="0"/>
          <w14:textFill>
            <w14:solidFill>
              <w14:srgbClr w14:val="434343"/>
            </w14:solidFill>
          </w14:textFill>
        </w:rPr>
      </w:pPr>
      <w:r>
        <w:rPr>
          <w:rStyle w:val="Hyperlink.3"/>
          <w:outline w:val="0"/>
          <w:color w:val="1155cc"/>
          <w:sz w:val="20"/>
          <w:szCs w:val="20"/>
          <w:u w:val="single" w:color="1155cc"/>
          <w:shd w:val="clear" w:color="auto" w:fill="ffffff"/>
          <w14:textFill>
            <w14:solidFill>
              <w14:srgbClr w14:val="1155CC"/>
            </w14:solidFill>
          </w14:textFill>
        </w:rPr>
        <w:fldChar w:fldCharType="begin" w:fldLock="0"/>
      </w:r>
      <w:r>
        <w:rPr>
          <w:rStyle w:val="Hyperlink.3"/>
          <w:outline w:val="0"/>
          <w:color w:val="1155cc"/>
          <w:sz w:val="20"/>
          <w:szCs w:val="20"/>
          <w:u w:val="single" w:color="1155cc"/>
          <w:shd w:val="clear" w:color="auto" w:fill="ffffff"/>
          <w14:textFill>
            <w14:solidFill>
              <w14:srgbClr w14:val="1155CC"/>
            </w14:solidFill>
          </w14:textFill>
        </w:rPr>
        <w:instrText xml:space="preserve"> HYPERLINK "https://www.sciencedirect.com/topics/earth-and-planetary-sciences/manure-production"</w:instrText>
      </w:r>
      <w:r>
        <w:rPr>
          <w:rStyle w:val="Hyperlink.3"/>
          <w:outline w:val="0"/>
          <w:color w:val="1155cc"/>
          <w:sz w:val="20"/>
          <w:szCs w:val="20"/>
          <w:u w:val="single" w:color="1155cc"/>
          <w:shd w:val="clear" w:color="auto" w:fill="ffffff"/>
          <w14:textFill>
            <w14:solidFill>
              <w14:srgbClr w14:val="1155CC"/>
            </w14:solidFill>
          </w14:textFill>
        </w:rPr>
        <w:fldChar w:fldCharType="separate" w:fldLock="0"/>
      </w:r>
      <w:r>
        <w:rPr>
          <w:rStyle w:val="Hyperlink.3"/>
          <w:outline w:val="0"/>
          <w:color w:val="1155cc"/>
          <w:sz w:val="20"/>
          <w:szCs w:val="20"/>
          <w:u w:val="single" w:color="1155cc"/>
          <w:shd w:val="clear" w:color="auto" w:fill="ffffff"/>
          <w:rtl w:val="0"/>
          <w:lang w:val="en-US"/>
          <w14:textFill>
            <w14:solidFill>
              <w14:srgbClr w14:val="1155CC"/>
            </w14:solidFill>
          </w14:textFill>
        </w:rPr>
        <w:t>https://www.sciencedirect.com/topics/earth-and-planetary-sciences/manure-production</w:t>
      </w:r>
      <w:r>
        <w:rPr>
          <w:outline w:val="0"/>
          <w:color w:val="434343"/>
          <w:sz w:val="23"/>
          <w:szCs w:val="23"/>
          <w14:textFill>
            <w14:solidFill>
              <w14:srgbClr w14:val="434343"/>
            </w14:solidFill>
          </w14:textFill>
        </w:rPr>
        <w:fldChar w:fldCharType="end" w:fldLock="0"/>
      </w:r>
    </w:p>
    <w:p>
      <w:pPr>
        <w:pStyle w:val="Heading 3"/>
      </w:pPr>
      <w:bookmarkStart w:name="_ckvvd" w:id="8"/>
      <w:bookmarkEnd w:id="8"/>
      <w:r>
        <w:rPr>
          <w:rStyle w:val="None"/>
          <w:rFonts w:cs="Arial Unicode MS" w:eastAsia="Arial Unicode MS"/>
          <w:rtl w:val="0"/>
        </w:rPr>
        <w:t>A</w:t>
      </w:r>
      <w:r>
        <w:rPr>
          <w:rStyle w:val="None"/>
          <w:rFonts w:cs="Arial Unicode MS" w:eastAsia="Arial Unicode MS"/>
          <w:rtl w:val="0"/>
          <w:lang w:val="en-US"/>
        </w:rPr>
        <w:t>nnexure 3: Error correction</w:t>
      </w:r>
    </w:p>
    <w:p>
      <w:pPr>
        <w:pStyle w:val="heading 4"/>
        <w:spacing w:line="240" w:lineRule="auto"/>
        <w:rPr>
          <w:rStyle w:val="None"/>
          <w:rFonts w:ascii="Montserrat" w:cs="Montserrat" w:hAnsi="Montserrat" w:eastAsia="Montserrat"/>
          <w:outline w:val="0"/>
          <w:color w:val="000000"/>
          <w:sz w:val="22"/>
          <w:szCs w:val="22"/>
          <w:u w:color="000000"/>
          <w14:textFill>
            <w14:solidFill>
              <w14:srgbClr w14:val="000000"/>
            </w14:solidFill>
          </w14:textFill>
        </w:rPr>
      </w:pPr>
      <w:bookmarkStart w:name="_ihv636" w:id="9"/>
      <w:bookmarkEnd w:id="9"/>
      <w:r>
        <w:rPr>
          <w:rStyle w:val="None"/>
          <w:rtl w:val="0"/>
          <w:lang w:val="en-US"/>
        </w:rPr>
        <w:t>C</w:t>
      </w:r>
      <w:r>
        <w:rPr>
          <w:rStyle w:val="None"/>
          <w:rtl w:val="0"/>
          <w:lang w:val="en-US"/>
        </w:rPr>
        <w:t>rop Incomes</w:t>
      </w:r>
    </w:p>
    <w:p>
      <w:pPr>
        <w:pStyle w:val="Body"/>
        <w:rPr>
          <w:rStyle w:val="Hyperlink.1"/>
        </w:rPr>
      </w:pPr>
      <w:r>
        <w:rPr>
          <w:rStyle w:val="Hyperlink.1"/>
          <w:rtl w:val="0"/>
          <w:lang w:val="en-US"/>
        </w:rPr>
        <w:t xml:space="preserve">Fig A4 shows the error distribution of crop incomes compared between tool generated results and crop income calculated from primary data for the same set of 100 plots. Here, a negative error means that the tool generated results are lesser than the actual crop incomes and positive error means tool generated crop incomes are higher than the actual incomes. </w:t>
      </w:r>
    </w:p>
    <w:p>
      <w:pPr>
        <w:pStyle w:val="Body"/>
        <w:rPr>
          <w:rStyle w:val="None"/>
          <w:rFonts w:ascii="Montserrat" w:cs="Montserrat" w:hAnsi="Montserrat" w:eastAsia="Montserrat"/>
        </w:rPr>
      </w:pPr>
    </w:p>
    <w:p>
      <w:pPr>
        <w:pStyle w:val="Body"/>
        <w:rPr>
          <w:rStyle w:val="Hyperlink.1"/>
        </w:rPr>
      </w:pPr>
      <w:r>
        <w:rPr>
          <w:rStyle w:val="Hyperlink.1"/>
          <w:rtl w:val="0"/>
          <w:lang w:val="en-US"/>
        </w:rPr>
        <w:t xml:space="preserve">The median error before price correction was -58 % and this was considering an average price for calculating the tool generated income. The huge variations in the price of many crops, especially the horticulture crops was one of the reasons for the error. To address this challenge, the tool output included a range of crop income rather than an average value, considering the minimum and maximum price of the crops for the last 3 years. This has reduced the error considerably and the median error % has become 0%. </w:t>
      </w:r>
    </w:p>
    <w:p>
      <w:pPr>
        <w:pStyle w:val="Body"/>
      </w:pPr>
      <w:r>
        <w:rPr>
          <w:rStyle w:val="Hyperlink.1"/>
          <w:rtl w:val="0"/>
          <w:lang w:val="en-US"/>
        </w:rPr>
        <w:t xml:space="preserve">The category wise error % is plotted below. Except for the Category A - monoculture, all the other categories had 0% as the median error. </w:t>
      </w:r>
    </w:p>
    <w:p>
      <w:pPr>
        <w:pStyle w:val="heading 4"/>
        <w:spacing w:line="240" w:lineRule="auto"/>
      </w:pPr>
      <w:bookmarkStart w:name="_hioqz" w:id="10"/>
      <w:bookmarkEnd w:id="10"/>
      <w:r>
        <w:rPr>
          <w:rStyle w:val="None"/>
          <w:rtl w:val="0"/>
          <w:lang w:val="en-US"/>
        </w:rPr>
        <w:t>A</w:t>
      </w:r>
      <w:r>
        <w:rPr>
          <w:rStyle w:val="None"/>
          <w:rtl w:val="0"/>
          <w:lang w:val="en-US"/>
        </w:rPr>
        <w:t>nnual Crop Water demand</w:t>
      </w:r>
    </w:p>
    <w:p>
      <w:pPr>
        <w:pStyle w:val="Body"/>
      </w:pPr>
    </w:p>
    <w:p>
      <w:pPr>
        <w:pStyle w:val="Body"/>
        <w:rPr>
          <w:rStyle w:val="Hyperlink.1"/>
        </w:rPr>
      </w:pPr>
      <w:r>
        <w:rPr>
          <w:rStyle w:val="Hyperlink.1"/>
          <w:rtl w:val="0"/>
          <w:lang w:val="en-US"/>
        </w:rPr>
        <w:t>The Fig A4 shows the error distribution of annual crop water demand compared between tool generated results and annual crop water demand calculated from primary data for the same set of 100 plots. Here, a negative error means that the tool generated results are lesser than the actual crop water demands and positive error means tool generated crop water requirements  are higher than the actual irrigation requirements. There could be multiple reasons for this error;</w:t>
      </w:r>
    </w:p>
    <w:p>
      <w:pPr>
        <w:pStyle w:val="Body"/>
        <w:numPr>
          <w:ilvl w:val="0"/>
          <w:numId w:val="12"/>
        </w:numPr>
        <w:bidi w:val="0"/>
        <w:ind w:right="0"/>
        <w:jc w:val="left"/>
        <w:rPr>
          <w:rFonts w:ascii="Montserrat" w:cs="Montserrat" w:hAnsi="Montserrat" w:eastAsia="Montserrat"/>
          <w:rtl w:val="0"/>
          <w:lang w:val="en-US"/>
        </w:rPr>
      </w:pPr>
      <w:r>
        <w:rPr>
          <w:rStyle w:val="None"/>
          <w:rFonts w:ascii="Montserrat" w:cs="Montserrat" w:hAnsi="Montserrat" w:eastAsia="Montserrat"/>
          <w:rtl w:val="0"/>
          <w:lang w:val="en-US"/>
        </w:rPr>
        <w:t xml:space="preserve">Over irrigation: Farmers tend to irrigate more than what is required by the crop. The negative deviation from the median error/ negative outliers are representing the case of over irrigation. </w:t>
      </w:r>
    </w:p>
    <w:p>
      <w:pPr>
        <w:pStyle w:val="Body"/>
        <w:numPr>
          <w:ilvl w:val="0"/>
          <w:numId w:val="12"/>
        </w:numPr>
        <w:bidi w:val="0"/>
        <w:ind w:right="0"/>
        <w:jc w:val="left"/>
        <w:rPr>
          <w:rFonts w:ascii="Montserrat" w:cs="Montserrat" w:hAnsi="Montserrat" w:eastAsia="Montserrat"/>
          <w:rtl w:val="0"/>
          <w:lang w:val="en-US"/>
        </w:rPr>
      </w:pPr>
      <w:r>
        <w:rPr>
          <w:rStyle w:val="None"/>
          <w:rFonts w:ascii="Montserrat" w:cs="Montserrat" w:hAnsi="Montserrat" w:eastAsia="Montserrat"/>
          <w:rtl w:val="0"/>
          <w:lang w:val="en-US"/>
        </w:rPr>
        <w:t xml:space="preserve">Variations in primary data: The annual crop water demand is calculated by multiplying the duration of irrigation in a year (hrs) and the pump water discharge per hour. The water discharge values are calculated based on motor HP and borewell depth. There could be accuracy issues in these values as the yield of the borewell is also a factor to be considered. </w:t>
      </w:r>
    </w:p>
    <w:p>
      <w:pPr>
        <w:pStyle w:val="Body"/>
        <w:numPr>
          <w:ilvl w:val="0"/>
          <w:numId w:val="12"/>
        </w:numPr>
        <w:bidi w:val="0"/>
        <w:ind w:right="0"/>
        <w:jc w:val="left"/>
        <w:rPr>
          <w:rFonts w:ascii="Montserrat" w:cs="Montserrat" w:hAnsi="Montserrat" w:eastAsia="Montserrat"/>
          <w:rtl w:val="0"/>
          <w:lang w:val="en-US"/>
        </w:rPr>
      </w:pPr>
      <w:r>
        <w:rPr>
          <w:rStyle w:val="None"/>
          <w:rFonts w:ascii="Montserrat" w:cs="Montserrat" w:hAnsi="Montserrat" w:eastAsia="Montserrat"/>
          <w:rtl w:val="0"/>
          <w:lang w:val="en-US"/>
        </w:rPr>
        <w:t xml:space="preserve">Seasonality: Moreover the groundwater levels vary across the year(s). Hence, there would be variation in the discharge value of a borewell whereas what we considered for calculation of irrigation water usage is a single value estimated using the formula. </w:t>
      </w:r>
    </w:p>
    <w:p>
      <w:pPr>
        <w:pStyle w:val="Body"/>
        <w:rPr>
          <w:rStyle w:val="Hyperlink.1"/>
        </w:rPr>
      </w:pPr>
      <w:r>
        <w:rPr>
          <w:rStyle w:val="Hyperlink.1"/>
          <w:rtl w:val="0"/>
          <w:lang w:val="en-US"/>
        </w:rPr>
        <w:t xml:space="preserve">Among these potential reasons, one of the factors that can be corrected is the error in primary data. Because the irrigation water requirement in the primary data is the product of frequency of irrigation and discharge rate which is calculated using depth of borewell and Motor HP. But this calculation could give inaccurate results due to difference in ground water yields and seasonality of the groundwater levels. But an average error % in primary data was derived by comparing the calculated data and measured data for a sample of borewells. A correction factor is applied based and the deviation of the tool generated results from the corrected primary data is the error% after corrections. </w:t>
      </w:r>
    </w:p>
    <w:p>
      <w:pPr>
        <w:pStyle w:val="Body"/>
        <w:rPr>
          <w:rStyle w:val="Hyperlink.1"/>
        </w:rPr>
      </w:pPr>
      <w:r>
        <w:rPr>
          <w:rStyle w:val="Hyperlink.1"/>
          <w:rtl w:val="0"/>
          <w:lang w:val="en-US"/>
        </w:rPr>
        <w:t xml:space="preserve">Even though this correction has reduced the errors considerably, still there are some outliers. To understand the outliers better, we would look at the category wise error distribution. We could see that except  for category A, there are mainly negative outliers. This could be due to over irrigation by farmers as the tool generated results are based on crop water requirements and in reality farmers may not go by crop water requirements. </w:t>
      </w:r>
    </w:p>
    <w:p>
      <w:pPr>
        <w:pStyle w:val="Body"/>
        <w:rPr>
          <w:rStyle w:val="Hyperlink.1"/>
        </w:rPr>
      </w:pPr>
      <w:r>
        <w:rPr>
          <w:rStyle w:val="Hyperlink.1"/>
          <w:rtl w:val="0"/>
          <w:lang w:val="en-US"/>
        </w:rPr>
        <w:t xml:space="preserve">And there are not many positive outliers, except 3-4 plots in category A; out of which Maize/sweet corn is a common factor in 3 of them and tomato is a common factor in 2 of the outlier plots. </w:t>
      </w:r>
    </w:p>
    <w:p>
      <w:pPr>
        <w:pStyle w:val="Body"/>
      </w:pPr>
      <w:r>
        <w:rPr>
          <w:rStyle w:val="Hyperlink.1"/>
          <w:rtl w:val="0"/>
          <w:lang w:val="en-US"/>
        </w:rPr>
        <w:t xml:space="preserve">More importantly, the median error % is  0% in all the categories and overall for crop water demand. </w:t>
      </w:r>
    </w:p>
    <w:p>
      <w:pPr>
        <w:pStyle w:val="heading 4"/>
        <w:spacing w:line="240" w:lineRule="auto"/>
      </w:pPr>
      <w:bookmarkStart w:name="_hmsyys" w:id="11"/>
      <w:bookmarkEnd w:id="11"/>
      <w:r>
        <w:rPr>
          <w:rStyle w:val="None"/>
          <w:rtl w:val="0"/>
          <w:lang w:val="en-US"/>
        </w:rPr>
        <w:t>C</w:t>
      </w:r>
      <w:r>
        <w:rPr>
          <w:rStyle w:val="None"/>
          <w:rtl w:val="0"/>
          <w:lang w:val="en-US"/>
        </w:rPr>
        <w:t>arbon sequestration</w:t>
      </w:r>
    </w:p>
    <w:p>
      <w:pPr>
        <w:pStyle w:val="Body"/>
        <w:rPr>
          <w:rStyle w:val="None"/>
          <w:b w:val="1"/>
          <w:bCs w:val="1"/>
        </w:rPr>
      </w:pPr>
    </w:p>
    <w:p>
      <w:pPr>
        <w:pStyle w:val="Body"/>
        <w:rPr>
          <w:rStyle w:val="Hyperlink.1"/>
        </w:rPr>
      </w:pPr>
      <w:r>
        <w:rPr>
          <w:rStyle w:val="Hyperlink.1"/>
          <w:rtl w:val="0"/>
          <w:lang w:val="en-US"/>
        </w:rPr>
        <w:t xml:space="preserve">The soil organic carbon values are estimated in the tool using the </w:t>
      </w:r>
      <w:r>
        <w:rPr>
          <w:rStyle w:val="Hyperlink.0"/>
        </w:rPr>
        <w:fldChar w:fldCharType="begin" w:fldLock="0"/>
      </w:r>
      <w:r>
        <w:rPr>
          <w:rStyle w:val="Hyperlink.0"/>
        </w:rPr>
        <w:instrText xml:space="preserve"> HYPERLINK "https://scholar.google.com/scholar_lookup?journal=Glob.+Change+Biol.&amp;title=Animal+manure+application+and+soil+organic+carbon+stocks.+A+meta-analysis&amp;author=%2525C3%252589+Maillard&amp;author=DA+Angers&amp;volume=20&amp;publication_year=2014&amp;pages=666-679&amp;doi=10.1111/gcb.12438&amp;"</w:instrText>
      </w:r>
      <w:r>
        <w:rPr>
          <w:rStyle w:val="Hyperlink.0"/>
        </w:rPr>
        <w:fldChar w:fldCharType="separate" w:fldLock="0"/>
      </w:r>
      <w:r>
        <w:rPr>
          <w:rStyle w:val="Hyperlink.0"/>
          <w:rtl w:val="0"/>
          <w:lang w:val="en-US"/>
        </w:rPr>
        <w:t xml:space="preserve">Maillard and Angers </w:t>
      </w:r>
      <w:r>
        <w:rPr/>
        <w:fldChar w:fldCharType="end" w:fldLock="0"/>
      </w:r>
      <w:r>
        <w:rPr>
          <w:rStyle w:val="Hyperlink.1"/>
          <w:rtl w:val="0"/>
          <w:lang w:val="en-US"/>
        </w:rPr>
        <w:t>formula (y = 7.4+0.0812 x, where x = annual manure added)</w:t>
      </w:r>
      <w:r>
        <w:rPr>
          <w:rStyle w:val="None"/>
          <w:rFonts w:ascii="Merriweather" w:cs="Merriweather" w:hAnsi="Merriweather" w:eastAsia="Merriweather"/>
          <w:outline w:val="0"/>
          <w:color w:val="212121"/>
          <w:sz w:val="28"/>
          <w:szCs w:val="28"/>
          <w:u w:color="212121"/>
          <w:shd w:val="clear" w:color="auto" w:fill="ffffff"/>
          <w:rtl w:val="0"/>
          <w14:textFill>
            <w14:solidFill>
              <w14:srgbClr w14:val="212121"/>
            </w14:solidFill>
          </w14:textFill>
        </w:rPr>
        <w:t xml:space="preserve"> </w:t>
      </w:r>
      <w:r>
        <w:rPr>
          <w:rStyle w:val="Hyperlink.1"/>
          <w:rtl w:val="0"/>
          <w:lang w:val="en-US"/>
        </w:rPr>
        <w:t xml:space="preserve">for carbon stock difference added to the baseline SOC in tonnes per acre (FAO database,2020). </w:t>
      </w:r>
    </w:p>
    <w:p>
      <w:pPr>
        <w:pStyle w:val="Body"/>
        <w:rPr>
          <w:rStyle w:val="None"/>
          <w:rFonts w:ascii="Montserrat" w:cs="Montserrat" w:hAnsi="Montserrat" w:eastAsia="Montserrat"/>
        </w:rPr>
      </w:pPr>
    </w:p>
    <w:p>
      <w:pPr>
        <w:pStyle w:val="Body"/>
        <w:rPr>
          <w:rStyle w:val="Hyperlink.1"/>
        </w:rPr>
      </w:pPr>
      <w:r>
        <w:rPr>
          <w:rStyle w:val="Hyperlink.1"/>
          <w:rtl w:val="0"/>
          <w:lang w:val="en-US"/>
        </w:rPr>
        <w:t xml:space="preserve">The carbon estimation comes up with a few assumptions and hence the error % is expected to be greater than that of income and water demand. </w:t>
      </w:r>
    </w:p>
    <w:p>
      <w:pPr>
        <w:pStyle w:val="Body"/>
        <w:rPr>
          <w:rStyle w:val="None"/>
          <w:rFonts w:ascii="Montserrat" w:cs="Montserrat" w:hAnsi="Montserrat" w:eastAsia="Montserrat"/>
        </w:rPr>
      </w:pPr>
    </w:p>
    <w:p>
      <w:pPr>
        <w:pStyle w:val="Body"/>
        <w:numPr>
          <w:ilvl w:val="0"/>
          <w:numId w:val="14"/>
        </w:numPr>
        <w:bidi w:val="0"/>
        <w:ind w:right="0"/>
        <w:jc w:val="left"/>
        <w:rPr>
          <w:rFonts w:ascii="Montserrat" w:cs="Montserrat" w:hAnsi="Montserrat" w:eastAsia="Montserrat"/>
          <w:rtl w:val="0"/>
          <w:lang w:val="en-US"/>
        </w:rPr>
      </w:pPr>
      <w:r>
        <w:rPr>
          <w:rStyle w:val="None"/>
          <w:rFonts w:ascii="Montserrat" w:cs="Montserrat" w:hAnsi="Montserrat" w:eastAsia="Montserrat"/>
          <w:rtl w:val="0"/>
          <w:lang w:val="en-US"/>
        </w:rPr>
        <w:t xml:space="preserve">Potential error in </w:t>
      </w:r>
      <w:r>
        <w:rPr>
          <w:rStyle w:val="Hyperlink.7"/>
          <w:rFonts w:ascii="Montserrat" w:cs="Montserrat" w:hAnsi="Montserrat" w:eastAsia="Montserrat"/>
        </w:rPr>
        <w:fldChar w:fldCharType="begin" w:fldLock="0"/>
      </w:r>
      <w:r>
        <w:rPr>
          <w:rStyle w:val="Hyperlink.7"/>
          <w:rFonts w:ascii="Montserrat" w:cs="Montserrat" w:hAnsi="Montserrat" w:eastAsia="Montserrat"/>
        </w:rPr>
        <w:instrText xml:space="preserve"> HYPERLINK "https://www.fao.org/fileadmin/user_upload/soils/Joint_trainings/Dec2022-OCB_GSP/1.Introduction_GSP_GSOCseq.pdf"</w:instrText>
      </w:r>
      <w:r>
        <w:rPr>
          <w:rStyle w:val="Hyperlink.7"/>
          <w:rFonts w:ascii="Montserrat" w:cs="Montserrat" w:hAnsi="Montserrat" w:eastAsia="Montserrat"/>
        </w:rPr>
        <w:fldChar w:fldCharType="separate" w:fldLock="0"/>
      </w:r>
      <w:r>
        <w:rPr>
          <w:rStyle w:val="Hyperlink.7"/>
          <w:rFonts w:ascii="Montserrat" w:cs="Montserrat" w:hAnsi="Montserrat" w:eastAsia="Montserrat"/>
          <w:rtl w:val="0"/>
          <w:lang w:val="da-DK"/>
        </w:rPr>
        <w:t>Baseline SOC</w:t>
      </w:r>
      <w:r>
        <w:rPr>
          <w:rFonts w:ascii="Montserrat" w:cs="Montserrat" w:hAnsi="Montserrat" w:eastAsia="Montserrat"/>
        </w:rPr>
        <w:fldChar w:fldCharType="end" w:fldLock="0"/>
      </w:r>
      <w:r>
        <w:rPr>
          <w:rStyle w:val="None"/>
          <w:rFonts w:ascii="Montserrat" w:cs="Montserrat" w:hAnsi="Montserrat" w:eastAsia="Montserrat"/>
          <w:rtl w:val="0"/>
          <w:lang w:val="en-US"/>
        </w:rPr>
        <w:t xml:space="preserve"> : The baseline SOC is based on the Soil organic carbon GIS dataset by FAO in 2020. It is the first most comprehensive soil organic carbon dataset, but has a resolution of 1km * 1km. This means there could be accuracy issues associated with the baseline SOC considered. </w:t>
      </w:r>
    </w:p>
    <w:p>
      <w:pPr>
        <w:pStyle w:val="Body"/>
        <w:numPr>
          <w:ilvl w:val="0"/>
          <w:numId w:val="14"/>
        </w:numPr>
        <w:bidi w:val="0"/>
        <w:ind w:right="0"/>
        <w:jc w:val="left"/>
        <w:rPr>
          <w:rFonts w:ascii="Montserrat" w:cs="Montserrat" w:hAnsi="Montserrat" w:eastAsia="Montserrat"/>
          <w:rtl w:val="0"/>
          <w:lang w:val="en-US"/>
        </w:rPr>
      </w:pPr>
      <w:r>
        <w:rPr>
          <w:rStyle w:val="None"/>
          <w:rFonts w:ascii="Montserrat" w:cs="Montserrat" w:hAnsi="Montserrat" w:eastAsia="Montserrat"/>
          <w:rtl w:val="0"/>
          <w:lang w:val="en-US"/>
        </w:rPr>
        <w:t>Low significance of Maillard and Angers formula: The maillard and Angers formula has a lower significance as per the literature, which means the linearship represented by the formula also might have a lower confidence level</w:t>
      </w:r>
    </w:p>
    <w:p>
      <w:pPr>
        <w:pStyle w:val="Body"/>
        <w:numPr>
          <w:ilvl w:val="0"/>
          <w:numId w:val="14"/>
        </w:numPr>
        <w:bidi w:val="0"/>
        <w:ind w:right="0"/>
        <w:jc w:val="left"/>
        <w:rPr>
          <w:rFonts w:ascii="Montserrat" w:cs="Montserrat" w:hAnsi="Montserrat" w:eastAsia="Montserrat"/>
          <w:rtl w:val="0"/>
          <w:lang w:val="en-US"/>
        </w:rPr>
      </w:pPr>
      <w:r>
        <w:rPr>
          <w:rStyle w:val="None"/>
          <w:rFonts w:ascii="Montserrat" w:cs="Montserrat" w:hAnsi="Montserrat" w:eastAsia="Montserrat"/>
          <w:rtl w:val="0"/>
          <w:lang w:val="en-US"/>
        </w:rPr>
        <w:t xml:space="preserve">Time required to reach the steady state: The carbon content corresponding to the organic matter applied in one year is used in the Maillard and Angers formula. Even if we consider that the organic matter is applied in 2020, there is only a gap of 3 years from baseline and the assessment year. But the organic matter may require a longer period of time to reach a steady state and get converted to organic carbon in the soil. This also might have caused some errors in the estimation of tool generated results. </w:t>
      </w:r>
    </w:p>
    <w:p>
      <w:pPr>
        <w:pStyle w:val="Body"/>
        <w:numPr>
          <w:ilvl w:val="0"/>
          <w:numId w:val="14"/>
        </w:numPr>
        <w:bidi w:val="0"/>
        <w:ind w:right="0"/>
        <w:jc w:val="left"/>
        <w:rPr>
          <w:rFonts w:ascii="Montserrat" w:cs="Montserrat" w:hAnsi="Montserrat" w:eastAsia="Montserrat"/>
          <w:rtl w:val="0"/>
          <w:lang w:val="en-US"/>
        </w:rPr>
      </w:pPr>
      <w:r>
        <w:rPr>
          <w:rStyle w:val="None"/>
          <w:rFonts w:ascii="Montserrat" w:cs="Montserrat" w:hAnsi="Montserrat" w:eastAsia="Montserrat"/>
          <w:rtl w:val="0"/>
          <w:lang w:val="en-US"/>
        </w:rPr>
        <w:t>Not accounting other agricultural practices:: The only factors considered for estimating soil organic carbon here is the organic matter added to the soil including the crop residue. All other practices including tiling and any other land management practices are assumed to be the same in all the plots and hence doesn</w:t>
      </w:r>
      <w:r>
        <w:rPr>
          <w:rStyle w:val="None"/>
          <w:rFonts w:ascii="Montserrat" w:cs="Montserrat" w:hAnsi="Montserrat" w:eastAsia="Montserrat"/>
          <w:rtl w:val="0"/>
          <w:lang w:val="en-US"/>
        </w:rPr>
        <w:t>’</w:t>
      </w:r>
      <w:r>
        <w:rPr>
          <w:rStyle w:val="None"/>
          <w:rFonts w:ascii="Montserrat" w:cs="Montserrat" w:hAnsi="Montserrat" w:eastAsia="Montserrat"/>
          <w:rtl w:val="0"/>
          <w:lang w:val="en-US"/>
        </w:rPr>
        <w:t xml:space="preserve">t have any contribution towards soil organic carbon increase. </w:t>
      </w:r>
    </w:p>
    <w:p>
      <w:pPr>
        <w:pStyle w:val="Body"/>
        <w:numPr>
          <w:ilvl w:val="0"/>
          <w:numId w:val="14"/>
        </w:numPr>
        <w:bidi w:val="0"/>
        <w:ind w:right="0"/>
        <w:jc w:val="left"/>
        <w:rPr>
          <w:rFonts w:ascii="Montserrat" w:cs="Montserrat" w:hAnsi="Montserrat" w:eastAsia="Montserrat"/>
          <w:rtl w:val="0"/>
          <w:lang w:val="en-US"/>
        </w:rPr>
      </w:pPr>
      <w:r>
        <w:rPr>
          <w:rStyle w:val="None"/>
          <w:rFonts w:ascii="Montserrat" w:cs="Montserrat" w:hAnsi="Montserrat" w:eastAsia="Montserrat"/>
          <w:rtl w:val="0"/>
          <w:lang w:val="en-US"/>
        </w:rPr>
        <w:t>Varying carbon content: There are different types of soil organic matter that get added to the soil and the potential carbon content of the organic matter varies from 16%-45% of the organic matter depending upon the type of organic matter. This could also lead to variations.</w:t>
      </w:r>
    </w:p>
    <w:p>
      <w:pPr>
        <w:pStyle w:val="Body"/>
        <w:ind w:left="720" w:firstLine="0"/>
        <w:rPr>
          <w:rStyle w:val="None"/>
          <w:rFonts w:ascii="Montserrat" w:cs="Montserrat" w:hAnsi="Montserrat" w:eastAsia="Montserrat"/>
        </w:rPr>
      </w:pPr>
    </w:p>
    <w:p>
      <w:pPr>
        <w:pStyle w:val="Body"/>
        <w:rPr>
          <w:rStyle w:val="Hyperlink.1"/>
        </w:rPr>
      </w:pPr>
      <w:r>
        <w:rPr>
          <w:rStyle w:val="Hyperlink.1"/>
          <w:rtl w:val="0"/>
          <w:lang w:val="en-US"/>
        </w:rPr>
        <w:t>The box plots in Fig A4 the error distribution before and after the corrections. Potential error in baseline SOC is addressed by a range of minimum and maximum SOC values from the GIS dataset. Still, it doesn</w:t>
      </w:r>
      <w:r>
        <w:rPr>
          <w:rStyle w:val="None"/>
          <w:rFonts w:ascii="Montserrat" w:cs="Montserrat" w:hAnsi="Montserrat" w:eastAsia="Montserrat"/>
          <w:rtl w:val="0"/>
          <w:lang w:val="en-US"/>
        </w:rPr>
        <w:t>’</w:t>
      </w:r>
      <w:r>
        <w:rPr>
          <w:rStyle w:val="Hyperlink.1"/>
          <w:rtl w:val="0"/>
          <w:lang w:val="en-US"/>
        </w:rPr>
        <w:t xml:space="preserve">t address the inaccuracies associated with the resolution, which is quite high in this case. With a baseline SOC range derived from a dataset with a better resolution. Error % can be further reduced. </w:t>
      </w:r>
    </w:p>
    <w:p>
      <w:pPr>
        <w:pStyle w:val="Body"/>
        <w:rPr>
          <w:rStyle w:val="Hyperlink.1"/>
        </w:rPr>
      </w:pPr>
      <w:r>
        <w:rPr>
          <w:rStyle w:val="Hyperlink.1"/>
          <w:rtl w:val="0"/>
          <w:lang w:val="en-US"/>
        </w:rPr>
        <w:t xml:space="preserve">But more importantly, the primary SOC data from 100 plots could be taken as the baseline data and the tool could estimate the SOC% in steady state more accurately. </w:t>
      </w:r>
    </w:p>
    <w:p>
      <w:pPr>
        <w:pStyle w:val="Body"/>
        <w:rPr>
          <w:rStyle w:val="None"/>
          <w:rFonts w:ascii="Montserrat" w:cs="Montserrat" w:hAnsi="Montserrat" w:eastAsia="Montserrat"/>
        </w:rPr>
      </w:pPr>
    </w:p>
    <w:p>
      <w:pPr>
        <w:pStyle w:val="Body"/>
        <w:rPr>
          <w:rStyle w:val="Hyperlink.1"/>
        </w:rPr>
      </w:pPr>
      <w:r>
        <w:rPr>
          <w:rStyle w:val="Hyperlink.1"/>
          <w:rtl w:val="0"/>
          <w:lang w:val="en-US"/>
        </w:rPr>
        <w:t>Similarly, the carbon content in the organic matter added can vary between</w:t>
      </w:r>
      <w:r>
        <w:rPr>
          <w:rStyle w:val="Hyperlink.0"/>
        </w:rPr>
        <w:fldChar w:fldCharType="begin" w:fldLock="0"/>
      </w:r>
      <w:r>
        <w:rPr>
          <w:rStyle w:val="Hyperlink.0"/>
        </w:rPr>
        <w:instrText xml:space="preserve"> HYPERLINK "https://www.canr.msu.edu/resources/advanced_soil_organic_matter_management"</w:instrText>
      </w:r>
      <w:r>
        <w:rPr>
          <w:rStyle w:val="Hyperlink.0"/>
        </w:rPr>
        <w:fldChar w:fldCharType="separate" w:fldLock="0"/>
      </w:r>
      <w:r>
        <w:rPr>
          <w:rStyle w:val="Hyperlink.0"/>
          <w:rtl w:val="0"/>
        </w:rPr>
        <w:t xml:space="preserve"> 16%-45 %</w:t>
      </w:r>
      <w:r>
        <w:rPr/>
        <w:fldChar w:fldCharType="end" w:fldLock="0"/>
      </w:r>
      <w:r>
        <w:rPr>
          <w:rStyle w:val="Hyperlink.1"/>
          <w:rtl w:val="0"/>
          <w:lang w:val="en-US"/>
        </w:rPr>
        <w:t xml:space="preserve"> as per literature. This variation is also addressed in the correction process. </w:t>
      </w:r>
    </w:p>
    <w:p>
      <w:pPr>
        <w:pStyle w:val="Body"/>
        <w:rPr>
          <w:rStyle w:val="None"/>
          <w:rFonts w:ascii="Montserrat" w:cs="Montserrat" w:hAnsi="Montserrat" w:eastAsia="Montserrat"/>
          <w:i w:val="1"/>
          <w:iCs w:val="1"/>
          <w:outline w:val="0"/>
          <w:color w:val="999999"/>
          <w:u w:color="999999"/>
          <w14:textFill>
            <w14:solidFill>
              <w14:srgbClr w14:val="999999"/>
            </w14:solidFill>
          </w14:textFill>
        </w:rPr>
      </w:pPr>
      <w:r>
        <w:rPr>
          <w:rStyle w:val="Hyperlink.1"/>
          <w:rtl w:val="0"/>
          <w:lang w:val="en-US"/>
        </w:rPr>
        <w:t xml:space="preserve">With the correction process, median error % has reduced from 34.36% to 0%. </w:t>
      </w:r>
    </w:p>
    <w:p>
      <w:pPr>
        <w:pStyle w:val="Body"/>
        <w:rPr>
          <w:rStyle w:val="None"/>
          <w:rFonts w:ascii="Montserrat" w:cs="Montserrat" w:hAnsi="Montserrat" w:eastAsia="Montserrat"/>
          <w:i w:val="1"/>
          <w:iCs w:val="1"/>
          <w:outline w:val="0"/>
          <w:color w:val="999999"/>
          <w:u w:color="999999"/>
          <w14:textFill>
            <w14:solidFill>
              <w14:srgbClr w14:val="999999"/>
            </w14:solidFill>
          </w14:textFill>
        </w:rPr>
      </w:pPr>
    </w:p>
    <w:p>
      <w:pPr>
        <w:pStyle w:val="Body"/>
        <w:rPr>
          <w:rStyle w:val="Hyperlink.1"/>
        </w:rPr>
      </w:pPr>
      <w:r>
        <w:rPr>
          <w:rStyle w:val="Hyperlink.1"/>
          <w:rtl w:val="0"/>
          <w:lang w:val="en-US"/>
        </w:rPr>
        <w:t xml:space="preserve">The median error % for different categories are 0%, -1.78%, -5.30%, 3.95% and 0% respectively for categories A, B, C,D and E. Similarly the median error % for plots without integrated livestock systems and plots with integrated livestock systems are  both 0%. The error distributions for different categories and with/without livestock scenarios are shown in the charts below. </w:t>
      </w:r>
    </w:p>
    <w:p>
      <w:pPr>
        <w:pStyle w:val="Body"/>
      </w:pPr>
    </w:p>
    <w:p>
      <w:pPr>
        <w:pStyle w:val="Body"/>
      </w:pPr>
      <w:r>
        <w:rPr>
          <w:rStyle w:val="None"/>
        </w:rPr>
        <mc:AlternateContent>
          <mc:Choice Requires="wpg">
            <w:drawing xmlns:a="http://schemas.openxmlformats.org/drawingml/2006/main">
              <wp:inline distT="0" distB="0" distL="0" distR="0">
                <wp:extent cx="5332086" cy="6605349"/>
                <wp:effectExtent l="0" t="0" r="0" b="0"/>
                <wp:docPr id="1073741833" name="officeArt object" descr="Group"/>
                <wp:cNvGraphicFramePr/>
                <a:graphic xmlns:a="http://schemas.openxmlformats.org/drawingml/2006/main">
                  <a:graphicData uri="http://schemas.microsoft.com/office/word/2010/wordprocessingGroup">
                    <wpg:wgp>
                      <wpg:cNvGrpSpPr/>
                      <wpg:grpSpPr>
                        <a:xfrm>
                          <a:off x="0" y="0"/>
                          <a:ext cx="5332086" cy="6605349"/>
                          <a:chOff x="113" y="108"/>
                          <a:chExt cx="5332084" cy="6605348"/>
                        </a:xfrm>
                      </wpg:grpSpPr>
                      <pic:pic xmlns:pic="http://schemas.openxmlformats.org/drawingml/2006/picture">
                        <pic:nvPicPr>
                          <pic:cNvPr id="1073741827" name="Shape 14" descr="Shape 14"/>
                          <pic:cNvPicPr>
                            <a:picLocks noChangeAspect="1"/>
                          </pic:cNvPicPr>
                        </pic:nvPicPr>
                        <pic:blipFill>
                          <a:blip r:embed="rId6">
                            <a:extLst/>
                          </a:blip>
                          <a:stretch>
                            <a:fillRect/>
                          </a:stretch>
                        </pic:blipFill>
                        <pic:spPr>
                          <a:xfrm>
                            <a:off x="113" y="108"/>
                            <a:ext cx="2671976" cy="2220527"/>
                          </a:xfrm>
                          <a:prstGeom prst="rect">
                            <a:avLst/>
                          </a:prstGeom>
                          <a:ln w="12700" cap="flat">
                            <a:noFill/>
                            <a:miter lim="400000"/>
                          </a:ln>
                          <a:effectLst/>
                        </pic:spPr>
                      </pic:pic>
                      <pic:pic xmlns:pic="http://schemas.openxmlformats.org/drawingml/2006/picture">
                        <pic:nvPicPr>
                          <pic:cNvPr id="1073741828" name="Shape 15" descr="Shape 15"/>
                          <pic:cNvPicPr>
                            <a:picLocks noChangeAspect="1"/>
                          </pic:cNvPicPr>
                        </pic:nvPicPr>
                        <pic:blipFill>
                          <a:blip r:embed="rId7">
                            <a:extLst/>
                          </a:blip>
                          <a:stretch>
                            <a:fillRect/>
                          </a:stretch>
                        </pic:blipFill>
                        <pic:spPr>
                          <a:xfrm>
                            <a:off x="2657502" y="108"/>
                            <a:ext cx="2671977" cy="2220529"/>
                          </a:xfrm>
                          <a:prstGeom prst="rect">
                            <a:avLst/>
                          </a:prstGeom>
                          <a:ln w="12700" cap="flat">
                            <a:noFill/>
                            <a:miter lim="400000"/>
                          </a:ln>
                          <a:effectLst/>
                        </pic:spPr>
                      </pic:pic>
                      <pic:pic xmlns:pic="http://schemas.openxmlformats.org/drawingml/2006/picture">
                        <pic:nvPicPr>
                          <pic:cNvPr id="1073741829" name="Shape 16" descr="Shape 16"/>
                          <pic:cNvPicPr>
                            <a:picLocks noChangeAspect="1"/>
                          </pic:cNvPicPr>
                        </pic:nvPicPr>
                        <pic:blipFill>
                          <a:blip r:embed="rId8">
                            <a:extLst/>
                          </a:blip>
                          <a:stretch>
                            <a:fillRect/>
                          </a:stretch>
                        </pic:blipFill>
                        <pic:spPr>
                          <a:xfrm>
                            <a:off x="38362" y="2220633"/>
                            <a:ext cx="2671963" cy="2226296"/>
                          </a:xfrm>
                          <a:prstGeom prst="rect">
                            <a:avLst/>
                          </a:prstGeom>
                          <a:ln w="12700" cap="flat">
                            <a:noFill/>
                            <a:miter lim="400000"/>
                          </a:ln>
                          <a:effectLst/>
                        </pic:spPr>
                      </pic:pic>
                      <pic:pic xmlns:pic="http://schemas.openxmlformats.org/drawingml/2006/picture">
                        <pic:nvPicPr>
                          <pic:cNvPr id="1073741830" name="Shape 17" descr="Shape 17"/>
                          <pic:cNvPicPr>
                            <a:picLocks noChangeAspect="1"/>
                          </pic:cNvPicPr>
                        </pic:nvPicPr>
                        <pic:blipFill>
                          <a:blip r:embed="rId9">
                            <a:extLst/>
                          </a:blip>
                          <a:stretch>
                            <a:fillRect/>
                          </a:stretch>
                        </pic:blipFill>
                        <pic:spPr>
                          <a:xfrm>
                            <a:off x="2696325" y="2192492"/>
                            <a:ext cx="2633153" cy="2188266"/>
                          </a:xfrm>
                          <a:prstGeom prst="rect">
                            <a:avLst/>
                          </a:prstGeom>
                          <a:ln w="12700" cap="flat">
                            <a:noFill/>
                            <a:miter lim="400000"/>
                          </a:ln>
                          <a:effectLst/>
                        </pic:spPr>
                      </pic:pic>
                      <pic:pic xmlns:pic="http://schemas.openxmlformats.org/drawingml/2006/picture">
                        <pic:nvPicPr>
                          <pic:cNvPr id="1073741831" name="Shape 18" descr="Shape 18"/>
                          <pic:cNvPicPr>
                            <a:picLocks noChangeAspect="1"/>
                          </pic:cNvPicPr>
                        </pic:nvPicPr>
                        <pic:blipFill>
                          <a:blip r:embed="rId10">
                            <a:extLst/>
                          </a:blip>
                          <a:stretch>
                            <a:fillRect/>
                          </a:stretch>
                        </pic:blipFill>
                        <pic:spPr>
                          <a:xfrm>
                            <a:off x="38353" y="4380757"/>
                            <a:ext cx="2671975" cy="2224700"/>
                          </a:xfrm>
                          <a:prstGeom prst="rect">
                            <a:avLst/>
                          </a:prstGeom>
                          <a:ln w="12700" cap="flat">
                            <a:noFill/>
                            <a:miter lim="400000"/>
                          </a:ln>
                          <a:effectLst/>
                        </pic:spPr>
                      </pic:pic>
                      <pic:pic xmlns:pic="http://schemas.openxmlformats.org/drawingml/2006/picture">
                        <pic:nvPicPr>
                          <pic:cNvPr id="1073741832" name="Shape 19" descr="Shape 19"/>
                          <pic:cNvPicPr>
                            <a:picLocks noChangeAspect="1"/>
                          </pic:cNvPicPr>
                        </pic:nvPicPr>
                        <pic:blipFill>
                          <a:blip r:embed="rId11">
                            <a:extLst/>
                          </a:blip>
                          <a:stretch>
                            <a:fillRect/>
                          </a:stretch>
                        </pic:blipFill>
                        <pic:spPr>
                          <a:xfrm>
                            <a:off x="2693610" y="4398973"/>
                            <a:ext cx="2638589" cy="2188268"/>
                          </a:xfrm>
                          <a:prstGeom prst="rect">
                            <a:avLst/>
                          </a:prstGeom>
                          <a:ln w="12700" cap="flat">
                            <a:noFill/>
                            <a:miter lim="400000"/>
                          </a:ln>
                          <a:effectLst/>
                        </pic:spPr>
                      </pic:pic>
                    </wpg:wgp>
                  </a:graphicData>
                </a:graphic>
              </wp:inline>
            </w:drawing>
          </mc:Choice>
          <mc:Fallback>
            <w:pict>
              <v:group id="_x0000_s1026" style="visibility:visible;width:419.8pt;height:520.1pt;" coordorigin="114,108" coordsize="5332085,6605349">
                <v:shape id="_x0000_s1027" type="#_x0000_t75" style="position:absolute;left:114;top:108;width:2671974;height:2220527;">
                  <v:imagedata r:id="rId6" o:title="image5.png"/>
                </v:shape>
                <v:shape id="_x0000_s1028" type="#_x0000_t75" style="position:absolute;left:2657503;top:108;width:2671975;height:2220529;">
                  <v:imagedata r:id="rId7" o:title="image7.png"/>
                </v:shape>
                <v:shape id="_x0000_s1029" type="#_x0000_t75" style="position:absolute;left:38362;top:2220634;width:2671962;height:2226294;">
                  <v:imagedata r:id="rId8" o:title="image8.png"/>
                </v:shape>
                <v:shape id="_x0000_s1030" type="#_x0000_t75" style="position:absolute;left:2696325;top:2192493;width:2633153;height:2188265;">
                  <v:imagedata r:id="rId9" o:title="image4.png"/>
                </v:shape>
                <v:shape id="_x0000_s1031" type="#_x0000_t75" style="position:absolute;left:38353;top:4380757;width:2671974;height:2224699;">
                  <v:imagedata r:id="rId10" o:title="image6.png"/>
                </v:shape>
                <v:shape id="_x0000_s1032" type="#_x0000_t75" style="position:absolute;left:2693610;top:4398974;width:2638589;height:2188267;">
                  <v:imagedata r:id="rId11" o:title="image9.png"/>
                </v:shape>
              </v:group>
            </w:pict>
          </mc:Fallback>
        </mc:AlternateContent>
      </w:r>
    </w:p>
    <w:p>
      <w:pPr>
        <w:pStyle w:val="Body"/>
        <w:rPr>
          <w:rStyle w:val="None"/>
          <w:rFonts w:ascii="Montserrat" w:cs="Montserrat" w:hAnsi="Montserrat" w:eastAsia="Montserrat"/>
          <w:i w:val="1"/>
          <w:iCs w:val="1"/>
          <w:outline w:val="0"/>
          <w:color w:val="999999"/>
          <w:u w:color="999999"/>
          <w14:textFill>
            <w14:solidFill>
              <w14:srgbClr w14:val="999999"/>
            </w14:solidFill>
          </w14:textFill>
        </w:rPr>
      </w:pPr>
      <w:r>
        <w:rPr>
          <w:rStyle w:val="None"/>
          <w:rFonts w:ascii="Montserrat" w:cs="Montserrat" w:hAnsi="Montserrat" w:eastAsia="Montserrat"/>
          <w:i w:val="1"/>
          <w:iCs w:val="1"/>
          <w:outline w:val="0"/>
          <w:color w:val="999999"/>
          <w:u w:color="999999"/>
          <w:rtl w:val="0"/>
          <w:lang w:val="en-US"/>
          <w14:textFill>
            <w14:solidFill>
              <w14:srgbClr w14:val="999999"/>
            </w14:solidFill>
          </w14:textFill>
        </w:rPr>
        <w:t>Fig A4: Distribution of error between tool generated results and output variables estimated from primary data ( Income, water and soil organic carbon respectively)</w:t>
      </w:r>
    </w:p>
    <w:p>
      <w:pPr>
        <w:pStyle w:val="Body"/>
        <w:rPr>
          <w:rStyle w:val="None"/>
          <w:rFonts w:ascii="Montserrat" w:cs="Montserrat" w:hAnsi="Montserrat" w:eastAsia="Montserrat"/>
          <w:i w:val="1"/>
          <w:iCs w:val="1"/>
          <w:outline w:val="0"/>
          <w:color w:val="999999"/>
          <w:u w:color="999999"/>
          <w14:textFill>
            <w14:solidFill>
              <w14:srgbClr w14:val="999999"/>
            </w14:solidFill>
          </w14:textFill>
        </w:rPr>
      </w:pPr>
    </w:p>
    <w:p>
      <w:pPr>
        <w:pStyle w:val="Body"/>
        <w:rPr>
          <w:rStyle w:val="None"/>
          <w:rFonts w:ascii="Montserrat" w:cs="Montserrat" w:hAnsi="Montserrat" w:eastAsia="Montserrat"/>
          <w:b w:val="1"/>
          <w:bCs w:val="1"/>
        </w:rPr>
      </w:pPr>
    </w:p>
    <w:p>
      <w:pPr>
        <w:pStyle w:val="Body"/>
        <w:rPr>
          <w:rStyle w:val="None"/>
          <w:rFonts w:ascii="Montserrat" w:cs="Montserrat" w:hAnsi="Montserrat" w:eastAsia="Montserrat"/>
          <w:b w:val="1"/>
          <w:bCs w:val="1"/>
        </w:rPr>
      </w:pPr>
    </w:p>
    <w:p>
      <w:pPr>
        <w:pStyle w:val="Body"/>
        <w:rPr>
          <w:rStyle w:val="None"/>
          <w:rFonts w:ascii="Montserrat" w:cs="Montserrat" w:hAnsi="Montserrat" w:eastAsia="Montserrat"/>
          <w:b w:val="1"/>
          <w:bCs w:val="1"/>
        </w:rPr>
      </w:pPr>
    </w:p>
    <w:p>
      <w:pPr>
        <w:pStyle w:val="Body"/>
        <w:rPr>
          <w:rStyle w:val="None"/>
          <w:rFonts w:ascii="Montserrat" w:cs="Montserrat" w:hAnsi="Montserrat" w:eastAsia="Montserrat"/>
          <w:b w:val="1"/>
          <w:bCs w:val="1"/>
        </w:rPr>
      </w:pPr>
    </w:p>
    <w:p>
      <w:pPr>
        <w:pStyle w:val="Body"/>
        <w:rPr>
          <w:rStyle w:val="None"/>
          <w:rFonts w:ascii="Montserrat" w:cs="Montserrat" w:hAnsi="Montserrat" w:eastAsia="Montserrat"/>
          <w:b w:val="1"/>
          <w:bCs w:val="1"/>
        </w:rPr>
      </w:pPr>
    </w:p>
    <w:p>
      <w:pPr>
        <w:pStyle w:val="Body"/>
        <w:rPr>
          <w:rStyle w:val="None"/>
          <w:rFonts w:ascii="Montserrat" w:cs="Montserrat" w:hAnsi="Montserrat" w:eastAsia="Montserrat"/>
          <w:b w:val="1"/>
          <w:bCs w:val="1"/>
        </w:rPr>
      </w:pPr>
      <w:r>
        <w:rPr>
          <w:rStyle w:val="None"/>
          <w:rFonts w:ascii="Montserrat" w:cs="Montserrat" w:hAnsi="Montserrat" w:eastAsia="Montserrat"/>
          <w:b w:val="1"/>
          <w:bCs w:val="1"/>
          <w:rtl w:val="0"/>
          <w:lang w:val="en-US"/>
        </w:rPr>
        <w:t>Annexure 4: Spearman-rank analysis of continuous variables</w:t>
      </w:r>
    </w:p>
    <w:p>
      <w:pPr>
        <w:pStyle w:val="Body"/>
        <w:rPr>
          <w:rStyle w:val="None"/>
          <w:rFonts w:ascii="Montserrat" w:cs="Montserrat" w:hAnsi="Montserrat" w:eastAsia="Montserrat"/>
          <w:b w:val="1"/>
          <w:bCs w:val="1"/>
        </w:rPr>
      </w:pPr>
    </w:p>
    <w:tbl>
      <w:tblPr>
        <w:tblW w:w="888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025"/>
        <w:gridCol w:w="2205"/>
        <w:gridCol w:w="1785"/>
        <w:gridCol w:w="1410"/>
        <w:gridCol w:w="1455"/>
      </w:tblGrid>
      <w:tr>
        <w:tblPrEx>
          <w:shd w:val="clear" w:color="auto" w:fill="ced7e7"/>
        </w:tblPrEx>
        <w:trPr>
          <w:trHeight w:val="483" w:hRule="atLeast"/>
        </w:trPr>
        <w:tc>
          <w:tcPr>
            <w:tcW w:type="dxa" w:w="2025"/>
            <w:tcBorders>
              <w:top w:val="single" w:color="000000"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Variable 1</w:t>
            </w:r>
          </w:p>
        </w:tc>
        <w:tc>
          <w:tcPr>
            <w:tcW w:type="dxa" w:w="2205"/>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Variable 2</w:t>
            </w:r>
          </w:p>
        </w:tc>
        <w:tc>
          <w:tcPr>
            <w:tcW w:type="dxa" w:w="1785"/>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Spearman-rank rho</w:t>
            </w:r>
          </w:p>
        </w:tc>
        <w:tc>
          <w:tcPr>
            <w:tcW w:type="dxa" w:w="1410"/>
            <w:tcBorders>
              <w:top w:val="single" w:color="000000"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p</w:t>
            </w:r>
          </w:p>
        </w:tc>
        <w:tc>
          <w:tcPr>
            <w:tcW w:type="dxa" w:w="1455"/>
            <w:tcBorders>
              <w:top w:val="single" w:color="000000"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S</w:t>
            </w:r>
          </w:p>
        </w:tc>
      </w:tr>
      <w:tr>
        <w:tblPrEx>
          <w:shd w:val="clear" w:color="auto" w:fill="ced7e7"/>
        </w:tblPrEx>
        <w:trPr>
          <w:trHeight w:val="25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Income</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Plot size</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0.3183761</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0.000881</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135292</w:t>
            </w:r>
          </w:p>
        </w:tc>
      </w:tr>
      <w:tr>
        <w:tblPrEx>
          <w:shd w:val="clear" w:color="auto" w:fill="ced7e7"/>
        </w:tblPrEx>
        <w:trPr>
          <w:trHeight w:val="25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Income</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diversity</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-0.126955</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0.1947</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223684</w:t>
            </w:r>
          </w:p>
        </w:tc>
      </w:tr>
      <w:tr>
        <w:tblPrEx>
          <w:shd w:val="clear" w:color="auto" w:fill="ced7e7"/>
        </w:tblPrEx>
        <w:trPr>
          <w:trHeight w:val="25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Income</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area %</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0.2749164</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0.0001524</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765137</w:t>
            </w:r>
          </w:p>
        </w:tc>
      </w:tr>
      <w:tr>
        <w:tblPrEx>
          <w:shd w:val="clear" w:color="auto" w:fill="ced7e7"/>
        </w:tblPrEx>
        <w:trPr>
          <w:trHeight w:val="25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Income</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Tree density</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0.1879604</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0.05604</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152225</w:t>
            </w:r>
          </w:p>
        </w:tc>
      </w:tr>
      <w:tr>
        <w:tblPrEx>
          <w:shd w:val="clear" w:color="auto" w:fill="ced7e7"/>
        </w:tblPrEx>
        <w:trPr>
          <w:trHeight w:val="48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Income</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loss %</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0.1303604</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0.02777</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3355191</w:t>
            </w:r>
          </w:p>
        </w:tc>
      </w:tr>
      <w:tr>
        <w:tblPrEx>
          <w:shd w:val="clear" w:color="auto" w:fill="ced7e7"/>
        </w:tblPrEx>
        <w:trPr>
          <w:trHeight w:val="48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Water demand</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Plot size</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0.06553958</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0.2693</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3643363</w:t>
            </w:r>
          </w:p>
        </w:tc>
      </w:tr>
      <w:tr>
        <w:tblPrEx>
          <w:shd w:val="clear" w:color="auto" w:fill="ced7e7"/>
        </w:tblPrEx>
        <w:trPr>
          <w:trHeight w:val="25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Water demand</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diversity</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0.1961656</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0.04387</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159549</w:t>
            </w:r>
          </w:p>
        </w:tc>
      </w:tr>
      <w:tr>
        <w:tblPrEx>
          <w:shd w:val="clear" w:color="auto" w:fill="ced7e7"/>
        </w:tblPrEx>
        <w:trPr>
          <w:trHeight w:val="25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Water demand</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area %</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0.5853201</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&lt; 2.2e-16</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437587</w:t>
            </w:r>
          </w:p>
        </w:tc>
      </w:tr>
      <w:tr>
        <w:tblPrEx>
          <w:shd w:val="clear" w:color="auto" w:fill="ced7e7"/>
        </w:tblPrEx>
        <w:trPr>
          <w:trHeight w:val="25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Water demand</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Tree density</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0.1494106</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0.1301</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159451</w:t>
            </w:r>
          </w:p>
        </w:tc>
      </w:tr>
      <w:tr>
        <w:tblPrEx>
          <w:shd w:val="clear" w:color="auto" w:fill="ced7e7"/>
        </w:tblPrEx>
        <w:trPr>
          <w:trHeight w:val="48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Water demand</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loss %</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-0.06575746</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0.2685</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4111841</w:t>
            </w:r>
          </w:p>
        </w:tc>
      </w:tr>
      <w:tr>
        <w:tblPrEx>
          <w:shd w:val="clear" w:color="auto" w:fill="ced7e7"/>
        </w:tblPrEx>
        <w:trPr>
          <w:trHeight w:val="25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Livestock Income</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Herd size</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-0.08234945</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0.4649</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95853</w:t>
            </w:r>
          </w:p>
        </w:tc>
      </w:tr>
      <w:tr>
        <w:tblPrEx>
          <w:shd w:val="clear" w:color="auto" w:fill="ced7e7"/>
        </w:tblPrEx>
        <w:trPr>
          <w:trHeight w:val="48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Livestock annual water demand</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Herd size</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-0.09685969</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0.3897</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97138</w:t>
            </w:r>
          </w:p>
        </w:tc>
      </w:tr>
      <w:tr>
        <w:tblPrEx>
          <w:shd w:val="clear" w:color="auto" w:fill="ced7e7"/>
        </w:tblPrEx>
        <w:trPr>
          <w:trHeight w:val="478"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Income</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timber tree density</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0.04750404</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0.6287</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189056</w:t>
            </w:r>
          </w:p>
        </w:tc>
      </w:tr>
      <w:tr>
        <w:tblPrEx>
          <w:shd w:val="clear" w:color="auto" w:fill="ced7e7"/>
        </w:tblPrEx>
        <w:trPr>
          <w:trHeight w:val="478"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Income</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Fruit tree density</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0.2967918</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0.002006</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139576</w:t>
            </w:r>
          </w:p>
        </w:tc>
      </w:tr>
      <w:tr>
        <w:tblPrEx>
          <w:shd w:val="clear" w:color="auto" w:fill="ced7e7"/>
        </w:tblPrEx>
        <w:trPr>
          <w:trHeight w:val="25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Biomass carbon</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Plot size</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0.4770492</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2.34E-07</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103798</w:t>
            </w:r>
          </w:p>
        </w:tc>
      </w:tr>
      <w:tr>
        <w:tblPrEx>
          <w:shd w:val="clear" w:color="auto" w:fill="ced7e7"/>
        </w:tblPrEx>
        <w:trPr>
          <w:trHeight w:val="478"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Biomass carbon</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timber tree density</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0.1871411</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0.05474</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161340</w:t>
            </w:r>
          </w:p>
        </w:tc>
      </w:tr>
      <w:tr>
        <w:tblPrEx>
          <w:shd w:val="clear" w:color="auto" w:fill="ced7e7"/>
        </w:tblPrEx>
        <w:trPr>
          <w:trHeight w:val="478"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Biomass carbon</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Fruit tree density</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0.8008756</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&lt; 2.2e-16</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39523</w:t>
            </w:r>
          </w:p>
        </w:tc>
      </w:tr>
      <w:tr>
        <w:tblPrEx>
          <w:shd w:val="clear" w:color="auto" w:fill="ced7e7"/>
        </w:tblPrEx>
        <w:trPr>
          <w:trHeight w:val="25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Biomass carbon</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diversity</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-0.2495416</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0.009889</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248015</w:t>
            </w:r>
          </w:p>
        </w:tc>
      </w:tr>
      <w:tr>
        <w:tblPrEx>
          <w:shd w:val="clear" w:color="auto" w:fill="ced7e7"/>
        </w:tblPrEx>
        <w:trPr>
          <w:trHeight w:val="478"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outline w:val="0"/>
                <w:color w:val="1f1f1f"/>
                <w:sz w:val="18"/>
                <w:szCs w:val="18"/>
                <w:u w:color="1f1f1f"/>
                <w:shd w:val="nil" w:color="auto" w:fill="auto"/>
                <w:rtl w:val="0"/>
                <w:lang w:val="en-US"/>
                <w14:textFill>
                  <w14:solidFill>
                    <w14:srgbClr w14:val="1F1F1F"/>
                  </w14:solidFill>
                </w14:textFill>
              </w:rPr>
              <w:t>Crop water demand</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fruit tree density</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-0.158683</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0.1042</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229981</w:t>
            </w:r>
          </w:p>
        </w:tc>
      </w:tr>
      <w:tr>
        <w:tblPrEx>
          <w:shd w:val="clear" w:color="auto" w:fill="ced7e7"/>
        </w:tblPrEx>
        <w:trPr>
          <w:trHeight w:val="478"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outline w:val="0"/>
                <w:color w:val="1f1f1f"/>
                <w:sz w:val="18"/>
                <w:szCs w:val="18"/>
                <w:u w:color="1f1f1f"/>
                <w:shd w:val="nil" w:color="auto" w:fill="auto"/>
                <w:rtl w:val="0"/>
                <w:lang w:val="en-US"/>
                <w14:textFill>
                  <w14:solidFill>
                    <w14:srgbClr w14:val="1F1F1F"/>
                  </w14:solidFill>
                </w14:textFill>
              </w:rPr>
              <w:t>Crop water demand</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timber tree density</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0.1546206</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0.1135</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167795</w:t>
            </w:r>
          </w:p>
        </w:tc>
      </w:tr>
      <w:tr>
        <w:tblPrEx>
          <w:shd w:val="clear" w:color="auto" w:fill="ced7e7"/>
        </w:tblPrEx>
        <w:trPr>
          <w:trHeight w:val="70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Livestock income</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Livestock annual water demand</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0.546816</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1.28E-07</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40134</w:t>
            </w:r>
          </w:p>
        </w:tc>
      </w:tr>
      <w:tr>
        <w:tblPrEx>
          <w:shd w:val="clear" w:color="auto" w:fill="ced7e7"/>
        </w:tblPrEx>
        <w:trPr>
          <w:trHeight w:val="483" w:hRule="atLeast"/>
        </w:trPr>
        <w:tc>
          <w:tcPr>
            <w:tcW w:type="dxa" w:w="2025"/>
            <w:tcBorders>
              <w:top w:val="single" w:color="cccccc" w:sz="4" w:space="0" w:shadow="0" w:frame="0"/>
              <w:left w:val="single" w:color="000000"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Income</w:t>
            </w:r>
          </w:p>
        </w:tc>
        <w:tc>
          <w:tcPr>
            <w:tcW w:type="dxa" w:w="220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Tree Age</w:t>
            </w:r>
          </w:p>
        </w:tc>
        <w:tc>
          <w:tcPr>
            <w:tcW w:type="dxa" w:w="1785"/>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0.1770469</w:t>
            </w:r>
          </w:p>
        </w:tc>
        <w:tc>
          <w:tcPr>
            <w:tcW w:type="dxa" w:w="1410"/>
            <w:tcBorders>
              <w:top w:val="single" w:color="cccccc" w:sz="4" w:space="0" w:shadow="0" w:frame="0"/>
              <w:left w:val="single" w:color="cccccc" w:sz="4" w:space="0" w:shadow="0" w:frame="0"/>
              <w:bottom w:val="single" w:color="cccccc"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0.00285</w:t>
            </w:r>
          </w:p>
        </w:tc>
        <w:tc>
          <w:tcPr>
            <w:tcW w:type="dxa" w:w="1455"/>
            <w:tcBorders>
              <w:top w:val="single" w:color="cccccc" w:sz="4" w:space="0" w:shadow="0" w:frame="0"/>
              <w:left w:val="single" w:color="cccccc" w:sz="4" w:space="0" w:shadow="0" w:frame="0"/>
              <w:bottom w:val="single" w:color="cccccc"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3075854</w:t>
            </w:r>
          </w:p>
        </w:tc>
      </w:tr>
      <w:tr>
        <w:tblPrEx>
          <w:shd w:val="clear" w:color="auto" w:fill="ced7e7"/>
        </w:tblPrEx>
        <w:trPr>
          <w:trHeight w:val="483" w:hRule="atLeast"/>
        </w:trPr>
        <w:tc>
          <w:tcPr>
            <w:tcW w:type="dxa" w:w="2025"/>
            <w:tcBorders>
              <w:top w:val="single" w:color="cccccc" w:sz="4" w:space="0" w:shadow="0" w:frame="0"/>
              <w:left w:val="single" w:color="000000" w:sz="4" w:space="0" w:shadow="0" w:frame="0"/>
              <w:bottom w:val="single" w:color="000000"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Crop Water demand</w:t>
            </w:r>
          </w:p>
        </w:tc>
        <w:tc>
          <w:tcPr>
            <w:tcW w:type="dxa" w:w="2205"/>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Tree Age</w:t>
            </w:r>
          </w:p>
        </w:tc>
        <w:tc>
          <w:tcPr>
            <w:tcW w:type="dxa" w:w="1785"/>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-0.2258892</w:t>
            </w:r>
          </w:p>
        </w:tc>
        <w:tc>
          <w:tcPr>
            <w:tcW w:type="dxa" w:w="1410"/>
            <w:tcBorders>
              <w:top w:val="single" w:color="cccccc" w:sz="4" w:space="0" w:shadow="0" w:frame="0"/>
              <w:left w:val="single" w:color="cccccc" w:sz="4" w:space="0" w:shadow="0" w:frame="0"/>
              <w:bottom w:val="single" w:color="000000" w:sz="4" w:space="0" w:shadow="0" w:frame="0"/>
              <w:right w:val="single" w:color="cccccc" w:sz="4" w:space="0" w:shadow="0" w:frame="0"/>
            </w:tcBorders>
            <w:shd w:val="clear" w:color="auto" w:fill="ffffff"/>
            <w:tcMar>
              <w:top w:type="dxa" w:w="80"/>
              <w:left w:type="dxa" w:w="80"/>
              <w:bottom w:type="dxa" w:w="80"/>
              <w:right w:type="dxa" w:w="80"/>
            </w:tcMar>
            <w:vAlign w:val="bottom"/>
          </w:tcPr>
          <w:p>
            <w:pPr>
              <w:pStyle w:val="Body"/>
              <w:widowControl w:val="0"/>
            </w:pPr>
            <w:r>
              <w:rPr>
                <w:rStyle w:val="None"/>
                <w:b w:val="1"/>
                <w:bCs w:val="1"/>
                <w:sz w:val="20"/>
                <w:szCs w:val="20"/>
                <w:shd w:val="nil" w:color="auto" w:fill="auto"/>
                <w:rtl w:val="0"/>
                <w:lang w:val="en-US"/>
              </w:rPr>
              <w:t>0.0001302</w:t>
            </w:r>
          </w:p>
        </w:tc>
        <w:tc>
          <w:tcPr>
            <w:tcW w:type="dxa" w:w="1455"/>
            <w:tcBorders>
              <w:top w:val="single" w:color="cccccc" w:sz="4" w:space="0" w:shadow="0" w:frame="0"/>
              <w:left w:val="single" w:color="cccccc"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bottom"/>
          </w:tcPr>
          <w:p>
            <w:pPr>
              <w:pStyle w:val="Body"/>
              <w:widowControl w:val="0"/>
            </w:pPr>
            <w:r>
              <w:rPr>
                <w:rStyle w:val="None"/>
                <w:sz w:val="20"/>
                <w:szCs w:val="20"/>
                <w:shd w:val="nil" w:color="auto" w:fill="auto"/>
                <w:rtl w:val="0"/>
                <w:lang w:val="en-US"/>
              </w:rPr>
              <w:t>4581860</w:t>
            </w:r>
          </w:p>
        </w:tc>
      </w:tr>
    </w:tbl>
    <w:p>
      <w:pPr>
        <w:pStyle w:val="Body"/>
        <w:widowControl w:val="0"/>
        <w:spacing w:line="240" w:lineRule="auto"/>
        <w:ind w:left="108" w:hanging="108"/>
        <w:rPr>
          <w:rStyle w:val="None"/>
          <w:rFonts w:ascii="Montserrat" w:cs="Montserrat" w:hAnsi="Montserrat" w:eastAsia="Montserrat"/>
          <w:b w:val="1"/>
          <w:bCs w:val="1"/>
        </w:rPr>
      </w:pPr>
    </w:p>
    <w:p>
      <w:pPr>
        <w:pStyle w:val="Body"/>
        <w:widowControl w:val="0"/>
        <w:spacing w:line="240" w:lineRule="auto"/>
      </w:pPr>
      <w:r>
        <w:rPr>
          <w:rStyle w:val="None"/>
          <w:rFonts w:ascii="Montserrat" w:cs="Montserrat" w:hAnsi="Montserrat" w:eastAsia="Montserrat"/>
          <w:i w:val="1"/>
          <w:iCs w:val="1"/>
          <w:outline w:val="0"/>
          <w:color w:val="999999"/>
          <w:u w:color="999999"/>
          <w14:textFill>
            <w14:solidFill>
              <w14:srgbClr w14:val="999999"/>
            </w14:solidFill>
          </w14:textFill>
        </w:rPr>
      </w:r>
    </w:p>
    <w:sectPr>
      <w:headerReference w:type="default" r:id="rId12"/>
      <w:footerReference w:type="default" r:id="rId13"/>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Montserrat">
    <w:charset w:val="00"/>
    <w:family w:val="roman"/>
    <w:pitch w:val="default"/>
  </w:font>
  <w:font w:name="Josefin Sans">
    <w:charset w:val="00"/>
    <w:family w:val="roman"/>
    <w:pitch w:val="default"/>
  </w:font>
  <w:font w:name="Merriweathe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5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5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5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4"/>
    <w:lvlOverride w:ilvl="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47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4"/>
    <w:lvlOverride w:ilvl="0">
      <w:lvl w:ilvl="0">
        <w:start w:val="1"/>
        <w:numFmt w:val="decimal"/>
        <w:suff w:val="tab"/>
        <w:lvlText w:val="%1."/>
        <w:lvlJc w:val="left"/>
        <w:pPr>
          <w:ind w:left="673" w:hanging="31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start w:val="1"/>
        <w:numFmt w:val="lowerLetter"/>
        <w:suff w:val="tab"/>
        <w:lvlText w:val="%2."/>
        <w:lvlJc w:val="left"/>
        <w:pPr>
          <w:ind w:left="1393" w:hanging="31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start w:val="1"/>
        <w:numFmt w:val="lowerRoman"/>
        <w:suff w:val="tab"/>
        <w:lvlText w:val="%3."/>
        <w:lvlJc w:val="left"/>
        <w:pPr>
          <w:ind w:left="2099" w:hanging="41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start w:val="1"/>
        <w:numFmt w:val="decimal"/>
        <w:suff w:val="tab"/>
        <w:lvlText w:val="%4."/>
        <w:lvlJc w:val="left"/>
        <w:pPr>
          <w:ind w:left="2833" w:hanging="31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start w:val="1"/>
        <w:numFmt w:val="lowerLetter"/>
        <w:suff w:val="tab"/>
        <w:lvlText w:val="%5."/>
        <w:lvlJc w:val="left"/>
        <w:pPr>
          <w:ind w:left="3553" w:hanging="31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start w:val="1"/>
        <w:numFmt w:val="lowerRoman"/>
        <w:suff w:val="tab"/>
        <w:lvlText w:val="%6."/>
        <w:lvlJc w:val="left"/>
        <w:pPr>
          <w:ind w:left="4259" w:hanging="41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start w:val="1"/>
        <w:numFmt w:val="decimal"/>
        <w:suff w:val="tab"/>
        <w:lvlText w:val="%7."/>
        <w:lvlJc w:val="left"/>
        <w:pPr>
          <w:ind w:left="4993" w:hanging="31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start w:val="1"/>
        <w:numFmt w:val="lowerLetter"/>
        <w:suff w:val="tab"/>
        <w:lvlText w:val="%8."/>
        <w:lvlJc w:val="left"/>
        <w:pPr>
          <w:ind w:left="5713" w:hanging="31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start w:val="1"/>
        <w:numFmt w:val="lowerRoman"/>
        <w:suff w:val="tab"/>
        <w:lvlText w:val="%9."/>
        <w:lvlJc w:val="left"/>
        <w:pPr>
          <w:ind w:left="6419" w:hanging="41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num>
  <w:num w:numId="9">
    <w:abstractNumId w:val="4"/>
    <w:lvlOverride w:ilvl="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4"/>
    <w:lvlOverride w:ilvl="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7"/>
  </w:num>
  <w:num w:numId="12">
    <w:abstractNumId w:val="6"/>
  </w:num>
  <w:num w:numId="13">
    <w:abstractNumId w:val="9"/>
  </w:num>
  <w:num w:numId="14">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Heading 3">
    <w:name w:val="Heading 3"/>
    <w:next w:val="Body"/>
    <w:pPr>
      <w:keepNext w:val="1"/>
      <w:keepLines w:val="1"/>
      <w:pageBreakBefore w:val="0"/>
      <w:widowControl w:val="1"/>
      <w:shd w:val="clear" w:color="auto" w:fill="auto"/>
      <w:suppressAutoHyphens w:val="0"/>
      <w:bidi w:val="0"/>
      <w:spacing w:before="320" w:after="80" w:line="276" w:lineRule="auto"/>
      <w:ind w:left="0" w:right="0" w:firstLine="0"/>
      <w:jc w:val="left"/>
      <w:outlineLvl w:val="2"/>
    </w:pPr>
    <w:rPr>
      <w:rFonts w:ascii="Arial" w:cs="Arial" w:hAnsi="Arial" w:eastAsia="Arial"/>
      <w:b w:val="0"/>
      <w:bCs w:val="0"/>
      <w:i w:val="0"/>
      <w:iCs w:val="0"/>
      <w:caps w:val="0"/>
      <w:smallCaps w:val="0"/>
      <w:strike w:val="0"/>
      <w:dstrike w:val="0"/>
      <w:outline w:val="0"/>
      <w:color w:val="434343"/>
      <w:spacing w:val="0"/>
      <w:kern w:val="0"/>
      <w:position w:val="0"/>
      <w:sz w:val="28"/>
      <w:szCs w:val="28"/>
      <w:u w:val="none" w:color="434343"/>
      <w:shd w:val="nil" w:color="auto" w:fill="auto"/>
      <w:vertAlign w:val="baseline"/>
      <w14:textOutline>
        <w14:noFill/>
      </w14:textOutline>
      <w14:textFill>
        <w14:solidFill>
          <w14:srgbClr w14:val="434343"/>
        </w14:solidFill>
      </w14:textFill>
    </w:rPr>
  </w:style>
  <w:style w:type="paragraph" w:styleId="heading 4">
    <w:name w:val="heading 4"/>
    <w:next w:val="Body"/>
    <w:pPr>
      <w:keepNext w:val="1"/>
      <w:keepLines w:val="1"/>
      <w:pageBreakBefore w:val="0"/>
      <w:widowControl w:val="1"/>
      <w:shd w:val="clear" w:color="auto" w:fill="auto"/>
      <w:suppressAutoHyphens w:val="0"/>
      <w:bidi w:val="0"/>
      <w:spacing w:before="280" w:after="80"/>
      <w:ind w:left="0" w:right="0" w:firstLine="0"/>
      <w:jc w:val="left"/>
      <w:outlineLvl w:val="2"/>
    </w:pPr>
    <w:rPr>
      <w:rFonts w:ascii="Arial" w:cs="Arial" w:hAnsi="Arial" w:eastAsia="Arial"/>
      <w:b w:val="0"/>
      <w:bCs w:val="0"/>
      <w:i w:val="0"/>
      <w:iCs w:val="0"/>
      <w:caps w:val="0"/>
      <w:smallCaps w:val="0"/>
      <w:strike w:val="0"/>
      <w:dstrike w:val="0"/>
      <w:outline w:val="0"/>
      <w:color w:val="666666"/>
      <w:spacing w:val="0"/>
      <w:kern w:val="0"/>
      <w:position w:val="0"/>
      <w:sz w:val="24"/>
      <w:szCs w:val="24"/>
      <w:u w:val="none" w:color="666666"/>
      <w:shd w:val="nil" w:color="auto" w:fill="auto"/>
      <w:vertAlign w:val="baseline"/>
      <w:lang w:val="en-US"/>
      <w14:textFill>
        <w14:solidFill>
          <w14:srgbClr w14:val="666666"/>
        </w14:solidFill>
      </w14:textFill>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rFonts w:ascii="Montserrat" w:cs="Montserrat" w:hAnsi="Montserrat" w:eastAsia="Montserrat"/>
      <w:outline w:val="0"/>
      <w:color w:val="1155cc"/>
      <w:u w:val="single" w:color="1155cc"/>
      <w14:textFill>
        <w14:solidFill>
          <w14:srgbClr w14:val="1155CC"/>
        </w14:solidFill>
      </w14:textFill>
    </w:rPr>
  </w:style>
  <w:style w:type="character" w:styleId="Hyperlink.1">
    <w:name w:val="Hyperlink.1"/>
    <w:basedOn w:val="None"/>
    <w:next w:val="Hyperlink.1"/>
    <w:rPr>
      <w:rFonts w:ascii="Montserrat" w:cs="Montserrat" w:hAnsi="Montserrat" w:eastAsia="Montserrat"/>
    </w:rPr>
  </w:style>
  <w:style w:type="character" w:styleId="Hyperlink.2">
    <w:name w:val="Hyperlink.2"/>
    <w:basedOn w:val="None"/>
    <w:next w:val="Hyperlink.2"/>
    <w:rPr>
      <w:rFonts w:ascii="Times New Roman" w:cs="Times New Roman" w:hAnsi="Times New Roman" w:eastAsia="Times New Roman"/>
      <w:outline w:val="0"/>
      <w:color w:val="0000ee"/>
      <w:sz w:val="24"/>
      <w:szCs w:val="24"/>
      <w:u w:val="single" w:color="0000ee"/>
      <w14:textFill>
        <w14:solidFill>
          <w14:srgbClr w14:val="0000EE"/>
        </w14:solidFill>
      </w14:textFill>
    </w:rPr>
  </w:style>
  <w:style w:type="numbering" w:styleId="Imported Style 2">
    <w:name w:val="Imported Style 2"/>
    <w:pPr>
      <w:numPr>
        <w:numId w:val="3"/>
      </w:numPr>
    </w:pPr>
  </w:style>
  <w:style w:type="character" w:styleId="Hyperlink.3">
    <w:name w:val="Hyperlink.3"/>
    <w:basedOn w:val="None"/>
    <w:next w:val="Hyperlink.3"/>
    <w:rPr>
      <w:outline w:val="0"/>
      <w:color w:val="1155cc"/>
      <w:sz w:val="20"/>
      <w:szCs w:val="20"/>
      <w:u w:val="single" w:color="1155cc"/>
      <w:shd w:val="clear" w:color="auto" w:fill="ffffff"/>
      <w14:textFill>
        <w14:solidFill>
          <w14:srgbClr w14:val="1155CC"/>
        </w14:solidFill>
      </w14:textFill>
    </w:rPr>
  </w:style>
  <w:style w:type="numbering" w:styleId="Imported Style 3">
    <w:name w:val="Imported Style 3"/>
    <w:pPr>
      <w:numPr>
        <w:numId w:val="5"/>
      </w:numPr>
    </w:pPr>
  </w:style>
  <w:style w:type="character" w:styleId="Hyperlink.4">
    <w:name w:val="Hyperlink.4"/>
    <w:basedOn w:val="None"/>
    <w:next w:val="Hyperlink.4"/>
    <w:rPr>
      <w:outline w:val="0"/>
      <w:color w:val="1155cc"/>
      <w:u w:val="single" w:color="1155cc"/>
      <w:shd w:val="clear" w:color="auto" w:fill="ffffff"/>
      <w14:textFill>
        <w14:solidFill>
          <w14:srgbClr w14:val="1155CC"/>
        </w14:solidFill>
      </w14:textFill>
    </w:rPr>
  </w:style>
  <w:style w:type="character" w:styleId="Hyperlink.5">
    <w:name w:val="Hyperlink.5"/>
    <w:basedOn w:val="None"/>
    <w:next w:val="Hyperlink.5"/>
    <w:rPr>
      <w:outline w:val="0"/>
      <w:color w:val="0000ff"/>
      <w:u w:val="single" w:color="0000ff"/>
      <w:shd w:val="clear" w:color="auto" w:fill="ffffff"/>
      <w14:textFill>
        <w14:solidFill>
          <w14:srgbClr w14:val="0000FF"/>
        </w14:solidFill>
      </w14:textFill>
    </w:rPr>
  </w:style>
  <w:style w:type="character" w:styleId="Hyperlink.6">
    <w:name w:val="Hyperlink.6"/>
    <w:basedOn w:val="None"/>
    <w:next w:val="Hyperlink.6"/>
    <w:rPr>
      <w:outline w:val="0"/>
      <w:color w:val="1967d2"/>
      <w:sz w:val="20"/>
      <w:szCs w:val="20"/>
      <w:u w:val="single" w:color="1967d2"/>
      <w:shd w:val="clear" w:color="auto" w:fill="ffffff"/>
      <w14:textFill>
        <w14:solidFill>
          <w14:srgbClr w14:val="1967D2"/>
        </w14:solidFill>
      </w14:textFill>
    </w:rPr>
  </w:style>
  <w:style w:type="numbering" w:styleId="Imported Style 4">
    <w:name w:val="Imported Style 4"/>
    <w:pPr>
      <w:numPr>
        <w:numId w:val="11"/>
      </w:numPr>
    </w:pPr>
  </w:style>
  <w:style w:type="numbering" w:styleId="Imported Style 5">
    <w:name w:val="Imported Style 5"/>
    <w:pPr>
      <w:numPr>
        <w:numId w:val="13"/>
      </w:numPr>
    </w:pPr>
  </w:style>
  <w:style w:type="character" w:styleId="Hyperlink.7">
    <w:name w:val="Hyperlink.7"/>
    <w:basedOn w:val="None"/>
    <w:next w:val="Hyperlink.7"/>
    <w:rPr>
      <w:outline w:val="0"/>
      <w:color w:val="1155cc"/>
      <w:u w:val="single" w:color="1155cc"/>
      <w14:textFill>
        <w14:solidFill>
          <w14:srgbClr w14:val="1155CC"/>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numbering" Target="numbering.xml"/><Relationship Id="rId1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