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CC3D9" w14:textId="77777777" w:rsidR="00CF5C31" w:rsidRPr="00F630DB" w:rsidRDefault="00000000">
      <w:pPr>
        <w:pStyle w:val="Heading1"/>
        <w:rPr>
          <w:color w:val="auto"/>
        </w:rPr>
      </w:pPr>
      <w:bookmarkStart w:id="0" w:name="supplementary-tables"/>
      <w:r w:rsidRPr="00F630DB">
        <w:rPr>
          <w:color w:val="auto"/>
        </w:rPr>
        <w:t>Supplementary Tables</w:t>
      </w:r>
      <w:bookmarkEnd w:id="0"/>
    </w:p>
    <w:p w14:paraId="0AE25226" w14:textId="77777777" w:rsidR="00CF5C31" w:rsidRPr="00F630DB" w:rsidRDefault="00000000">
      <w:pPr>
        <w:pStyle w:val="Heading1"/>
        <w:rPr>
          <w:color w:val="auto"/>
        </w:rPr>
      </w:pPr>
      <w:bookmarkStart w:id="1" w:name="X5b681d4dfd74470a620c5256eecf92333bd9486"/>
      <w:r w:rsidRPr="00F630DB">
        <w:rPr>
          <w:color w:val="auto"/>
        </w:rPr>
        <w:t>Table S1. Sensitivity refit of the Table 4 logistic model excluding sampling-deviation regions</w:t>
      </w:r>
      <w:bookmarkEnd w:id="1"/>
    </w:p>
    <w:tbl>
      <w:tblPr>
        <w:tblStyle w:val="Table"/>
        <w:tblW w:w="5000" w:type="pct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nil"/>
        </w:tblBorders>
        <w:tblLook w:val="07E0" w:firstRow="1" w:lastRow="1" w:firstColumn="1" w:lastColumn="1" w:noHBand="1" w:noVBand="1"/>
      </w:tblPr>
      <w:tblGrid>
        <w:gridCol w:w="2490"/>
        <w:gridCol w:w="2045"/>
        <w:gridCol w:w="2315"/>
        <w:gridCol w:w="2726"/>
      </w:tblGrid>
      <w:tr w:rsidR="00F630DB" w:rsidRPr="000A403E" w14:paraId="3588FCE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7762817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Variable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AECBB3D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Full model(n=</w:t>
            </w:r>
            <w:proofErr w:type="gramStart"/>
            <w:r w:rsidRPr="000A403E">
              <w:rPr>
                <w:sz w:val="16"/>
                <w:szCs w:val="16"/>
              </w:rPr>
              <w:t>173)aOR</w:t>
            </w:r>
            <w:proofErr w:type="gramEnd"/>
            <w:r w:rsidRPr="000A403E">
              <w:rPr>
                <w:sz w:val="16"/>
                <w:szCs w:val="16"/>
              </w:rPr>
              <w:t xml:space="preserve"> (p)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6D81EE6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Excl. Region 5(n=</w:t>
            </w:r>
            <w:proofErr w:type="gramStart"/>
            <w:r w:rsidRPr="000A403E">
              <w:rPr>
                <w:sz w:val="16"/>
                <w:szCs w:val="16"/>
              </w:rPr>
              <w:t>172)aOR</w:t>
            </w:r>
            <w:proofErr w:type="gramEnd"/>
            <w:r w:rsidRPr="000A403E">
              <w:rPr>
                <w:sz w:val="16"/>
                <w:szCs w:val="16"/>
              </w:rPr>
              <w:t xml:space="preserve"> (p)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C26549F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Excl. Regions 5 + 11(n=</w:t>
            </w:r>
            <w:proofErr w:type="gramStart"/>
            <w:r w:rsidRPr="000A403E">
              <w:rPr>
                <w:sz w:val="16"/>
                <w:szCs w:val="16"/>
              </w:rPr>
              <w:t>147)aOR</w:t>
            </w:r>
            <w:proofErr w:type="gramEnd"/>
            <w:r w:rsidRPr="000A403E">
              <w:rPr>
                <w:sz w:val="16"/>
                <w:szCs w:val="16"/>
              </w:rPr>
              <w:t xml:space="preserve"> (p)</w:t>
            </w:r>
          </w:p>
        </w:tc>
      </w:tr>
      <w:tr w:rsidR="00F630DB" w:rsidRPr="000A403E" w14:paraId="2DA63D59" w14:textId="77777777">
        <w:tc>
          <w:tcPr>
            <w:tcW w:w="0" w:type="auto"/>
          </w:tcPr>
          <w:p w14:paraId="635BED88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Past civil servant only (vs Never)</w:t>
            </w:r>
          </w:p>
        </w:tc>
        <w:tc>
          <w:tcPr>
            <w:tcW w:w="0" w:type="auto"/>
          </w:tcPr>
          <w:p w14:paraId="58B467A7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1.14 (p = 0.82)</w:t>
            </w:r>
          </w:p>
        </w:tc>
        <w:tc>
          <w:tcPr>
            <w:tcW w:w="0" w:type="auto"/>
          </w:tcPr>
          <w:p w14:paraId="1BF94511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1.15 (p = 0.81)</w:t>
            </w:r>
          </w:p>
        </w:tc>
        <w:tc>
          <w:tcPr>
            <w:tcW w:w="0" w:type="auto"/>
          </w:tcPr>
          <w:p w14:paraId="44DB5705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0.96 (p = 0.96)</w:t>
            </w:r>
          </w:p>
        </w:tc>
      </w:tr>
      <w:tr w:rsidR="00F630DB" w:rsidRPr="000A403E" w14:paraId="6F6C65AE" w14:textId="77777777">
        <w:tc>
          <w:tcPr>
            <w:tcW w:w="0" w:type="auto"/>
          </w:tcPr>
          <w:p w14:paraId="5D8C53B3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Currently civil servant (vs Never)</w:t>
            </w:r>
          </w:p>
        </w:tc>
        <w:tc>
          <w:tcPr>
            <w:tcW w:w="0" w:type="auto"/>
          </w:tcPr>
          <w:p w14:paraId="6B73E818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0.92 (p = 0.91)</w:t>
            </w:r>
          </w:p>
        </w:tc>
        <w:tc>
          <w:tcPr>
            <w:tcW w:w="0" w:type="auto"/>
          </w:tcPr>
          <w:p w14:paraId="589BDA67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1.19 (p = 0.81)</w:t>
            </w:r>
          </w:p>
        </w:tc>
        <w:tc>
          <w:tcPr>
            <w:tcW w:w="0" w:type="auto"/>
          </w:tcPr>
          <w:p w14:paraId="6E167AA8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0.89 (p = 0.89)</w:t>
            </w:r>
          </w:p>
        </w:tc>
      </w:tr>
      <w:tr w:rsidR="00F630DB" w:rsidRPr="000A403E" w14:paraId="7C1B00A8" w14:textId="77777777">
        <w:tc>
          <w:tcPr>
            <w:tcW w:w="0" w:type="auto"/>
          </w:tcPr>
          <w:p w14:paraId="2C85BE92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Female (vs Male)</w:t>
            </w:r>
          </w:p>
        </w:tc>
        <w:tc>
          <w:tcPr>
            <w:tcW w:w="0" w:type="auto"/>
          </w:tcPr>
          <w:p w14:paraId="21ECB258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0.70 (p = 0.48)</w:t>
            </w:r>
          </w:p>
        </w:tc>
        <w:tc>
          <w:tcPr>
            <w:tcW w:w="0" w:type="auto"/>
          </w:tcPr>
          <w:p w14:paraId="1082A281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0.75 (p = 0.56)</w:t>
            </w:r>
          </w:p>
        </w:tc>
        <w:tc>
          <w:tcPr>
            <w:tcW w:w="0" w:type="auto"/>
          </w:tcPr>
          <w:p w14:paraId="7EA0DBBE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1.13 (p = 0.84)</w:t>
            </w:r>
          </w:p>
        </w:tc>
      </w:tr>
      <w:tr w:rsidR="00F630DB" w:rsidRPr="000A403E" w14:paraId="60CD155A" w14:textId="77777777">
        <w:tc>
          <w:tcPr>
            <w:tcW w:w="0" w:type="auto"/>
          </w:tcPr>
          <w:p w14:paraId="32F517CE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Age &lt;30 (vs 30–39)</w:t>
            </w:r>
          </w:p>
        </w:tc>
        <w:tc>
          <w:tcPr>
            <w:tcW w:w="0" w:type="auto"/>
          </w:tcPr>
          <w:p w14:paraId="7F9F0D87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1.61 (p = 0.69)</w:t>
            </w:r>
          </w:p>
        </w:tc>
        <w:tc>
          <w:tcPr>
            <w:tcW w:w="0" w:type="auto"/>
          </w:tcPr>
          <w:p w14:paraId="13D6F021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1.38 (p = 0.78)</w:t>
            </w:r>
          </w:p>
        </w:tc>
        <w:tc>
          <w:tcPr>
            <w:tcW w:w="0" w:type="auto"/>
          </w:tcPr>
          <w:p w14:paraId="37C6CDAC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1.00 (p = 1.00)</w:t>
            </w:r>
          </w:p>
        </w:tc>
      </w:tr>
      <w:tr w:rsidR="00F630DB" w:rsidRPr="000A403E" w14:paraId="661660AC" w14:textId="77777777">
        <w:tc>
          <w:tcPr>
            <w:tcW w:w="0" w:type="auto"/>
          </w:tcPr>
          <w:p w14:paraId="36B8FDAE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Age 40–49 (vs 30–39)</w:t>
            </w:r>
          </w:p>
        </w:tc>
        <w:tc>
          <w:tcPr>
            <w:tcW w:w="0" w:type="auto"/>
          </w:tcPr>
          <w:p w14:paraId="71E8C9D5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1.24 (p = 0.74)</w:t>
            </w:r>
          </w:p>
        </w:tc>
        <w:tc>
          <w:tcPr>
            <w:tcW w:w="0" w:type="auto"/>
          </w:tcPr>
          <w:p w14:paraId="0A93F77A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1.13 (p = 0.85)</w:t>
            </w:r>
          </w:p>
        </w:tc>
        <w:tc>
          <w:tcPr>
            <w:tcW w:w="0" w:type="auto"/>
          </w:tcPr>
          <w:p w14:paraId="6989C9FA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1.25 (p = 0.76)</w:t>
            </w:r>
          </w:p>
        </w:tc>
      </w:tr>
      <w:tr w:rsidR="00F630DB" w:rsidRPr="000A403E" w14:paraId="7B87E0B5" w14:textId="77777777">
        <w:tc>
          <w:tcPr>
            <w:tcW w:w="0" w:type="auto"/>
          </w:tcPr>
          <w:p w14:paraId="0387930F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Age 50–59 (vs 30–39)</w:t>
            </w:r>
          </w:p>
        </w:tc>
        <w:tc>
          <w:tcPr>
            <w:tcW w:w="0" w:type="auto"/>
          </w:tcPr>
          <w:p w14:paraId="0321617F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0.63 (p = 0.51)</w:t>
            </w:r>
          </w:p>
        </w:tc>
        <w:tc>
          <w:tcPr>
            <w:tcW w:w="0" w:type="auto"/>
          </w:tcPr>
          <w:p w14:paraId="32A5FDB5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0.62 (p = 0.49)</w:t>
            </w:r>
          </w:p>
        </w:tc>
        <w:tc>
          <w:tcPr>
            <w:tcW w:w="0" w:type="auto"/>
          </w:tcPr>
          <w:p w14:paraId="2502E7EB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0.53 (p = 0.40)</w:t>
            </w:r>
          </w:p>
        </w:tc>
      </w:tr>
      <w:tr w:rsidR="00F630DB" w:rsidRPr="000A403E" w14:paraId="72DE8088" w14:textId="77777777">
        <w:tc>
          <w:tcPr>
            <w:tcW w:w="0" w:type="auto"/>
          </w:tcPr>
          <w:p w14:paraId="26C484C1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Age ≥60 (vs 30–39)</w:t>
            </w:r>
          </w:p>
        </w:tc>
        <w:tc>
          <w:tcPr>
            <w:tcW w:w="0" w:type="auto"/>
          </w:tcPr>
          <w:p w14:paraId="5C25A379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0.39 (p = 0.24)</w:t>
            </w:r>
          </w:p>
        </w:tc>
        <w:tc>
          <w:tcPr>
            <w:tcW w:w="0" w:type="auto"/>
          </w:tcPr>
          <w:p w14:paraId="2AFD3E1D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0.39 (p = 0.25)</w:t>
            </w:r>
          </w:p>
        </w:tc>
        <w:tc>
          <w:tcPr>
            <w:tcW w:w="0" w:type="auto"/>
          </w:tcPr>
          <w:p w14:paraId="50449A41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0.37 (p = 0.29)</w:t>
            </w:r>
          </w:p>
        </w:tc>
      </w:tr>
      <w:tr w:rsidR="00F630DB" w:rsidRPr="000A403E" w14:paraId="5EED9BBB" w14:textId="77777777">
        <w:tc>
          <w:tcPr>
            <w:tcW w:w="0" w:type="auto"/>
          </w:tcPr>
          <w:p w14:paraId="5CF5E833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Central (vs Bangkok)</w:t>
            </w:r>
          </w:p>
        </w:tc>
        <w:tc>
          <w:tcPr>
            <w:tcW w:w="0" w:type="auto"/>
          </w:tcPr>
          <w:p w14:paraId="60D9E409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0.99 (p = 0.98)</w:t>
            </w:r>
          </w:p>
        </w:tc>
        <w:tc>
          <w:tcPr>
            <w:tcW w:w="0" w:type="auto"/>
          </w:tcPr>
          <w:p w14:paraId="220E229C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1.14 (p = 0.83)</w:t>
            </w:r>
          </w:p>
        </w:tc>
        <w:tc>
          <w:tcPr>
            <w:tcW w:w="0" w:type="auto"/>
          </w:tcPr>
          <w:p w14:paraId="13527F62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1.07 (p = 0.91)</w:t>
            </w:r>
          </w:p>
        </w:tc>
      </w:tr>
      <w:tr w:rsidR="00F630DB" w:rsidRPr="000A403E" w14:paraId="1EC14D7C" w14:textId="77777777">
        <w:tc>
          <w:tcPr>
            <w:tcW w:w="0" w:type="auto"/>
          </w:tcPr>
          <w:p w14:paraId="5C7C3990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South (vs Bangkok)</w:t>
            </w:r>
          </w:p>
        </w:tc>
        <w:tc>
          <w:tcPr>
            <w:tcW w:w="0" w:type="auto"/>
          </w:tcPr>
          <w:p w14:paraId="24B920FB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4.11 (p = 0.050)</w:t>
            </w:r>
          </w:p>
        </w:tc>
        <w:tc>
          <w:tcPr>
            <w:tcW w:w="0" w:type="auto"/>
          </w:tcPr>
          <w:p w14:paraId="6D330496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3.92 (p = 0.059)</w:t>
            </w:r>
          </w:p>
        </w:tc>
        <w:tc>
          <w:tcPr>
            <w:tcW w:w="0" w:type="auto"/>
          </w:tcPr>
          <w:p w14:paraId="5943F2AA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4.64 (p = 0.20)</w:t>
            </w:r>
          </w:p>
        </w:tc>
      </w:tr>
      <w:tr w:rsidR="00F630DB" w:rsidRPr="000A403E" w14:paraId="597229B4" w14:textId="77777777">
        <w:tc>
          <w:tcPr>
            <w:tcW w:w="0" w:type="auto"/>
          </w:tcPr>
          <w:p w14:paraId="78C64CD5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Northeast (vs Bangkok)</w:t>
            </w:r>
          </w:p>
        </w:tc>
        <w:tc>
          <w:tcPr>
            <w:tcW w:w="0" w:type="auto"/>
          </w:tcPr>
          <w:p w14:paraId="6A7E8FD2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2.31 (p = 0.27)</w:t>
            </w:r>
          </w:p>
        </w:tc>
        <w:tc>
          <w:tcPr>
            <w:tcW w:w="0" w:type="auto"/>
          </w:tcPr>
          <w:p w14:paraId="146062A7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2.07 (p = 0.33)</w:t>
            </w:r>
          </w:p>
        </w:tc>
        <w:tc>
          <w:tcPr>
            <w:tcW w:w="0" w:type="auto"/>
          </w:tcPr>
          <w:p w14:paraId="50B561B4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2.38 (p = 0.27)</w:t>
            </w:r>
          </w:p>
        </w:tc>
      </w:tr>
      <w:tr w:rsidR="00F630DB" w:rsidRPr="000A403E" w14:paraId="1ACB2BD1" w14:textId="77777777">
        <w:tc>
          <w:tcPr>
            <w:tcW w:w="0" w:type="auto"/>
          </w:tcPr>
          <w:p w14:paraId="0BB6CD23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North (vs Bangkok)</w:t>
            </w:r>
          </w:p>
        </w:tc>
        <w:tc>
          <w:tcPr>
            <w:tcW w:w="0" w:type="auto"/>
          </w:tcPr>
          <w:p w14:paraId="7EE87D05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0.32 (p = 0.25)</w:t>
            </w:r>
          </w:p>
        </w:tc>
        <w:tc>
          <w:tcPr>
            <w:tcW w:w="0" w:type="auto"/>
          </w:tcPr>
          <w:p w14:paraId="381129B2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0.31 (p = 0.25)</w:t>
            </w:r>
          </w:p>
        </w:tc>
        <w:tc>
          <w:tcPr>
            <w:tcW w:w="0" w:type="auto"/>
          </w:tcPr>
          <w:p w14:paraId="05795554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0.30 (p = 0.25)</w:t>
            </w:r>
          </w:p>
        </w:tc>
      </w:tr>
      <w:tr w:rsidR="00F630DB" w:rsidRPr="000A403E" w14:paraId="320E2A20" w14:textId="77777777">
        <w:tc>
          <w:tcPr>
            <w:tcW w:w="0" w:type="auto"/>
          </w:tcPr>
          <w:p w14:paraId="7F5CC285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Partner (vs Owner)</w:t>
            </w:r>
          </w:p>
        </w:tc>
        <w:tc>
          <w:tcPr>
            <w:tcW w:w="0" w:type="auto"/>
          </w:tcPr>
          <w:p w14:paraId="249F611A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3.67 (p = 0.18)</w:t>
            </w:r>
          </w:p>
        </w:tc>
        <w:tc>
          <w:tcPr>
            <w:tcW w:w="0" w:type="auto"/>
          </w:tcPr>
          <w:p w14:paraId="115CF4CB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3.22 (p = 0.24)</w:t>
            </w:r>
          </w:p>
        </w:tc>
        <w:tc>
          <w:tcPr>
            <w:tcW w:w="0" w:type="auto"/>
          </w:tcPr>
          <w:p w14:paraId="3627DB20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2.87 (p = 0.30)</w:t>
            </w:r>
          </w:p>
        </w:tc>
      </w:tr>
      <w:tr w:rsidR="00F630DB" w:rsidRPr="000A403E" w14:paraId="7BCBDA28" w14:textId="77777777">
        <w:tc>
          <w:tcPr>
            <w:tcW w:w="0" w:type="auto"/>
          </w:tcPr>
          <w:p w14:paraId="6472DCBF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At capacity (vs Accepting)</w:t>
            </w:r>
          </w:p>
        </w:tc>
        <w:tc>
          <w:tcPr>
            <w:tcW w:w="0" w:type="auto"/>
          </w:tcPr>
          <w:p w14:paraId="258B8466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0.12 (p &lt; 0.001)</w:t>
            </w:r>
          </w:p>
        </w:tc>
        <w:tc>
          <w:tcPr>
            <w:tcW w:w="0" w:type="auto"/>
          </w:tcPr>
          <w:p w14:paraId="7462FDF1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0.11 (p &lt; 0.001)</w:t>
            </w:r>
          </w:p>
        </w:tc>
        <w:tc>
          <w:tcPr>
            <w:tcW w:w="0" w:type="auto"/>
          </w:tcPr>
          <w:p w14:paraId="14B4EBEF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0.08 (p &lt; 0.001)</w:t>
            </w:r>
          </w:p>
        </w:tc>
      </w:tr>
      <w:tr w:rsidR="00F630DB" w:rsidRPr="000A403E" w14:paraId="3EA40CC8" w14:textId="77777777">
        <w:tc>
          <w:tcPr>
            <w:tcW w:w="0" w:type="auto"/>
          </w:tcPr>
          <w:p w14:paraId="567D226C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Number of dental units (per +1)</w:t>
            </w:r>
          </w:p>
        </w:tc>
        <w:tc>
          <w:tcPr>
            <w:tcW w:w="0" w:type="auto"/>
          </w:tcPr>
          <w:p w14:paraId="199E66AC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0.92 (p = 0.56)</w:t>
            </w:r>
          </w:p>
        </w:tc>
        <w:tc>
          <w:tcPr>
            <w:tcW w:w="0" w:type="auto"/>
          </w:tcPr>
          <w:p w14:paraId="6CD59B5D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0.93 (p = 0.59)</w:t>
            </w:r>
          </w:p>
        </w:tc>
        <w:tc>
          <w:tcPr>
            <w:tcW w:w="0" w:type="auto"/>
          </w:tcPr>
          <w:p w14:paraId="59B6388B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0.92 (p = 0.56)</w:t>
            </w:r>
          </w:p>
        </w:tc>
      </w:tr>
      <w:tr w:rsidR="00F630DB" w:rsidRPr="000A403E" w14:paraId="46AB7493" w14:textId="77777777">
        <w:tc>
          <w:tcPr>
            <w:tcW w:w="0" w:type="auto"/>
          </w:tcPr>
          <w:p w14:paraId="368B17CB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Open evening (any day)</w:t>
            </w:r>
          </w:p>
        </w:tc>
        <w:tc>
          <w:tcPr>
            <w:tcW w:w="0" w:type="auto"/>
          </w:tcPr>
          <w:p w14:paraId="111C96FF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0.72 (p = 0.73)</w:t>
            </w:r>
          </w:p>
        </w:tc>
        <w:tc>
          <w:tcPr>
            <w:tcW w:w="0" w:type="auto"/>
          </w:tcPr>
          <w:p w14:paraId="10D97CB9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0.67 (p = 0.66)</w:t>
            </w:r>
          </w:p>
        </w:tc>
        <w:tc>
          <w:tcPr>
            <w:tcW w:w="0" w:type="auto"/>
          </w:tcPr>
          <w:p w14:paraId="02926EA5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0.53 (p = 0.60)</w:t>
            </w:r>
          </w:p>
        </w:tc>
      </w:tr>
      <w:tr w:rsidR="00F630DB" w:rsidRPr="000A403E" w14:paraId="1CC19AE4" w14:textId="77777777">
        <w:tc>
          <w:tcPr>
            <w:tcW w:w="0" w:type="auto"/>
          </w:tcPr>
          <w:p w14:paraId="3AA413EE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Pseudo-R² (McFadden)</w:t>
            </w:r>
          </w:p>
        </w:tc>
        <w:tc>
          <w:tcPr>
            <w:tcW w:w="0" w:type="auto"/>
          </w:tcPr>
          <w:p w14:paraId="439D6ADA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0.223</w:t>
            </w:r>
          </w:p>
        </w:tc>
        <w:tc>
          <w:tcPr>
            <w:tcW w:w="0" w:type="auto"/>
          </w:tcPr>
          <w:p w14:paraId="0918FB6D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0.231</w:t>
            </w:r>
          </w:p>
        </w:tc>
        <w:tc>
          <w:tcPr>
            <w:tcW w:w="0" w:type="auto"/>
          </w:tcPr>
          <w:p w14:paraId="1E7229FD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0.268</w:t>
            </w:r>
          </w:p>
        </w:tc>
      </w:tr>
    </w:tbl>
    <w:p w14:paraId="4A5FD759" w14:textId="77777777" w:rsidR="00CF5C31" w:rsidRPr="000A403E" w:rsidRDefault="00000000">
      <w:pPr>
        <w:pStyle w:val="BodyText"/>
        <w:rPr>
          <w:sz w:val="20"/>
          <w:szCs w:val="20"/>
        </w:rPr>
      </w:pPr>
      <w:r w:rsidRPr="000A403E">
        <w:rPr>
          <w:i/>
          <w:sz w:val="20"/>
          <w:szCs w:val="20"/>
        </w:rPr>
        <w:t xml:space="preserve">Sensitivity refit of the Table 4 logistic model excluding Region 5, then Regions 5 and 11 (sampling deviations detailed in Methods and Figure 1). The at-capacity association and the age ≥60 attenuation are preserved across all three specifications; estimates for the small demographic categories are unstable in the reduced samples and are not interpreted.</w:t>
      </w:r>
      <w:proofErr w:type="gramStart"/>
      <w:r w:rsidRPr="000A403E">
        <w:rPr>
          <w:i/>
          <w:sz w:val="20"/>
          <w:szCs w:val="20"/>
        </w:rPr>
        <w:t/>
      </w:r>
      <w:proofErr w:type="gramEnd"/>
      <w:r w:rsidRPr="000A403E">
        <w:rPr>
          <w:i/>
          <w:sz w:val="20"/>
          <w:szCs w:val="20"/>
        </w:rPr>
        <w:t xml:space="preserve"/>
      </w:r>
    </w:p>
    <w:p w14:paraId="59D545DA" w14:textId="77777777" w:rsidR="00CF5C31" w:rsidRPr="00F630DB" w:rsidRDefault="0008267B">
      <w:r>
        <w:rPr>
          <w:noProof/>
        </w:rPr>
        <w:pict w14:anchorId="631A53B1">
          <v:rect id="_x0000_i1025" alt="" style="width:451.3pt;height:.05pt;mso-width-percent:0;mso-height-percent:0;mso-width-percent:0;mso-height-percent:0" o:hralign="center" o:hrstd="t" o:hr="t"/>
        </w:pict>
      </w:r>
    </w:p>
    <w:p w14:paraId="65E591D6" w14:textId="77777777" w:rsidR="00CF5C31" w:rsidRPr="00F630DB" w:rsidRDefault="00000000">
      <w:pPr>
        <w:pStyle w:val="Heading1"/>
        <w:rPr>
          <w:color w:val="auto"/>
        </w:rPr>
      </w:pPr>
      <w:bookmarkStart w:id="2" w:name="Xb0b89952636bf2f6da485dca9daa8cb0c57b1f3"/>
      <w:r w:rsidRPr="00F630DB">
        <w:rPr>
          <w:color w:val="auto"/>
        </w:rPr>
        <w:t>Table S2. Robustness of the spare-capacity association and driver findings</w:t>
      </w:r>
      <w:bookmarkEnd w:id="2"/>
    </w:p>
    <w:p w14:paraId="3318B02F" w14:textId="77777777" w:rsidR="00CF5C31" w:rsidRPr="00F630DB" w:rsidRDefault="00000000">
      <w:pPr>
        <w:pStyle w:val="FirstParagraph"/>
      </w:pPr>
      <w:r w:rsidRPr="00F630DB">
        <w:rPr>
          <w:b/>
        </w:rPr>
        <w:t xml:space="preserve">Panel A. At-capacity association across model specifications (outcome = willing or potentially willing vs not interested; events = not-interested clinics in each listwise-complete sample)</w:t>
      </w:r>
      <w:r w:rsidRPr="00F630DB">
        <w:t xml:space="preserve"/>
      </w:r>
    </w:p>
    <w:tbl>
      <w:tblPr>
        <w:tblStyle w:val="Table"/>
        <w:tblW w:w="4999" w:type="pct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nil"/>
        </w:tblBorders>
        <w:tblLook w:val="07E0" w:firstRow="1" w:lastRow="1" w:firstColumn="1" w:lastColumn="1" w:noHBand="1" w:noVBand="1"/>
      </w:tblPr>
      <w:tblGrid>
        <w:gridCol w:w="2998"/>
        <w:gridCol w:w="1222"/>
        <w:gridCol w:w="1536"/>
        <w:gridCol w:w="2049"/>
        <w:gridCol w:w="610"/>
        <w:gridCol w:w="1159"/>
      </w:tblGrid>
      <w:tr w:rsidR="00F630DB" w:rsidRPr="000A403E" w14:paraId="25D4736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52BD510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Specification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D99A66D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Parameters (k)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A924E61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Events per variable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9D5D494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At-capacity aOR (95% CI)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B48F679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9246F74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McFadden R²</w:t>
            </w:r>
          </w:p>
        </w:tc>
      </w:tr>
      <w:tr w:rsidR="00F630DB" w:rsidRPr="000A403E" w14:paraId="59E94197" w14:textId="77777777">
        <w:tc>
          <w:tcPr>
            <w:tcW w:w="0" w:type="auto"/>
          </w:tcPr>
          <w:p w14:paraId="625C3472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Model 1 — full structural (Table 4)</w:t>
            </w:r>
          </w:p>
        </w:tc>
        <w:tc>
          <w:tcPr>
            <w:tcW w:w="0" w:type="auto"/>
          </w:tcPr>
          <w:p w14:paraId="0654E730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15</w:t>
            </w:r>
          </w:p>
        </w:tc>
        <w:tc>
          <w:tcPr>
            <w:tcW w:w="0" w:type="auto"/>
          </w:tcPr>
          <w:p w14:paraId="0235D3E3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2.5</w:t>
            </w:r>
          </w:p>
        </w:tc>
        <w:tc>
          <w:tcPr>
            <w:tcW w:w="0" w:type="auto"/>
          </w:tcPr>
          <w:p w14:paraId="660E6ED3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0.12 (0.05–0.32)</w:t>
            </w:r>
          </w:p>
        </w:tc>
        <w:tc>
          <w:tcPr>
            <w:tcW w:w="0" w:type="auto"/>
          </w:tcPr>
          <w:p w14:paraId="52BE79CF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&lt; 0.001</w:t>
            </w:r>
          </w:p>
        </w:tc>
        <w:tc>
          <w:tcPr>
            <w:tcW w:w="0" w:type="auto"/>
          </w:tcPr>
          <w:p w14:paraId="7053CCEB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0.223</w:t>
            </w:r>
          </w:p>
        </w:tc>
      </w:tr>
      <w:tr w:rsidR="00F630DB" w:rsidRPr="000A403E" w14:paraId="2BC10813" w14:textId="77777777">
        <w:tc>
          <w:tcPr>
            <w:tcW w:w="0" w:type="auto"/>
          </w:tcPr>
          <w:p w14:paraId="64861F2F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Model 2 — + 7 driver ratings (Table 5)</w:t>
            </w:r>
          </w:p>
        </w:tc>
        <w:tc>
          <w:tcPr>
            <w:tcW w:w="0" w:type="auto"/>
          </w:tcPr>
          <w:p w14:paraId="08674C68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22</w:t>
            </w:r>
          </w:p>
        </w:tc>
        <w:tc>
          <w:tcPr>
            <w:tcW w:w="0" w:type="auto"/>
          </w:tcPr>
          <w:p w14:paraId="7DEAEEB2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1.7</w:t>
            </w:r>
          </w:p>
        </w:tc>
        <w:tc>
          <w:tcPr>
            <w:tcW w:w="0" w:type="auto"/>
          </w:tcPr>
          <w:p w14:paraId="38D4165B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0.15 (0.05–0.44)</w:t>
            </w:r>
          </w:p>
        </w:tc>
        <w:tc>
          <w:tcPr>
            <w:tcW w:w="0" w:type="auto"/>
          </w:tcPr>
          <w:p w14:paraId="3B6A65EB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&lt; 0.001</w:t>
            </w:r>
          </w:p>
        </w:tc>
        <w:tc>
          <w:tcPr>
            <w:tcW w:w="0" w:type="auto"/>
          </w:tcPr>
          <w:p w14:paraId="7BD4BF6F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0.289</w:t>
            </w:r>
          </w:p>
        </w:tc>
      </w:tr>
      <w:tr w:rsidR="00F630DB" w:rsidRPr="000A403E" w14:paraId="57241906" w14:textId="77777777">
        <w:tc>
          <w:tcPr>
            <w:tcW w:w="0" w:type="auto"/>
          </w:tcPr>
          <w:p w14:paraId="275F9965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Parsimonious — capacity + age + region</w:t>
            </w:r>
          </w:p>
        </w:tc>
        <w:tc>
          <w:tcPr>
            <w:tcW w:w="0" w:type="auto"/>
          </w:tcPr>
          <w:p w14:paraId="198C7F07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3DF1E006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6.2</w:t>
            </w:r>
          </w:p>
        </w:tc>
        <w:tc>
          <w:tcPr>
            <w:tcW w:w="0" w:type="auto"/>
          </w:tcPr>
          <w:p w14:paraId="032C0DAA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0.14 (0.06–0.33)</w:t>
            </w:r>
          </w:p>
        </w:tc>
        <w:tc>
          <w:tcPr>
            <w:tcW w:w="0" w:type="auto"/>
          </w:tcPr>
          <w:p w14:paraId="4C14F12C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&lt; 0.001</w:t>
            </w:r>
          </w:p>
        </w:tc>
        <w:tc>
          <w:tcPr>
            <w:tcW w:w="0" w:type="auto"/>
          </w:tcPr>
          <w:p w14:paraId="5A750A97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0.210</w:t>
            </w:r>
          </w:p>
        </w:tc>
      </w:tr>
      <w:tr w:rsidR="00F630DB" w:rsidRPr="000A403E" w14:paraId="21C15CC7" w14:textId="77777777">
        <w:tc>
          <w:tcPr>
            <w:tcW w:w="0" w:type="auto"/>
          </w:tcPr>
          <w:p w14:paraId="1EE0D0AD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Minimal — capacity + age</w:t>
            </w:r>
          </w:p>
        </w:tc>
        <w:tc>
          <w:tcPr>
            <w:tcW w:w="0" w:type="auto"/>
          </w:tcPr>
          <w:p w14:paraId="31B239FE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D678125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19.0</w:t>
            </w:r>
          </w:p>
        </w:tc>
        <w:tc>
          <w:tcPr>
            <w:tcW w:w="0" w:type="auto"/>
          </w:tcPr>
          <w:p w14:paraId="26D220F0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0.17 (0.08–0.39)</w:t>
            </w:r>
          </w:p>
        </w:tc>
        <w:tc>
          <w:tcPr>
            <w:tcW w:w="0" w:type="auto"/>
          </w:tcPr>
          <w:p w14:paraId="66466F60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&lt; 0.001</w:t>
            </w:r>
          </w:p>
        </w:tc>
        <w:tc>
          <w:tcPr>
            <w:tcW w:w="0" w:type="auto"/>
          </w:tcPr>
          <w:p w14:paraId="372BAE10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0.153</w:t>
            </w:r>
          </w:p>
        </w:tc>
      </w:tr>
      <w:tr w:rsidR="00F630DB" w:rsidRPr="000A403E" w14:paraId="0C491AA3" w14:textId="77777777">
        <w:tc>
          <w:tcPr>
            <w:tcW w:w="0" w:type="auto"/>
          </w:tcPr>
          <w:p w14:paraId="12110447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Full structural + objective proxies</w:t>
            </w:r>
          </w:p>
        </w:tc>
        <w:tc>
          <w:tcPr>
            <w:tcW w:w="0" w:type="auto"/>
          </w:tcPr>
          <w:p w14:paraId="31DDE44C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</w:tcPr>
          <w:p w14:paraId="288BFC8C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2.1</w:t>
            </w:r>
          </w:p>
        </w:tc>
        <w:tc>
          <w:tcPr>
            <w:tcW w:w="0" w:type="auto"/>
          </w:tcPr>
          <w:p w14:paraId="1D643E89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>0.11 (0.04–0.29)</w:t>
            </w:r>
          </w:p>
        </w:tc>
        <w:tc>
          <w:tcPr>
            <w:tcW w:w="0" w:type="auto"/>
          </w:tcPr>
          <w:p w14:paraId="29BFBFAC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&lt; 0.001</w:t>
            </w:r>
          </w:p>
        </w:tc>
        <w:tc>
          <w:tcPr>
            <w:tcW w:w="0" w:type="auto"/>
          </w:tcPr>
          <w:p w14:paraId="3C290246" w14:textId="77777777" w:rsidR="00CF5C31" w:rsidRPr="000A403E" w:rsidRDefault="00000000">
            <w:pPr>
              <w:pStyle w:val="Compact"/>
              <w:rPr>
                <w:sz w:val="16"/>
                <w:szCs w:val="16"/>
              </w:rPr>
            </w:pPr>
            <w:r w:rsidRPr="000A403E">
              <w:rPr>
                <w:sz w:val="16"/>
                <w:szCs w:val="16"/>
              </w:rPr>
              <w:t xml:space="preserve">0.227</w:t>
            </w:r>
          </w:p>
        </w:tc>
      </w:tr>
    </w:tbl>
    <w:p w14:paraId="6B8FA592" w14:textId="77777777" w:rsidR="00CF5C31" w:rsidRPr="00F630DB" w:rsidRDefault="00000000">
      <w:pPr>
        <w:pStyle w:val="BodyText"/>
      </w:pPr>
      <w:r w:rsidRPr="00F630DB">
        <w:rPr>
          <w:b/>
        </w:rPr>
        <w:t>Panel B. Objective capacity proxies substituted for the self-report</w:t>
      </w:r>
      <w:r w:rsidRPr="00F630DB">
        <w:t xml:space="preserve"> (each adjusted for the full structural covariate </w:t>
      </w:r>
      <w:proofErr w:type="gramStart"/>
      <w:r w:rsidRPr="00F630DB">
        <w:t>set;</w:t>
      </w:r>
      <w:proofErr w:type="gramEnd"/>
      <w:r w:rsidRPr="00F630DB">
        <w:t xml:space="preserve"> outcome as above)</w:t>
      </w:r>
    </w:p>
    <w:tbl>
      <w:tblPr>
        <w:tblStyle w:val="Table"/>
        <w:tblW w:w="0" w:type="pct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nil"/>
        </w:tblBorders>
        <w:tblLook w:val="07E0" w:firstRow="1" w:lastRow="1" w:firstColumn="1" w:lastColumn="1" w:noHBand="1" w:noVBand="1"/>
      </w:tblPr>
      <w:tblGrid>
        <w:gridCol w:w="3115"/>
        <w:gridCol w:w="1816"/>
        <w:gridCol w:w="756"/>
      </w:tblGrid>
      <w:tr w:rsidR="00F630DB" w:rsidRPr="00F630DB" w14:paraId="018454A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CFC163" w14:textId="77777777" w:rsidR="00CF5C31" w:rsidRPr="00F630DB" w:rsidRDefault="00000000">
            <w:pPr>
              <w:pStyle w:val="Compact"/>
            </w:pPr>
            <w:r w:rsidRPr="00F630DB">
              <w:lastRenderedPageBreak/>
              <w:t>Objective proxy (as predictor)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D3AA34B" w14:textId="77777777" w:rsidR="00CF5C31" w:rsidRPr="00F630DB" w:rsidRDefault="00000000">
            <w:pPr>
              <w:pStyle w:val="Compact"/>
            </w:pPr>
            <w:r w:rsidRPr="00F630DB">
              <w:t>aOR (95% CI)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D975429" w14:textId="77777777" w:rsidR="00CF5C31" w:rsidRPr="00F630DB" w:rsidRDefault="00000000">
            <w:pPr>
              <w:pStyle w:val="Compact"/>
            </w:pPr>
            <w:r w:rsidRPr="00F630DB">
              <w:t>p</w:t>
            </w:r>
          </w:p>
        </w:tc>
      </w:tr>
      <w:tr w:rsidR="00F630DB" w:rsidRPr="00F630DB" w14:paraId="18EF1677" w14:textId="77777777">
        <w:tc>
          <w:tcPr>
            <w:tcW w:w="0" w:type="auto"/>
          </w:tcPr>
          <w:p w14:paraId="4CB06781" w14:textId="77777777" w:rsidR="00CF5C31" w:rsidRPr="00F630DB" w:rsidRDefault="00000000">
            <w:pPr>
              <w:pStyle w:val="Compact"/>
            </w:pPr>
            <w:r w:rsidRPr="00F630DB">
              <w:t>Chair count (per unit)</w:t>
            </w:r>
          </w:p>
        </w:tc>
        <w:tc>
          <w:tcPr>
            <w:tcW w:w="0" w:type="auto"/>
          </w:tcPr>
          <w:p w14:paraId="267F9BBA" w14:textId="77777777" w:rsidR="00CF5C31" w:rsidRPr="00F630DB" w:rsidRDefault="00000000">
            <w:pPr>
              <w:pStyle w:val="Compact"/>
            </w:pPr>
            <w:r w:rsidRPr="00F630DB">
              <w:t>1.02 (0.78–1.34)</w:t>
            </w:r>
          </w:p>
        </w:tc>
        <w:tc>
          <w:tcPr>
            <w:tcW w:w="0" w:type="auto"/>
          </w:tcPr>
          <w:p w14:paraId="0886080A" w14:textId="77777777" w:rsidR="00CF5C31" w:rsidRPr="00F630DB" w:rsidRDefault="00000000">
            <w:pPr>
              <w:pStyle w:val="Compact"/>
            </w:pPr>
            <w:r w:rsidRPr="00F630DB">
              <w:t>0.857</w:t>
            </w:r>
          </w:p>
        </w:tc>
      </w:tr>
      <w:tr w:rsidR="00F630DB" w:rsidRPr="00F630DB" w14:paraId="25FD8BAF" w14:textId="77777777">
        <w:tc>
          <w:tcPr>
            <w:tcW w:w="0" w:type="auto"/>
          </w:tcPr>
          <w:p w14:paraId="273D9ADD" w14:textId="77777777" w:rsidR="00CF5C31" w:rsidRPr="00F630DB" w:rsidRDefault="00000000">
            <w:pPr>
              <w:pStyle w:val="Compact"/>
            </w:pPr>
            <w:r w:rsidRPr="00F630DB">
              <w:t>Small clinic (≤2 chairs)</w:t>
            </w:r>
          </w:p>
        </w:tc>
        <w:tc>
          <w:tcPr>
            <w:tcW w:w="0" w:type="auto"/>
          </w:tcPr>
          <w:p w14:paraId="016ADCA4" w14:textId="77777777" w:rsidR="00CF5C31" w:rsidRPr="00F630DB" w:rsidRDefault="00000000">
            <w:pPr>
              <w:pStyle w:val="Compact"/>
            </w:pPr>
            <w:r w:rsidRPr="00F630DB">
              <w:t>1.23 (0.49–3.08)</w:t>
            </w:r>
          </w:p>
        </w:tc>
        <w:tc>
          <w:tcPr>
            <w:tcW w:w="0" w:type="auto"/>
          </w:tcPr>
          <w:p w14:paraId="7B9F3692" w14:textId="77777777" w:rsidR="00CF5C31" w:rsidRPr="00F630DB" w:rsidRDefault="00000000">
            <w:pPr>
              <w:pStyle w:val="Compact"/>
            </w:pPr>
            <w:r w:rsidRPr="00F630DB">
              <w:t>0.664</w:t>
            </w:r>
          </w:p>
        </w:tc>
      </w:tr>
      <w:tr w:rsidR="00F630DB" w:rsidRPr="00F630DB" w14:paraId="3E22B8AB" w14:textId="77777777">
        <w:tc>
          <w:tcPr>
            <w:tcW w:w="0" w:type="auto"/>
          </w:tcPr>
          <w:p w14:paraId="0AE47532" w14:textId="77777777" w:rsidR="00CF5C31" w:rsidRPr="00F630DB" w:rsidRDefault="00000000">
            <w:pPr>
              <w:pStyle w:val="Compact"/>
            </w:pPr>
            <w:r w:rsidRPr="00F630DB">
              <w:t>Patients per weekday</w:t>
            </w:r>
          </w:p>
        </w:tc>
        <w:tc>
          <w:tcPr>
            <w:tcW w:w="0" w:type="auto"/>
          </w:tcPr>
          <w:p w14:paraId="7970B09D" w14:textId="77777777" w:rsidR="00CF5C31" w:rsidRPr="00F630DB" w:rsidRDefault="00000000">
            <w:pPr>
              <w:pStyle w:val="Compact"/>
            </w:pPr>
            <w:r w:rsidRPr="00F630DB">
              <w:t>1.00 (0.96–1.06)</w:t>
            </w:r>
          </w:p>
        </w:tc>
        <w:tc>
          <w:tcPr>
            <w:tcW w:w="0" w:type="auto"/>
          </w:tcPr>
          <w:p w14:paraId="733472BD" w14:textId="77777777" w:rsidR="00CF5C31" w:rsidRPr="00F630DB" w:rsidRDefault="00000000">
            <w:pPr>
              <w:pStyle w:val="Compact"/>
            </w:pPr>
            <w:r w:rsidRPr="00F630DB">
              <w:t>0.864</w:t>
            </w:r>
          </w:p>
        </w:tc>
      </w:tr>
      <w:tr w:rsidR="00F630DB" w:rsidRPr="00F630DB" w14:paraId="26EA9DAA" w14:textId="77777777">
        <w:tc>
          <w:tcPr>
            <w:tcW w:w="0" w:type="auto"/>
          </w:tcPr>
          <w:p w14:paraId="55134346" w14:textId="77777777" w:rsidR="00CF5C31" w:rsidRPr="00F630DB" w:rsidRDefault="00000000">
            <w:pPr>
              <w:pStyle w:val="Compact"/>
            </w:pPr>
            <w:r w:rsidRPr="00F630DB">
              <w:t>Days open per week</w:t>
            </w:r>
          </w:p>
        </w:tc>
        <w:tc>
          <w:tcPr>
            <w:tcW w:w="0" w:type="auto"/>
          </w:tcPr>
          <w:p w14:paraId="5F08B563" w14:textId="77777777" w:rsidR="00CF5C31" w:rsidRPr="00F630DB" w:rsidRDefault="00000000">
            <w:pPr>
              <w:pStyle w:val="Compact"/>
            </w:pPr>
            <w:r w:rsidRPr="00F630DB">
              <w:t>0.92 (0.48–1.73)</w:t>
            </w:r>
          </w:p>
        </w:tc>
        <w:tc>
          <w:tcPr>
            <w:tcW w:w="0" w:type="auto"/>
          </w:tcPr>
          <w:p w14:paraId="6C237273" w14:textId="77777777" w:rsidR="00CF5C31" w:rsidRPr="00F630DB" w:rsidRDefault="00000000">
            <w:pPr>
              <w:pStyle w:val="Compact"/>
            </w:pPr>
            <w:r w:rsidRPr="00F630DB">
              <w:t>0.790</w:t>
            </w:r>
          </w:p>
        </w:tc>
      </w:tr>
    </w:tbl>
    <w:p w14:paraId="11AF4E37" w14:textId="77777777" w:rsidR="00CF5C31" w:rsidRPr="00F630DB" w:rsidRDefault="00000000">
      <w:pPr>
        <w:pStyle w:val="BodyText"/>
      </w:pPr>
      <w:r w:rsidRPr="00F630DB">
        <w:rPr>
          <w:b/>
        </w:rPr>
        <w:t>Construct validity:</w:t>
      </w:r>
      <w:r w:rsidRPr="00F630DB">
        <w:t xml:space="preserve"> self-reported at-capacity clinics differed from still-accepting clinics on days open/week (at-capacity median 6 vs accepting 7, p=0.008); chair count (at-capacity median 2 vs accepting 2, p=0.019); patients/weekday (at-capacity median 10 vs accepting 10, p=0.084) — the self-report tracks objective load, yet (Panel A) it predicts intent after adjustment for these proxies, which are themselves non-significant.</w:t>
      </w:r>
    </w:p>
    <w:p w14:paraId="0D584416" w14:textId="77777777" w:rsidR="00CF5C31" w:rsidRPr="00F630DB" w:rsidRDefault="00000000">
      <w:pPr>
        <w:pStyle w:val="BodyText"/>
      </w:pPr>
      <w:r w:rsidRPr="00F630DB">
        <w:rPr>
          <w:b/>
        </w:rPr>
        <w:t>Panel C. Driver multicollinearity (variance inflation factors, 1–3 Likert scale, complete cases)</w:t>
      </w:r>
    </w:p>
    <w:tbl>
      <w:tblPr>
        <w:tblStyle w:val="Table"/>
        <w:tblW w:w="0" w:type="pct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nil"/>
        </w:tblBorders>
        <w:tblLook w:val="07E0" w:firstRow="1" w:lastRow="1" w:firstColumn="1" w:lastColumn="1" w:noHBand="1" w:noVBand="1"/>
      </w:tblPr>
      <w:tblGrid>
        <w:gridCol w:w="3223"/>
        <w:gridCol w:w="636"/>
      </w:tblGrid>
      <w:tr w:rsidR="00F630DB" w:rsidRPr="00F630DB" w14:paraId="5DBEEFC2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E38CB00" w14:textId="77777777" w:rsidR="00CF5C31" w:rsidRPr="00F630DB" w:rsidRDefault="00000000">
            <w:pPr>
              <w:pStyle w:val="Compact"/>
            </w:pPr>
            <w:r w:rsidRPr="00F630DB">
              <w:t>Driver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D06BA9" w14:textId="77777777" w:rsidR="00CF5C31" w:rsidRPr="00F630DB" w:rsidRDefault="00000000">
            <w:pPr>
              <w:pStyle w:val="Compact"/>
            </w:pPr>
            <w:r w:rsidRPr="00F630DB">
              <w:t>VIF</w:t>
            </w:r>
          </w:p>
        </w:tc>
      </w:tr>
      <w:tr w:rsidR="00F630DB" w:rsidRPr="00F630DB" w14:paraId="6CA44BB8" w14:textId="77777777">
        <w:tc>
          <w:tcPr>
            <w:tcW w:w="0" w:type="auto"/>
          </w:tcPr>
          <w:p w14:paraId="0100DC9E" w14:textId="77777777" w:rsidR="00CF5C31" w:rsidRPr="00F630DB" w:rsidRDefault="00000000">
            <w:pPr>
              <w:pStyle w:val="Compact"/>
            </w:pPr>
            <w:r w:rsidRPr="00F630DB">
              <w:t>Fee schedule</w:t>
            </w:r>
          </w:p>
        </w:tc>
        <w:tc>
          <w:tcPr>
            <w:tcW w:w="0" w:type="auto"/>
          </w:tcPr>
          <w:p w14:paraId="191C4589" w14:textId="77777777" w:rsidR="00CF5C31" w:rsidRPr="00F630DB" w:rsidRDefault="00000000">
            <w:pPr>
              <w:pStyle w:val="Compact"/>
            </w:pPr>
            <w:r w:rsidRPr="00F630DB">
              <w:t>1.20</w:t>
            </w:r>
          </w:p>
        </w:tc>
      </w:tr>
      <w:tr w:rsidR="00F630DB" w:rsidRPr="00F630DB" w14:paraId="2501CDC5" w14:textId="77777777">
        <w:tc>
          <w:tcPr>
            <w:tcW w:w="0" w:type="auto"/>
          </w:tcPr>
          <w:p w14:paraId="75F9CAF6" w14:textId="77777777" w:rsidR="00CF5C31" w:rsidRPr="00F630DB" w:rsidRDefault="00000000">
            <w:pPr>
              <w:pStyle w:val="Compact"/>
            </w:pPr>
            <w:r w:rsidRPr="00F630DB">
              <w:t>Payment speed</w:t>
            </w:r>
          </w:p>
        </w:tc>
        <w:tc>
          <w:tcPr>
            <w:tcW w:w="0" w:type="auto"/>
          </w:tcPr>
          <w:p w14:paraId="0AEC4438" w14:textId="77777777" w:rsidR="00CF5C31" w:rsidRPr="00F630DB" w:rsidRDefault="00000000">
            <w:pPr>
              <w:pStyle w:val="Compact"/>
            </w:pPr>
            <w:r w:rsidRPr="00F630DB">
              <w:t>1.21</w:t>
            </w:r>
          </w:p>
        </w:tc>
      </w:tr>
      <w:tr w:rsidR="00F630DB" w:rsidRPr="00F630DB" w14:paraId="22486BFA" w14:textId="77777777">
        <w:tc>
          <w:tcPr>
            <w:tcW w:w="0" w:type="auto"/>
          </w:tcPr>
          <w:p w14:paraId="513FC599" w14:textId="77777777" w:rsidR="00CF5C31" w:rsidRPr="00F630DB" w:rsidRDefault="00000000">
            <w:pPr>
              <w:pStyle w:val="Compact"/>
            </w:pPr>
            <w:r w:rsidRPr="00F630DB">
              <w:t>Administrative burden</w:t>
            </w:r>
          </w:p>
        </w:tc>
        <w:tc>
          <w:tcPr>
            <w:tcW w:w="0" w:type="auto"/>
          </w:tcPr>
          <w:p w14:paraId="168C5FEB" w14:textId="77777777" w:rsidR="00CF5C31" w:rsidRPr="00F630DB" w:rsidRDefault="00000000">
            <w:pPr>
              <w:pStyle w:val="Compact"/>
            </w:pPr>
            <w:r w:rsidRPr="00F630DB">
              <w:t>1.18</w:t>
            </w:r>
          </w:p>
        </w:tc>
      </w:tr>
      <w:tr w:rsidR="00F630DB" w:rsidRPr="00F630DB" w14:paraId="7AD013C4" w14:textId="77777777">
        <w:tc>
          <w:tcPr>
            <w:tcW w:w="0" w:type="auto"/>
          </w:tcPr>
          <w:p w14:paraId="4F6312BD" w14:textId="77777777" w:rsidR="00CF5C31" w:rsidRPr="00F630DB" w:rsidRDefault="00000000">
            <w:pPr>
              <w:pStyle w:val="Compact"/>
            </w:pPr>
            <w:r w:rsidRPr="00F630DB">
              <w:t>Scope of services</w:t>
            </w:r>
          </w:p>
        </w:tc>
        <w:tc>
          <w:tcPr>
            <w:tcW w:w="0" w:type="auto"/>
          </w:tcPr>
          <w:p w14:paraId="26D2A9FD" w14:textId="77777777" w:rsidR="00CF5C31" w:rsidRPr="00F630DB" w:rsidRDefault="00000000">
            <w:pPr>
              <w:pStyle w:val="Compact"/>
            </w:pPr>
            <w:r w:rsidRPr="00F630DB">
              <w:t>1.13</w:t>
            </w:r>
          </w:p>
        </w:tc>
      </w:tr>
      <w:tr w:rsidR="00F630DB" w:rsidRPr="00F630DB" w14:paraId="56DC4E93" w14:textId="77777777">
        <w:tc>
          <w:tcPr>
            <w:tcW w:w="0" w:type="auto"/>
          </w:tcPr>
          <w:p w14:paraId="1B9343A3" w14:textId="77777777" w:rsidR="00CF5C31" w:rsidRPr="00F630DB" w:rsidRDefault="00000000">
            <w:pPr>
              <w:pStyle w:val="Compact"/>
            </w:pPr>
            <w:r w:rsidRPr="00F630DB">
              <w:t>Community-service motivation</w:t>
            </w:r>
          </w:p>
        </w:tc>
        <w:tc>
          <w:tcPr>
            <w:tcW w:w="0" w:type="auto"/>
          </w:tcPr>
          <w:p w14:paraId="7B967A3C" w14:textId="77777777" w:rsidR="00CF5C31" w:rsidRPr="00F630DB" w:rsidRDefault="00000000">
            <w:pPr>
              <w:pStyle w:val="Compact"/>
            </w:pPr>
            <w:r w:rsidRPr="00F630DB">
              <w:t>1.11</w:t>
            </w:r>
          </w:p>
        </w:tc>
      </w:tr>
      <w:tr w:rsidR="00F630DB" w:rsidRPr="00F630DB" w14:paraId="5850D7BF" w14:textId="77777777">
        <w:tc>
          <w:tcPr>
            <w:tcW w:w="0" w:type="auto"/>
          </w:tcPr>
          <w:p w14:paraId="5CBF4421" w14:textId="77777777" w:rsidR="00CF5C31" w:rsidRPr="00F630DB" w:rsidRDefault="00000000">
            <w:pPr>
              <w:pStyle w:val="Compact"/>
            </w:pPr>
            <w:r w:rsidRPr="00F630DB">
              <w:t>Audit/oversight</w:t>
            </w:r>
          </w:p>
        </w:tc>
        <w:tc>
          <w:tcPr>
            <w:tcW w:w="0" w:type="auto"/>
          </w:tcPr>
          <w:p w14:paraId="30A580F4" w14:textId="77777777" w:rsidR="00CF5C31" w:rsidRPr="00F630DB" w:rsidRDefault="00000000">
            <w:pPr>
              <w:pStyle w:val="Compact"/>
            </w:pPr>
            <w:r w:rsidRPr="00F630DB">
              <w:t>1.10</w:t>
            </w:r>
          </w:p>
        </w:tc>
      </w:tr>
      <w:tr w:rsidR="00F630DB" w:rsidRPr="00F630DB" w14:paraId="15CC9550" w14:textId="77777777">
        <w:tc>
          <w:tcPr>
            <w:tcW w:w="0" w:type="auto"/>
          </w:tcPr>
          <w:p w14:paraId="3071A2B0" w14:textId="77777777" w:rsidR="00CF5C31" w:rsidRPr="00F630DB" w:rsidRDefault="00000000">
            <w:pPr>
              <w:pStyle w:val="Compact"/>
            </w:pPr>
            <w:r w:rsidRPr="00F630DB">
              <w:t>Professional image</w:t>
            </w:r>
          </w:p>
        </w:tc>
        <w:tc>
          <w:tcPr>
            <w:tcW w:w="0" w:type="auto"/>
          </w:tcPr>
          <w:p w14:paraId="127B0DC9" w14:textId="77777777" w:rsidR="00CF5C31" w:rsidRPr="00F630DB" w:rsidRDefault="00000000">
            <w:pPr>
              <w:pStyle w:val="Compact"/>
            </w:pPr>
            <w:r w:rsidRPr="00F630DB">
              <w:t>1.15</w:t>
            </w:r>
          </w:p>
        </w:tc>
      </w:tr>
    </w:tbl>
    <w:p w14:paraId="6488E7DD" w14:textId="77777777" w:rsidR="00CF5C31" w:rsidRPr="00F630DB" w:rsidRDefault="00000000">
      <w:pPr>
        <w:pStyle w:val="BodyText"/>
      </w:pPr>
      <w:r w:rsidRPr="00F630DB">
        <w:rPr>
          <w:b/>
        </w:rPr>
        <w:t>Panel D. Driver-rating scale: dichotomised (high impact = 3 vs other) versus continuous entry</w:t>
      </w:r>
      <w:r w:rsidRPr="00F630DB">
        <w:t xml:space="preserve"> (Model 2 covariate set; outcome as above; n=173)</w:t>
      </w:r>
    </w:p>
    <w:tbl>
      <w:tblPr>
        <w:tblStyle w:val="Table"/>
        <w:tblW w:w="5000" w:type="pct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nil"/>
        </w:tblBorders>
        <w:tblLook w:val="07E0" w:firstRow="1" w:lastRow="1" w:firstColumn="1" w:lastColumn="1" w:noHBand="1" w:noVBand="1"/>
      </w:tblPr>
      <w:tblGrid>
        <w:gridCol w:w="3111"/>
        <w:gridCol w:w="3309"/>
        <w:gridCol w:w="3156"/>
      </w:tblGrid>
      <w:tr w:rsidR="00F630DB" w:rsidRPr="00F630DB" w14:paraId="5DD37A3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3340643" w14:textId="77777777" w:rsidR="00CF5C31" w:rsidRPr="00F630DB" w:rsidRDefault="00000000">
            <w:pPr>
              <w:pStyle w:val="Compact"/>
            </w:pPr>
            <w:r w:rsidRPr="00F630DB">
              <w:t>Term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DE137A5" w14:textId="77777777" w:rsidR="00CF5C31" w:rsidRPr="00F630DB" w:rsidRDefault="00000000">
            <w:pPr>
              <w:pStyle w:val="Compact"/>
            </w:pPr>
            <w:r w:rsidRPr="00F630DB">
              <w:t>Continuous 1–3 aOR (95% CI), p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4207FCC" w14:textId="77777777" w:rsidR="00CF5C31" w:rsidRPr="00F630DB" w:rsidRDefault="00000000">
            <w:pPr>
              <w:pStyle w:val="Compact"/>
            </w:pPr>
            <w:r w:rsidRPr="00F630DB">
              <w:t>Dichotomised aOR (95% CI), p</w:t>
            </w:r>
          </w:p>
        </w:tc>
      </w:tr>
      <w:tr w:rsidR="00F630DB" w:rsidRPr="00F630DB" w14:paraId="4C66BEDF" w14:textId="77777777">
        <w:tc>
          <w:tcPr>
            <w:tcW w:w="0" w:type="auto"/>
          </w:tcPr>
          <w:p w14:paraId="150395C7" w14:textId="77777777" w:rsidR="00CF5C31" w:rsidRPr="00F630DB" w:rsidRDefault="00000000">
            <w:pPr>
              <w:pStyle w:val="Compact"/>
            </w:pPr>
            <w:r w:rsidRPr="00F630DB">
              <w:t>Community-service motivation</w:t>
            </w:r>
          </w:p>
        </w:tc>
        <w:tc>
          <w:tcPr>
            <w:tcW w:w="0" w:type="auto"/>
          </w:tcPr>
          <w:p w14:paraId="45959CF4" w14:textId="77777777" w:rsidR="00CF5C31" w:rsidRPr="00F630DB" w:rsidRDefault="00000000">
            <w:pPr>
              <w:pStyle w:val="Compact"/>
            </w:pPr>
            <w:r w:rsidRPr="00F630DB">
              <w:t>2.52 (1.27–4.97), p=0.008</w:t>
            </w:r>
          </w:p>
        </w:tc>
        <w:tc>
          <w:tcPr>
            <w:tcW w:w="0" w:type="auto"/>
          </w:tcPr>
          <w:p w14:paraId="17B3162F" w14:textId="77777777" w:rsidR="00CF5C31" w:rsidRPr="00F630DB" w:rsidRDefault="00000000">
            <w:pPr>
              <w:pStyle w:val="Compact"/>
            </w:pPr>
            <w:r w:rsidRPr="00F630DB">
              <w:t>3.39 (1.10–10.43), p=0.033</w:t>
            </w:r>
          </w:p>
        </w:tc>
      </w:tr>
      <w:tr w:rsidR="00F630DB" w:rsidRPr="00F630DB" w14:paraId="33AB0D53" w14:textId="77777777">
        <w:tc>
          <w:tcPr>
            <w:tcW w:w="0" w:type="auto"/>
          </w:tcPr>
          <w:p w14:paraId="1CB55AE3" w14:textId="77777777" w:rsidR="00CF5C31" w:rsidRPr="00F630DB" w:rsidRDefault="00000000">
            <w:pPr>
              <w:pStyle w:val="Compact"/>
            </w:pPr>
            <w:r w:rsidRPr="00F630DB">
              <w:t>Public-image concern</w:t>
            </w:r>
          </w:p>
        </w:tc>
        <w:tc>
          <w:tcPr>
            <w:tcW w:w="0" w:type="auto"/>
          </w:tcPr>
          <w:p w14:paraId="746C8330" w14:textId="77777777" w:rsidR="00CF5C31" w:rsidRPr="00F630DB" w:rsidRDefault="00000000">
            <w:pPr>
              <w:pStyle w:val="Compact"/>
            </w:pPr>
            <w:r w:rsidRPr="00F630DB">
              <w:t>0.46 (0.23–0.92), p=0.029</w:t>
            </w:r>
          </w:p>
        </w:tc>
        <w:tc>
          <w:tcPr>
            <w:tcW w:w="0" w:type="auto"/>
          </w:tcPr>
          <w:p w14:paraId="01F1C8A5" w14:textId="77777777" w:rsidR="00CF5C31" w:rsidRPr="00F630DB" w:rsidRDefault="00000000">
            <w:pPr>
              <w:pStyle w:val="Compact"/>
            </w:pPr>
            <w:r w:rsidRPr="00F630DB">
              <w:t>0.17 (0.05–0.62), p=0.007</w:t>
            </w:r>
          </w:p>
        </w:tc>
      </w:tr>
      <w:tr w:rsidR="00F630DB" w:rsidRPr="00F630DB" w14:paraId="0214F8A4" w14:textId="77777777">
        <w:tc>
          <w:tcPr>
            <w:tcW w:w="0" w:type="auto"/>
          </w:tcPr>
          <w:p w14:paraId="442B0983" w14:textId="77777777" w:rsidR="00CF5C31" w:rsidRPr="00F630DB" w:rsidRDefault="00000000">
            <w:pPr>
              <w:pStyle w:val="Compact"/>
            </w:pPr>
            <w:r w:rsidRPr="00F630DB">
              <w:t>At capacity (vs accepting)</w:t>
            </w:r>
          </w:p>
        </w:tc>
        <w:tc>
          <w:tcPr>
            <w:tcW w:w="0" w:type="auto"/>
          </w:tcPr>
          <w:p w14:paraId="4218C7B2" w14:textId="77777777" w:rsidR="00CF5C31" w:rsidRPr="00F630DB" w:rsidRDefault="00000000">
            <w:pPr>
              <w:pStyle w:val="Compact"/>
            </w:pPr>
            <w:r w:rsidRPr="00F630DB">
              <w:t>0.15 (0.05–0.44), p=0.001</w:t>
            </w:r>
          </w:p>
        </w:tc>
        <w:tc>
          <w:tcPr>
            <w:tcW w:w="0" w:type="auto"/>
          </w:tcPr>
          <w:p w14:paraId="4BB1E116" w14:textId="77777777" w:rsidR="00CF5C31" w:rsidRPr="00F630DB" w:rsidRDefault="00000000">
            <w:pPr>
              <w:pStyle w:val="Compact"/>
            </w:pPr>
            <w:r w:rsidRPr="00F630DB">
              <w:t>0.11 (0.04–0.35), p&lt;0.001</w:t>
            </w:r>
          </w:p>
        </w:tc>
      </w:tr>
    </w:tbl>
    <w:p w14:paraId="7993516A" w14:textId="77777777" w:rsidR="00CF5C31" w:rsidRPr="00F630DB" w:rsidRDefault="00000000">
      <w:pPr>
        <w:pStyle w:val="BodyText"/>
      </w:pPr>
      <w:r w:rsidRPr="00F630DB">
        <w:t xml:space="preserve">McFadden R²: 0.289 (continuous) vs 0.304 (dichotomised). Directions and significance of all inferential conclusions are unchanged, indicating the continuous entry of the three-point ratings is not driving the driver findings.</w:t>
      </w:r>
      <w:r w:rsidRPr="00F630DB">
        <w:rPr>
          <w:rStyle w:val="VerbatimChar"/>
        </w:rPr>
        <w:t/>
      </w:r>
      <w:r w:rsidRPr="00F630DB">
        <w:t/>
      </w:r>
    </w:p>
    <w:p w14:paraId="23A7454D" w14:textId="77777777" w:rsidR="00CF5C31" w:rsidRPr="00F630DB" w:rsidRDefault="00000000">
      <w:pPr>
        <w:pStyle w:val="BodyText"/>
      </w:pPr>
      <w:r w:rsidRPr="00F630DB">
        <w:rPr>
          <w:i/>
        </w:rPr>
        <w:t xml:space="preserve">The spare-capacity (at-capacity) association is stable in magnitude and significance across specifications from the full model (low events-per-variable) to a minimal, well-powered model, and survives adjustment for objective capacity measures, which do not themselves predict intent. Driver VIFs are all below 1.25, indicating the non-discriminating financial drivers are not an artefact of collinearity. Response rate: 196/396 = 49.5% (drawn sample); 196/592 = 33.1% (all contacts, AAPOR RR2). Estimates were computed in Python (statsmodels); Models 1 and 2 reproduce the R-based main-text Tables 4 and 5 exactly. Events per variable use each model's own listwise-complete sample: 37 not-interested clinics in Models 1–3, 38 in the minimal model, 36 with the objective proxies.</w:t>
      </w:r>
      <w:proofErr w:type="gramStart"/>
      <w:r w:rsidRPr="00F630DB">
        <w:rPr>
          <w:i/>
        </w:rPr>
        <w:t/>
      </w:r>
      <w:proofErr w:type="gramEnd"/>
      <w:r w:rsidRPr="00F630DB">
        <w:rPr>
          <w:i/>
        </w:rPr>
        <w:t xml:space="preserve"/>
      </w:r>
      <w:r w:rsidRPr="00F630DB">
        <w:rPr>
          <w:i/>
        </w:rPr>
        <w:lastRenderedPageBreak/>
        <w:t/>
      </w:r>
    </w:p>
    <w:sectPr w:rsidR="00CF5C31" w:rsidRPr="00F630DB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C95D5" w14:textId="77777777" w:rsidR="0008267B" w:rsidRDefault="0008267B">
      <w:pPr>
        <w:spacing w:after="0"/>
      </w:pPr>
      <w:r>
        <w:separator/>
      </w:r>
    </w:p>
  </w:endnote>
  <w:endnote w:type="continuationSeparator" w:id="0">
    <w:p w14:paraId="2547235F" w14:textId="77777777" w:rsidR="0008267B" w:rsidRDefault="000826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E8FFD" w14:textId="77777777" w:rsidR="0008267B" w:rsidRDefault="0008267B">
      <w:r>
        <w:separator/>
      </w:r>
    </w:p>
  </w:footnote>
  <w:footnote w:type="continuationSeparator" w:id="0">
    <w:p w14:paraId="0235DCE9" w14:textId="77777777" w:rsidR="0008267B" w:rsidRDefault="00082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AE401"/>
    <w:multiLevelType w:val="multilevel"/>
    <w:tmpl w:val="5B2CFF0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743723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6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08267B"/>
    <w:rsid w:val="000A403E"/>
    <w:rsid w:val="00403281"/>
    <w:rsid w:val="004E29B3"/>
    <w:rsid w:val="00590D07"/>
    <w:rsid w:val="00784D58"/>
    <w:rsid w:val="008D6863"/>
    <w:rsid w:val="00B86B75"/>
    <w:rsid w:val="00BC48D5"/>
    <w:rsid w:val="00C36279"/>
    <w:rsid w:val="00CF5C31"/>
    <w:rsid w:val="00E315A3"/>
    <w:rsid w:val="00F630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52126"/>
  <w15:docId w15:val="{229FE7F3-8D68-7D40-82C2-C2D43C111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rFonts w:ascii="Times New Roman" w:hAnsi="Times New Roman"/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  <w:rPr>
      <w:rFonts w:ascii="Times New Roman" w:hAnsi="Times New Roman"/>
    </w:rPr>
  </w:style>
  <w:style w:type="character" w:customStyle="1" w:styleId="VerbatimChar">
    <w:name w:val="Verbatim Char"/>
    <w:basedOn w:val="CaptionChar"/>
    <w:link w:val="SourceCode"/>
    <w:rPr>
      <w:rFonts w:ascii="Times New Roman" w:hAnsi="Times New Roman"/>
      <w:sz w:val="22"/>
    </w:rPr>
  </w:style>
  <w:style w:type="character" w:styleId="FootnoteReference">
    <w:name w:val="footnote reference"/>
    <w:basedOn w:val="CaptionChar"/>
    <w:rPr>
      <w:rFonts w:ascii="Times New Roman" w:hAnsi="Times New Roman"/>
      <w:vertAlign w:val="superscript"/>
    </w:rPr>
  </w:style>
  <w:style w:type="character" w:styleId="Hyperlink">
    <w:name w:val="Hyperlink"/>
    <w:basedOn w:val="CaptionChar"/>
    <w:rPr>
      <w:rFonts w:ascii="Times New Roman" w:hAnsi="Times New Roman"/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Times New Roman" w:hAnsi="Times New Roman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Times New Roman" w:hAnsi="Times New Roman"/>
      <w:color w:val="902000"/>
      <w:sz w:val="22"/>
    </w:rPr>
  </w:style>
  <w:style w:type="character" w:customStyle="1" w:styleId="DecValTok">
    <w:name w:val="DecValTok"/>
    <w:basedOn w:val="VerbatimChar"/>
    <w:rPr>
      <w:rFonts w:ascii="Times New Roman" w:hAnsi="Times New Roman"/>
      <w:color w:val="40A070"/>
      <w:sz w:val="22"/>
    </w:rPr>
  </w:style>
  <w:style w:type="character" w:customStyle="1" w:styleId="BaseNTok">
    <w:name w:val="BaseNTok"/>
    <w:basedOn w:val="VerbatimChar"/>
    <w:rPr>
      <w:rFonts w:ascii="Times New Roman" w:hAnsi="Times New Roman"/>
      <w:color w:val="40A070"/>
      <w:sz w:val="22"/>
    </w:rPr>
  </w:style>
  <w:style w:type="character" w:customStyle="1" w:styleId="FloatTok">
    <w:name w:val="FloatTok"/>
    <w:basedOn w:val="VerbatimChar"/>
    <w:rPr>
      <w:rFonts w:ascii="Times New Roman" w:hAnsi="Times New Roman"/>
      <w:color w:val="40A070"/>
      <w:sz w:val="22"/>
    </w:rPr>
  </w:style>
  <w:style w:type="character" w:customStyle="1" w:styleId="ConstantTok">
    <w:name w:val="ConstantTok"/>
    <w:basedOn w:val="VerbatimChar"/>
    <w:rPr>
      <w:rFonts w:ascii="Times New Roman" w:hAnsi="Times New Roman"/>
      <w:color w:val="880000"/>
      <w:sz w:val="22"/>
    </w:rPr>
  </w:style>
  <w:style w:type="character" w:customStyle="1" w:styleId="CharTok">
    <w:name w:val="CharTok"/>
    <w:basedOn w:val="VerbatimChar"/>
    <w:rPr>
      <w:rFonts w:ascii="Times New Roman" w:hAnsi="Times New Roman"/>
      <w:color w:val="4070A0"/>
      <w:sz w:val="22"/>
    </w:rPr>
  </w:style>
  <w:style w:type="character" w:customStyle="1" w:styleId="SpecialCharTok">
    <w:name w:val="SpecialCharTok"/>
    <w:basedOn w:val="VerbatimChar"/>
    <w:rPr>
      <w:rFonts w:ascii="Times New Roman" w:hAnsi="Times New Roman"/>
      <w:color w:val="4070A0"/>
      <w:sz w:val="22"/>
    </w:rPr>
  </w:style>
  <w:style w:type="character" w:customStyle="1" w:styleId="StringTok">
    <w:name w:val="StringTok"/>
    <w:basedOn w:val="VerbatimChar"/>
    <w:rPr>
      <w:rFonts w:ascii="Times New Roman" w:hAnsi="Times New Roman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Times New Roman" w:hAnsi="Times New Roman"/>
      <w:color w:val="4070A0"/>
      <w:sz w:val="22"/>
    </w:rPr>
  </w:style>
  <w:style w:type="character" w:customStyle="1" w:styleId="SpecialStringTok">
    <w:name w:val="SpecialStringTok"/>
    <w:basedOn w:val="VerbatimChar"/>
    <w:rPr>
      <w:rFonts w:ascii="Times New Roman" w:hAnsi="Times New Roman"/>
      <w:color w:val="BB6688"/>
      <w:sz w:val="22"/>
    </w:rPr>
  </w:style>
  <w:style w:type="character" w:customStyle="1" w:styleId="ImportTok">
    <w:name w:val="ImportTok"/>
    <w:basedOn w:val="VerbatimChar"/>
    <w:rPr>
      <w:rFonts w:ascii="Times New Roman" w:hAnsi="Times New Roman"/>
      <w:sz w:val="22"/>
    </w:rPr>
  </w:style>
  <w:style w:type="character" w:customStyle="1" w:styleId="CommentTok">
    <w:name w:val="CommentTok"/>
    <w:basedOn w:val="VerbatimChar"/>
    <w:rPr>
      <w:rFonts w:ascii="Times New Roman" w:hAnsi="Times New Roman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Times New Roman" w:hAnsi="Times New Roman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Times New Roman" w:hAnsi="Times New Roman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Times New Roman" w:hAnsi="Times New Roman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Times New Roman" w:hAnsi="Times New Roman"/>
      <w:color w:val="007020"/>
      <w:sz w:val="22"/>
    </w:rPr>
  </w:style>
  <w:style w:type="character" w:customStyle="1" w:styleId="FunctionTok">
    <w:name w:val="FunctionTok"/>
    <w:basedOn w:val="VerbatimChar"/>
    <w:rPr>
      <w:rFonts w:ascii="Times New Roman" w:hAnsi="Times New Roman"/>
      <w:color w:val="06287E"/>
      <w:sz w:val="22"/>
    </w:rPr>
  </w:style>
  <w:style w:type="character" w:customStyle="1" w:styleId="VariableTok">
    <w:name w:val="VariableTok"/>
    <w:basedOn w:val="VerbatimChar"/>
    <w:rPr>
      <w:rFonts w:ascii="Times New Roman" w:hAnsi="Times New Roman"/>
      <w:color w:val="19177C"/>
      <w:sz w:val="22"/>
    </w:rPr>
  </w:style>
  <w:style w:type="character" w:customStyle="1" w:styleId="ControlFlowTok">
    <w:name w:val="ControlFlowTok"/>
    <w:basedOn w:val="VerbatimChar"/>
    <w:rPr>
      <w:rFonts w:ascii="Times New Roman" w:hAnsi="Times New Roman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Times New Roman" w:hAnsi="Times New Roman"/>
      <w:color w:val="666666"/>
      <w:sz w:val="22"/>
    </w:rPr>
  </w:style>
  <w:style w:type="character" w:customStyle="1" w:styleId="BuiltInTok">
    <w:name w:val="BuiltInTok"/>
    <w:basedOn w:val="VerbatimChar"/>
    <w:rPr>
      <w:rFonts w:ascii="Times New Roman" w:hAnsi="Times New Roman"/>
      <w:sz w:val="22"/>
    </w:rPr>
  </w:style>
  <w:style w:type="character" w:customStyle="1" w:styleId="ExtensionTok">
    <w:name w:val="ExtensionTok"/>
    <w:basedOn w:val="VerbatimChar"/>
    <w:rPr>
      <w:rFonts w:ascii="Times New Roman" w:hAnsi="Times New Roman"/>
      <w:sz w:val="22"/>
    </w:rPr>
  </w:style>
  <w:style w:type="character" w:customStyle="1" w:styleId="PreprocessorTok">
    <w:name w:val="PreprocessorTok"/>
    <w:basedOn w:val="VerbatimChar"/>
    <w:rPr>
      <w:rFonts w:ascii="Times New Roman" w:hAnsi="Times New Roman"/>
      <w:color w:val="BC7A00"/>
      <w:sz w:val="22"/>
    </w:rPr>
  </w:style>
  <w:style w:type="character" w:customStyle="1" w:styleId="AttributeTok">
    <w:name w:val="AttributeTok"/>
    <w:basedOn w:val="VerbatimChar"/>
    <w:rPr>
      <w:rFonts w:ascii="Times New Roman" w:hAnsi="Times New Roman"/>
      <w:color w:val="7D9029"/>
      <w:sz w:val="22"/>
    </w:rPr>
  </w:style>
  <w:style w:type="character" w:customStyle="1" w:styleId="RegionMarkerTok">
    <w:name w:val="RegionMarkerTok"/>
    <w:basedOn w:val="VerbatimChar"/>
    <w:rPr>
      <w:rFonts w:ascii="Times New Roman" w:hAnsi="Times New Roman"/>
      <w:sz w:val="22"/>
    </w:rPr>
  </w:style>
  <w:style w:type="character" w:customStyle="1" w:styleId="InformationTok">
    <w:name w:val="InformationTok"/>
    <w:basedOn w:val="VerbatimChar"/>
    <w:rPr>
      <w:rFonts w:ascii="Times New Roman" w:hAnsi="Times New Roman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Times New Roman" w:hAnsi="Times New Roman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Times New Roman" w:hAnsi="Times New Roman"/>
      <w:b/>
      <w:color w:val="FF0000"/>
      <w:sz w:val="22"/>
    </w:rPr>
  </w:style>
  <w:style w:type="character" w:customStyle="1" w:styleId="ErrorTok">
    <w:name w:val="ErrorTok"/>
    <w:basedOn w:val="VerbatimChar"/>
    <w:rPr>
      <w:rFonts w:ascii="Times New Roman" w:hAnsi="Times New Roman"/>
      <w:b/>
      <w:color w:val="FF0000"/>
      <w:sz w:val="22"/>
    </w:rPr>
  </w:style>
  <w:style w:type="character" w:customStyle="1" w:styleId="NormalTok">
    <w:name w:val="NormalTok"/>
    <w:basedOn w:val="VerbatimChar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709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3</cp:revision>
  <dcterms:created xsi:type="dcterms:W3CDTF">2026-07-02T19:40:00Z</dcterms:created>
  <dcterms:modified xsi:type="dcterms:W3CDTF">2026-07-15T09:51:00Z</dcterms:modified>
</cp:coreProperties>
</file>