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9F7" w:rsidRPr="00217909" w:rsidRDefault="00FF7FFC">
      <w:pPr>
        <w:pStyle w:val="Ttulo"/>
        <w:jc w:val="center"/>
        <w:rPr>
          <w:color w:val="000000" w:themeColor="text1"/>
        </w:rPr>
      </w:pPr>
      <w:r w:rsidRPr="00217909">
        <w:rPr>
          <w:color w:val="000000" w:themeColor="text1"/>
        </w:rPr>
        <w:t>Online Resource 1</w:t>
      </w:r>
    </w:p>
    <w:p w:rsidR="00E73DA7" w:rsidRDefault="00E73DA7">
      <w:pPr>
        <w:jc w:val="center"/>
        <w:rPr>
          <w:rFonts w:asciiTheme="majorHAnsi" w:eastAsiaTheme="majorEastAsia" w:hAnsiTheme="majorHAnsi" w:cstheme="majorBidi"/>
          <w:i/>
          <w:iCs/>
          <w:color w:val="000000" w:themeColor="text1"/>
          <w:spacing w:val="15"/>
          <w:sz w:val="22"/>
          <w:szCs w:val="24"/>
        </w:rPr>
      </w:pPr>
      <w:r w:rsidRPr="00E73DA7">
        <w:rPr>
          <w:rFonts w:asciiTheme="majorHAnsi" w:eastAsiaTheme="majorEastAsia" w:hAnsiTheme="majorHAnsi" w:cstheme="majorBidi"/>
          <w:i/>
          <w:iCs/>
          <w:color w:val="000000" w:themeColor="text1"/>
          <w:spacing w:val="15"/>
          <w:sz w:val="22"/>
          <w:szCs w:val="24"/>
        </w:rPr>
        <w:t>Inflammatory comorbidity and quality-of-life burden in psoriasis with multiple biologic failure: a retrospective cohort study</w:t>
      </w:r>
    </w:p>
    <w:p w:rsidR="00EE29F7" w:rsidRDefault="00FF7FFC">
      <w:pPr>
        <w:jc w:val="center"/>
      </w:pPr>
      <w:bookmarkStart w:id="0" w:name="_GoBack"/>
      <w:bookmarkEnd w:id="0"/>
      <w:r>
        <w:t>José Molina-Espinosa, Pedro José Ezomo-Gervilla, Diego Gallego-García, Daniel Robles-Murcia, José Carlos Ruiz-Carrascosa and Ricardo Ruiz-Villaverde</w:t>
      </w:r>
    </w:p>
    <w:p w:rsidR="00EE29F7" w:rsidRDefault="00FF7FFC">
      <w:pPr>
        <w:jc w:val="center"/>
      </w:pPr>
      <w:r>
        <w:rPr>
          <w:b/>
        </w:rPr>
        <w:t>Supplementary figures and tables</w:t>
      </w:r>
    </w:p>
    <w:p w:rsidR="00EE29F7" w:rsidRPr="00217909" w:rsidRDefault="00FF7FFC">
      <w:pPr>
        <w:pStyle w:val="Ttulo1"/>
        <w:rPr>
          <w:color w:val="000000" w:themeColor="text1"/>
        </w:rPr>
      </w:pPr>
      <w:r w:rsidRPr="00217909">
        <w:rPr>
          <w:color w:val="000000" w:themeColor="text1"/>
        </w:rPr>
        <w:t>Supplementary Figure S1</w:t>
      </w:r>
    </w:p>
    <w:p w:rsidR="00EE29F7" w:rsidRDefault="00FF7FFC">
      <w:pPr>
        <w:jc w:val="center"/>
      </w:pPr>
      <w:r>
        <w:rPr>
          <w:noProof/>
        </w:rPr>
        <w:drawing>
          <wp:inline distT="0" distB="0" distL="0" distR="0">
            <wp:extent cx="6126480" cy="3573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_S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9F7" w:rsidRDefault="00FF7FFC">
      <w:pPr>
        <w:spacing w:before="60" w:after="140"/>
      </w:pPr>
      <w:r>
        <w:rPr>
          <w:b/>
        </w:rPr>
        <w:t xml:space="preserve">Supplementary Fig. S1 </w:t>
      </w:r>
      <w:r>
        <w:t>Distribution of the exploratory inflammatory burden score by clinician-recorded multiple biologic failure status. The score assigns one point each for psoriatic arthritis, inflammatory bowel disease and baseline PASI ≥10 (range 0–3). Values above bars are n (% within group).</w:t>
      </w:r>
    </w:p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The score is investigator-developed, combines heterogeneous domains and is descriptive and hypothesis-generating only; it is not a validated predictive or clinical decision tool.</w:t>
      </w:r>
    </w:p>
    <w:p w:rsidR="00EE29F7" w:rsidRDefault="00FF7FFC">
      <w:r>
        <w:br w:type="page"/>
      </w:r>
    </w:p>
    <w:p w:rsidR="00EE29F7" w:rsidRPr="00217909" w:rsidRDefault="00FF7FFC">
      <w:pPr>
        <w:pStyle w:val="Ttulo1"/>
        <w:rPr>
          <w:color w:val="000000" w:themeColor="text1"/>
        </w:rPr>
      </w:pPr>
      <w:r w:rsidRPr="00217909">
        <w:rPr>
          <w:color w:val="000000" w:themeColor="text1"/>
        </w:rPr>
        <w:lastRenderedPageBreak/>
        <w:t>Supplementary Figure S2</w:t>
      </w:r>
    </w:p>
    <w:p w:rsidR="00EE29F7" w:rsidRDefault="00FF7FFC">
      <w:pPr>
        <w:jc w:val="center"/>
      </w:pPr>
      <w:r>
        <w:rPr>
          <w:noProof/>
        </w:rPr>
        <w:drawing>
          <wp:inline distT="0" distB="0" distL="0" distR="0">
            <wp:extent cx="6126480" cy="28079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_S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9F7" w:rsidRDefault="00FF7FFC">
      <w:pPr>
        <w:spacing w:before="60" w:after="140"/>
      </w:pPr>
      <w:r>
        <w:rPr>
          <w:b/>
        </w:rPr>
        <w:t xml:space="preserve">Supplementary Fig. S2 </w:t>
      </w:r>
      <w:r>
        <w:t>Exploratory adjusted treatment-pathway associations with clinician-recorded multiple biologic failure. Points are adjusted odds ratios and bars are 95% confidence intervals on a logarithmic scale. Benjamini–Hochberg q values were calculated across this three-variable family.</w:t>
      </w:r>
    </w:p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Associations are exploratory and should not be interpreted as causal treatment effects.</w:t>
      </w:r>
    </w:p>
    <w:p w:rsidR="00EE29F7" w:rsidRDefault="00FF7FFC">
      <w:r>
        <w:br w:type="page"/>
      </w:r>
    </w:p>
    <w:p w:rsidR="00EE29F7" w:rsidRDefault="00FF7FFC">
      <w:pPr>
        <w:pStyle w:val="Ttulo1"/>
      </w:pPr>
      <w:r>
        <w:lastRenderedPageBreak/>
        <w:t>Supplementary Table S1</w:t>
      </w:r>
    </w:p>
    <w:p w:rsidR="00EE29F7" w:rsidRDefault="00FF7FFC">
      <w:pPr>
        <w:spacing w:before="60" w:after="140"/>
      </w:pPr>
      <w:r>
        <w:rPr>
          <w:b/>
        </w:rPr>
        <w:t xml:space="preserve">Supplementary Table S1 </w:t>
      </w:r>
      <w:r>
        <w:t>Exposure-based sensitivity analyses of the clinician-recorded multiple biologic failure outcome.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952"/>
        <w:gridCol w:w="936"/>
        <w:gridCol w:w="2520"/>
        <w:gridCol w:w="2232"/>
        <w:gridCol w:w="864"/>
      </w:tblGrid>
      <w:tr w:rsidR="00EE29F7">
        <w:trPr>
          <w:cantSplit/>
          <w:tblHeader/>
        </w:trPr>
        <w:tc>
          <w:tcPr>
            <w:tcW w:w="295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6"/>
              </w:rPr>
              <w:t>Outcome definition</w:t>
            </w:r>
          </w:p>
        </w:tc>
        <w:tc>
          <w:tcPr>
            <w:tcW w:w="93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6"/>
              </w:rPr>
              <w:t>Events/N</w:t>
            </w:r>
          </w:p>
        </w:tc>
        <w:tc>
          <w:tcPr>
            <w:tcW w:w="252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6"/>
              </w:rPr>
              <w:t>Covariate</w:t>
            </w:r>
          </w:p>
        </w:tc>
        <w:tc>
          <w:tcPr>
            <w:tcW w:w="223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6"/>
              </w:rPr>
              <w:t>Adjusted OR (95% CI)</w:t>
            </w:r>
          </w:p>
        </w:tc>
        <w:tc>
          <w:tcPr>
            <w:tcW w:w="86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6"/>
              </w:rPr>
              <w:t>P value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Clinician-recorded classification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50/539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0.94 (0.74–1.20)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0.627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Clinician-recorded classification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50/539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Male sex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0.99 (0.54–1.83)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0.976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Clinician-recorded classification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50/539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Psoriasis duration,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1.28 (1.00–1.62)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0.046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Clinician-recorded classification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50/539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BMI, per 5 kg/m²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1.05 (0.83–1.33)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0.675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Clinician-recorded classification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50/539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Psoriatic arthritis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4.17 (2.24–7.77)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&lt;0.001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52/539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0.99 (0.78–1.26)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0.933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52/539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Male sex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1.16 (0.63–2.14)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0.623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52/539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Psoriasis duration,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1.23 (0.97–1.55)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0.082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52/539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BMI, per 5 kg/m²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1.07 (0.85–1.35)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0.566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52/539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Psoriatic arthritis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4.17 (2.27–7.67)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&lt;0.001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≥4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17/539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1.10 (0.73–1.66)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0.647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≥4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17/539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Male sex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0.67 (0.25–1.81)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0.435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≥4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17/539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Psoriasis duration,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1.22 (0.84–1.75)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0.295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≥4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17/539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BMI, per 5 kg/m²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1.18 (0.83–1.68)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0.348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≥4 declared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17/539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Psoriatic arthritis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4.68 (1.70–12.91)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0.003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reconstructed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54/539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0.99 (0.78–1.25)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0.933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reconstructed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54/539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Male sex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1.13 (0.62–2.05)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0.684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reconstructed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54/539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Psoriasis duration,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1.19 (0.95–1.49)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0.136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reconstructed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54/539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BMI, per 5 kg/m²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1.06 (0.85–1.33)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0.589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reconstructed biologics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54/539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Psoriatic arthritis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3.88 (2.13–7.08)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&lt;0.001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mechanisms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35/539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1.01 (0.75–1.37)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0.946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mechanisms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35/539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Male sex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1.10 (0.53–2.27)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0.804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mechanisms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35/539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Psoriasis duration, per 10 years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1.28 (0.96–1.69)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0.090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mechanisms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35/539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BMI, per 5 kg/m²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0.98 (0.74–1.31)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0.895</w:t>
            </w:r>
          </w:p>
        </w:tc>
      </w:tr>
      <w:tr w:rsidR="00EE29F7">
        <w:trPr>
          <w:cantSplit/>
        </w:trPr>
        <w:tc>
          <w:tcPr>
            <w:tcW w:w="295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≥3 mechanisms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35/539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Psoriatic arthritis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6.93 (3.29–14.58)</w:t>
            </w:r>
          </w:p>
        </w:tc>
        <w:tc>
          <w:tcPr>
            <w:tcW w:w="8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6"/>
              </w:rPr>
              <w:t>&lt;0.001</w:t>
            </w:r>
          </w:p>
        </w:tc>
      </w:tr>
    </w:tbl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Each model included age, sex, psoriasis duration, BMI and psoriatic arthritis. Exposure-derived definitions quantify documented exposure and do not establish the reason for treatment discontinuation. BMI, body mass index; CI, confidence interval; OR, odds ratio.</w:t>
      </w:r>
    </w:p>
    <w:p w:rsidR="00EE29F7" w:rsidRDefault="00FF7FFC">
      <w:pPr>
        <w:pStyle w:val="Ttulo1"/>
      </w:pPr>
      <w:r>
        <w:t>Supplementary Table S2</w:t>
      </w:r>
    </w:p>
    <w:p w:rsidR="00EE29F7" w:rsidRDefault="00FF7FFC">
      <w:pPr>
        <w:spacing w:before="60" w:after="140"/>
      </w:pPr>
      <w:r>
        <w:rPr>
          <w:b/>
        </w:rPr>
        <w:t xml:space="preserve">Supplementary Table S2 </w:t>
      </w:r>
      <w:r>
        <w:t>Exploratory adjusted treatment-pathway associations.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2520"/>
        <w:gridCol w:w="1080"/>
        <w:gridCol w:w="1224"/>
      </w:tblGrid>
      <w:tr w:rsidR="00EE29F7">
        <w:trPr>
          <w:cantSplit/>
          <w:tblHeader/>
        </w:trPr>
        <w:tc>
          <w:tcPr>
            <w:tcW w:w="396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252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Adjusted OR (95% CI)</w:t>
            </w:r>
          </w:p>
        </w:tc>
        <w:tc>
          <w:tcPr>
            <w:tcW w:w="108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P value</w:t>
            </w:r>
          </w:p>
        </w:tc>
        <w:tc>
          <w:tcPr>
            <w:tcW w:w="122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BH q value</w:t>
            </w:r>
          </w:p>
        </w:tc>
      </w:tr>
      <w:tr w:rsidR="00EE29F7">
        <w:trPr>
          <w:cantSplit/>
        </w:trPr>
        <w:tc>
          <w:tcPr>
            <w:tcW w:w="396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Nail involvement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2.11 (1.11–4.03)</w:t>
            </w:r>
          </w:p>
        </w:tc>
        <w:tc>
          <w:tcPr>
            <w:tcW w:w="10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0.024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0.031</w:t>
            </w:r>
          </w:p>
        </w:tc>
      </w:tr>
      <w:tr w:rsidR="00EE29F7">
        <w:trPr>
          <w:cantSplit/>
        </w:trPr>
        <w:tc>
          <w:tcPr>
            <w:tcW w:w="396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Previous phototherapy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2.10 (1.07–4.13)</w:t>
            </w:r>
          </w:p>
        </w:tc>
        <w:tc>
          <w:tcPr>
            <w:tcW w:w="10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0.031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0.031</w:t>
            </w:r>
          </w:p>
        </w:tc>
      </w:tr>
      <w:tr w:rsidR="00EE29F7">
        <w:trPr>
          <w:cantSplit/>
        </w:trPr>
        <w:tc>
          <w:tcPr>
            <w:tcW w:w="396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Previous ciclosporin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0.45 (0.21–0.93)</w:t>
            </w:r>
          </w:p>
        </w:tc>
        <w:tc>
          <w:tcPr>
            <w:tcW w:w="10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0.031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0.031</w:t>
            </w:r>
          </w:p>
        </w:tc>
      </w:tr>
    </w:tbl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The Benjamini–Hochberg family comprised these three adjusted exploratory associations. BH, Benjamini–Hochberg; CI, confidence interval; OR, odds ratio.</w:t>
      </w:r>
    </w:p>
    <w:p w:rsidR="00EE29F7" w:rsidRDefault="00FF7FFC">
      <w:pPr>
        <w:pStyle w:val="Ttulo1"/>
      </w:pPr>
      <w:r>
        <w:lastRenderedPageBreak/>
        <w:t>Supplementary Table S3</w:t>
      </w:r>
    </w:p>
    <w:p w:rsidR="00EE29F7" w:rsidRDefault="00FF7FFC">
      <w:pPr>
        <w:spacing w:before="60" w:after="140"/>
      </w:pPr>
      <w:r>
        <w:rPr>
          <w:b/>
        </w:rPr>
        <w:t xml:space="preserve">Supplementary Table S3 </w:t>
      </w:r>
      <w:r>
        <w:t>Completeness of early outcome assessment by group.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2376"/>
        <w:gridCol w:w="2376"/>
      </w:tblGrid>
      <w:tr w:rsidR="00EE29F7">
        <w:trPr>
          <w:cantSplit/>
          <w:tblHeader/>
        </w:trPr>
        <w:tc>
          <w:tcPr>
            <w:tcW w:w="446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Outcome at weeks 12–16</w:t>
            </w:r>
          </w:p>
        </w:tc>
        <w:tc>
          <w:tcPr>
            <w:tcW w:w="237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No MBF (n=495)</w:t>
            </w:r>
          </w:p>
        </w:tc>
        <w:tc>
          <w:tcPr>
            <w:tcW w:w="237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MBF (n=50)</w:t>
            </w:r>
          </w:p>
        </w:tc>
      </w:tr>
      <w:tr w:rsidR="00EE29F7">
        <w:trPr>
          <w:cantSplit/>
        </w:trPr>
        <w:tc>
          <w:tcPr>
            <w:tcW w:w="44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PASI available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475/495 (96.0%)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45/50 (90.0%)</w:t>
            </w:r>
          </w:p>
        </w:tc>
      </w:tr>
      <w:tr w:rsidR="00EE29F7">
        <w:trPr>
          <w:cantSplit/>
        </w:trPr>
        <w:tc>
          <w:tcPr>
            <w:tcW w:w="44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PASI90 derivable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473/495 (95.6%)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44/50 (88.0%)</w:t>
            </w:r>
          </w:p>
        </w:tc>
      </w:tr>
      <w:tr w:rsidR="00EE29F7">
        <w:trPr>
          <w:cantSplit/>
        </w:trPr>
        <w:tc>
          <w:tcPr>
            <w:tcW w:w="44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DLQI available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476/495 (96.2%)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45/50 (90.0%)</w:t>
            </w:r>
          </w:p>
        </w:tc>
      </w:tr>
    </w:tbl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DLQI, Dermatology Life Quality Index; PASI, Psoriasis Area and Severity Index.</w:t>
      </w:r>
    </w:p>
    <w:p w:rsidR="00EE29F7" w:rsidRDefault="00FF7FFC">
      <w:r>
        <w:br w:type="page"/>
      </w:r>
    </w:p>
    <w:p w:rsidR="00EE29F7" w:rsidRDefault="00FF7FFC">
      <w:pPr>
        <w:pStyle w:val="Ttulo1"/>
      </w:pPr>
      <w:r>
        <w:lastRenderedPageBreak/>
        <w:t>Supplementary Table S4</w:t>
      </w:r>
    </w:p>
    <w:p w:rsidR="00EE29F7" w:rsidRDefault="00FF7FFC">
      <w:pPr>
        <w:spacing w:before="60" w:after="140"/>
      </w:pPr>
      <w:r>
        <w:rPr>
          <w:b/>
        </w:rPr>
        <w:t xml:space="preserve">Supplementary Table S4 </w:t>
      </w:r>
      <w:r>
        <w:t>Documented treatment-pathway characteristics by group.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2232"/>
        <w:gridCol w:w="2232"/>
      </w:tblGrid>
      <w:tr w:rsidR="00EE29F7">
        <w:trPr>
          <w:cantSplit/>
          <w:tblHeader/>
        </w:trPr>
        <w:tc>
          <w:tcPr>
            <w:tcW w:w="511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Characteristic</w:t>
            </w:r>
          </w:p>
        </w:tc>
        <w:tc>
          <w:tcPr>
            <w:tcW w:w="223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No MBF (n=495)</w:t>
            </w:r>
          </w:p>
        </w:tc>
        <w:tc>
          <w:tcPr>
            <w:tcW w:w="223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/>
            </w:pPr>
            <w:r>
              <w:rPr>
                <w:b/>
                <w:sz w:val="17"/>
              </w:rPr>
              <w:t>MBF (n=50)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Documented distinct biologics, median [IQR]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1.00 [1.00–2.00]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3.00 [3.00–4.00]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Mechanistic classes, mean ± SD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1.27 ± 0.52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2.76 ± 0.59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Current-treatment duration, years, median [IQR]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4.28 [2.08–6.99]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4.19 [2.33–5.09]</w:t>
            </w:r>
          </w:p>
        </w:tc>
      </w:tr>
      <w:tr w:rsidR="00EE29F7">
        <w:trPr>
          <w:cantSplit/>
        </w:trPr>
        <w:tc>
          <w:tcPr>
            <w:tcW w:w="511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b/>
                <w:sz w:val="17"/>
              </w:rPr>
              <w:t>Documented previous/current agent exposure</w:t>
            </w: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Adalimumab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281/495 (56.8%)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35/50 (70.0%)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Etanercept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36/495 (7.3%)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20/50 (40.0%)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Infliximab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16/495 (3.2%)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10/50 (20.0%)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Certolizumab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12/495 (2.4%)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4/50 (8.0%)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Ustekinumab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69/495 (13.9%)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27/50 (54.0%)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Secukinumab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49/495 (9.9%)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16/50 (32.0%)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Ixekizumab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37/495 (7.5%)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12/50 (24.0%)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Brodalumab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24/495 (4.8%)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8/50 (16.0%)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Bimekizumab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13/495 (2.6%)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2/50 (4.0%)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Guselkumab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36/495 (7.3%)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14/50 (28.0%)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Risankizumab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39/495 (7.9%)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17/50 (34.0%)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Tildrakizumab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38/495 (7.7%)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7/50 (14.0%)</w:t>
            </w:r>
          </w:p>
        </w:tc>
      </w:tr>
      <w:tr w:rsidR="00EE29F7">
        <w:trPr>
          <w:cantSplit/>
        </w:trPr>
        <w:tc>
          <w:tcPr>
            <w:tcW w:w="511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b/>
                <w:sz w:val="17"/>
              </w:rPr>
              <w:t>Documented previous mechanism exposure</w:t>
            </w: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TNF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329/495 (66.5%)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45/50 (90.0%)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IL-12/23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69/495 (13.9%)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27/50 (54.0%)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IL-17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120/495 (24.2%)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31/50 (62.0%)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IL-23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111/495 (22.4%)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35/50 (70.0%)</w:t>
            </w:r>
          </w:p>
        </w:tc>
      </w:tr>
      <w:tr w:rsidR="00EE29F7">
        <w:trPr>
          <w:cantSplit/>
        </w:trPr>
        <w:tc>
          <w:tcPr>
            <w:tcW w:w="511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b/>
                <w:sz w:val="17"/>
              </w:rPr>
              <w:t>Current/last recorded mechanism</w:t>
            </w: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EE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EE29F7">
            <w:pPr>
              <w:spacing w:after="0" w:line="240" w:lineRule="auto"/>
            </w:pP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TNF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213/494 (43.1%)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2/50 (4.0%)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IL-12/23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33/494 (6.7%)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0/50 (0.0%)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IL-17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115/494 (23.3%)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18/50 (36.0%)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IL-23 inhibitor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128/494 (25.9%)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29/50 (58.0%)</w:t>
            </w:r>
          </w:p>
        </w:tc>
      </w:tr>
      <w:tr w:rsidR="00EE29F7">
        <w:trPr>
          <w:cantSplit/>
        </w:trPr>
        <w:tc>
          <w:tcPr>
            <w:tcW w:w="51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 xml:space="preserve">  Non-biologic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5/494 (1.0%)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E29F7" w:rsidRDefault="00FF7FFC">
            <w:pPr>
              <w:spacing w:after="0" w:line="240" w:lineRule="auto"/>
            </w:pPr>
            <w:r>
              <w:rPr>
                <w:sz w:val="17"/>
              </w:rPr>
              <w:t>1/50 (2.0%)</w:t>
            </w:r>
          </w:p>
        </w:tc>
      </w:tr>
    </w:tbl>
    <w:p w:rsidR="00EE29F7" w:rsidRDefault="00FF7FFC">
      <w:pPr>
        <w:spacing w:before="60" w:after="140"/>
      </w:pPr>
      <w:r>
        <w:rPr>
          <w:i/>
        </w:rPr>
        <w:t xml:space="preserve">Note. </w:t>
      </w:r>
      <w:r>
        <w:t>Agent indicators represent documented previous or current exposure to each distinct biologic. Current/last mechanism denominators are 494 without MBF and 50 with MBF because one non-MBF record lacked a mechanism. The structured extract did not contain the ordered sequence and duration of every historical line, line-specific discontinuation reasons, or primary versus secondary non-response. CI, confidence interval; IL, interleukin; IQR, interquartile range; MBF, multiple biologic failure; SD, standard deviation; TNF, tumour necrosis factor.</w:t>
      </w:r>
    </w:p>
    <w:sectPr w:rsidR="00EE29F7" w:rsidSect="00034616">
      <w:headerReference w:type="default" r:id="rId10"/>
      <w:footerReference w:type="default" r:id="rId11"/>
      <w:pgSz w:w="12240" w:h="15840"/>
      <w:pgMar w:top="936" w:right="1037" w:bottom="936" w:left="1037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1B0" w:rsidRDefault="002751B0">
      <w:pPr>
        <w:spacing w:after="0" w:line="240" w:lineRule="auto"/>
      </w:pPr>
      <w:r>
        <w:separator/>
      </w:r>
    </w:p>
  </w:endnote>
  <w:endnote w:type="continuationSeparator" w:id="0">
    <w:p w:rsidR="002751B0" w:rsidRDefault="00275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9F7" w:rsidRDefault="00FF7FFC">
    <w:pPr>
      <w:pStyle w:val="Piedep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1B0" w:rsidRDefault="002751B0">
      <w:pPr>
        <w:spacing w:after="0" w:line="240" w:lineRule="auto"/>
      </w:pPr>
      <w:r>
        <w:separator/>
      </w:r>
    </w:p>
  </w:footnote>
  <w:footnote w:type="continuationSeparator" w:id="0">
    <w:p w:rsidR="002751B0" w:rsidRDefault="00275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9F7" w:rsidRDefault="00EE29F7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B06"/>
    <w:rsid w:val="00034616"/>
    <w:rsid w:val="0006063C"/>
    <w:rsid w:val="0015074B"/>
    <w:rsid w:val="00217909"/>
    <w:rsid w:val="002751B0"/>
    <w:rsid w:val="0029639D"/>
    <w:rsid w:val="00326F90"/>
    <w:rsid w:val="00AA1D8D"/>
    <w:rsid w:val="00B47730"/>
    <w:rsid w:val="00CB0664"/>
    <w:rsid w:val="00E73DA7"/>
    <w:rsid w:val="00EE29F7"/>
    <w:rsid w:val="00FC693F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EFDAF"/>
  <w14:defaultImageDpi w14:val="300"/>
  <w15:docId w15:val="{BB6269D9-95A9-4056-A403-000BC187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before="20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F644C7-54B2-4FC7-9DAE-EEEE484A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985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Resource 1 — Multiple biologic failure in psoriasis</dc:title>
  <dc:subject>Supplementary figures and tables</dc:subject>
  <dc:creator>José Molina-Espinosa and co-authors</dc:creator>
  <cp:keywords/>
  <dc:description>Prepared from the supplied patient-level analysis workbooks</dc:description>
  <cp:lastModifiedBy>jose molina espinosa</cp:lastModifiedBy>
  <cp:revision>4</cp:revision>
  <dcterms:created xsi:type="dcterms:W3CDTF">2013-12-23T23:15:00Z</dcterms:created>
  <dcterms:modified xsi:type="dcterms:W3CDTF">2026-09-17T17:34:00Z</dcterms:modified>
  <cp:category/>
</cp:coreProperties>
</file>