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9FC4" w14:textId="0220143A" w:rsidR="00D3048E" w:rsidRPr="000A6265" w:rsidRDefault="00D3048E" w:rsidP="00D3048E">
      <w:pPr>
        <w:rPr>
          <w:rFonts w:ascii="Times New Roman" w:hAnsi="Times New Roman" w:cs="Times New Roman"/>
          <w:b/>
          <w:bCs/>
        </w:rPr>
      </w:pPr>
      <w:r w:rsidRPr="000A6265">
        <w:rPr>
          <w:rFonts w:ascii="Times New Roman" w:hAnsi="Times New Roman" w:cs="Times New Roman"/>
          <w:b/>
          <w:bCs/>
        </w:rPr>
        <w:t>Tables: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395"/>
      </w:tblGrid>
      <w:tr w:rsidR="00D3048E" w:rsidRPr="00E26E94" w14:paraId="3C275364" w14:textId="77777777" w:rsidTr="00242284">
        <w:trPr>
          <w:trHeight w:val="287"/>
        </w:trPr>
        <w:tc>
          <w:tcPr>
            <w:tcW w:w="6070" w:type="dxa"/>
            <w:gridSpan w:val="2"/>
            <w:tcBorders>
              <w:bottom w:val="single" w:sz="4" w:space="0" w:color="auto"/>
            </w:tcBorders>
            <w:shd w:val="clear" w:color="auto" w:fill="ADADAD" w:themeFill="background2" w:themeFillShade="BF"/>
          </w:tcPr>
          <w:p w14:paraId="51C2E065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  <w:b/>
                <w:bCs/>
              </w:rPr>
              <w:t>Table 1.</w:t>
            </w:r>
            <w:r w:rsidRPr="00E26E94">
              <w:rPr>
                <w:rFonts w:ascii="Times New Roman" w:hAnsi="Times New Roman" w:cs="Times New Roman"/>
              </w:rPr>
              <w:t xml:space="preserve"> Characteristics of the patients at baseline</w:t>
            </w:r>
          </w:p>
        </w:tc>
      </w:tr>
      <w:tr w:rsidR="00D3048E" w:rsidRPr="00E26E94" w14:paraId="54F61185" w14:textId="77777777" w:rsidTr="00242284">
        <w:trPr>
          <w:trHeight w:val="306"/>
        </w:trPr>
        <w:tc>
          <w:tcPr>
            <w:tcW w:w="4675" w:type="dxa"/>
            <w:tcBorders>
              <w:bottom w:val="nil"/>
              <w:right w:val="nil"/>
            </w:tcBorders>
          </w:tcPr>
          <w:p w14:paraId="4BB6EEDB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Age in years – median (range)</w:t>
            </w:r>
          </w:p>
        </w:tc>
        <w:tc>
          <w:tcPr>
            <w:tcW w:w="1395" w:type="dxa"/>
            <w:tcBorders>
              <w:left w:val="nil"/>
              <w:bottom w:val="nil"/>
            </w:tcBorders>
          </w:tcPr>
          <w:p w14:paraId="43F624FF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61 (40-85)</w:t>
            </w:r>
          </w:p>
        </w:tc>
      </w:tr>
      <w:tr w:rsidR="00D3048E" w:rsidRPr="00E26E94" w14:paraId="519DFEAF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7F0AEEB5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61749C53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</w:p>
        </w:tc>
      </w:tr>
      <w:tr w:rsidR="00D3048E" w:rsidRPr="00E26E94" w14:paraId="7D5FD114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354053F2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Female – no.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</w:tcPr>
          <w:p w14:paraId="7FE1329E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46 (98)</w:t>
            </w:r>
          </w:p>
        </w:tc>
      </w:tr>
      <w:tr w:rsidR="00D3048E" w:rsidRPr="00E26E94" w14:paraId="767E5FD6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5FE4EBDE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Male – no. (5)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6C398A5F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1 (2)</w:t>
            </w:r>
          </w:p>
        </w:tc>
      </w:tr>
      <w:tr w:rsidR="00D3048E" w:rsidRPr="00E26E94" w14:paraId="138173DF" w14:textId="77777777" w:rsidTr="00242284">
        <w:trPr>
          <w:trHeight w:val="306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692F825C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</w:tcPr>
          <w:p w14:paraId="5EA8F9BB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</w:p>
        </w:tc>
      </w:tr>
      <w:tr w:rsidR="00D3048E" w:rsidRPr="00E26E94" w14:paraId="41D6979E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6846EBEE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White – no.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03D5F2F7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39 (83)</w:t>
            </w:r>
          </w:p>
        </w:tc>
      </w:tr>
      <w:tr w:rsidR="00D3048E" w:rsidRPr="00E26E94" w14:paraId="01D6AFAF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6083507A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Black – no.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</w:tcPr>
          <w:p w14:paraId="28B34E7C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5 (11)</w:t>
            </w:r>
          </w:p>
        </w:tc>
      </w:tr>
      <w:tr w:rsidR="00D3048E" w:rsidRPr="00E26E94" w14:paraId="6EECD9A7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241E8EBD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Unknown – no.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4356AB0D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3 (6)</w:t>
            </w:r>
          </w:p>
        </w:tc>
      </w:tr>
      <w:tr w:rsidR="00D3048E" w:rsidRPr="00E26E94" w14:paraId="6C4A54D2" w14:textId="77777777" w:rsidTr="00242284">
        <w:trPr>
          <w:trHeight w:val="306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0F66C3E6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</w:tcPr>
          <w:p w14:paraId="7475F524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</w:p>
        </w:tc>
      </w:tr>
      <w:tr w:rsidR="00D3048E" w:rsidRPr="00E26E94" w14:paraId="1CFC2F7E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7AA4E81C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Hispanic – no.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236962B3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4 (8)</w:t>
            </w:r>
          </w:p>
        </w:tc>
      </w:tr>
      <w:tr w:rsidR="00D3048E" w:rsidRPr="00E26E94" w14:paraId="4A704EAC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11B6ACAC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Non-Hispanic – no.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</w:tcPr>
          <w:p w14:paraId="280B094B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43 (92)</w:t>
            </w:r>
          </w:p>
        </w:tc>
      </w:tr>
      <w:tr w:rsidR="00D3048E" w:rsidRPr="00E26E94" w14:paraId="321623BC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518700D0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Prior Therapy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43370DB8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</w:p>
        </w:tc>
      </w:tr>
      <w:tr w:rsidR="00D3048E" w:rsidRPr="00E26E94" w14:paraId="0B898AC0" w14:textId="77777777" w:rsidTr="00242284">
        <w:trPr>
          <w:trHeight w:val="306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1665BF9D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One prior line – no.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</w:tcPr>
          <w:p w14:paraId="5874951E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32 (70)</w:t>
            </w:r>
          </w:p>
        </w:tc>
      </w:tr>
      <w:tr w:rsidR="00D3048E" w:rsidRPr="00E26E94" w14:paraId="166A6253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369C9BFA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Prior CDK 4/6i – no.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31189073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40 (87)</w:t>
            </w:r>
          </w:p>
        </w:tc>
      </w:tr>
      <w:tr w:rsidR="00D3048E" w:rsidRPr="00E26E94" w14:paraId="7DC0DEC3" w14:textId="77777777" w:rsidTr="00242284">
        <w:trPr>
          <w:trHeight w:val="287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0A4AB5C4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Prior fulvestrant – no.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</w:tcBorders>
          </w:tcPr>
          <w:p w14:paraId="6F2BC8BD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11 (24)</w:t>
            </w:r>
          </w:p>
        </w:tc>
      </w:tr>
      <w:tr w:rsidR="00D3048E" w:rsidRPr="00E26E94" w14:paraId="5A4F2DD3" w14:textId="77777777" w:rsidTr="00242284">
        <w:trPr>
          <w:trHeight w:val="287"/>
        </w:trPr>
        <w:tc>
          <w:tcPr>
            <w:tcW w:w="4675" w:type="dxa"/>
            <w:tcBorders>
              <w:top w:val="nil"/>
              <w:right w:val="nil"/>
            </w:tcBorders>
            <w:shd w:val="clear" w:color="auto" w:fill="E8E8E8" w:themeFill="background2"/>
          </w:tcPr>
          <w:p w14:paraId="6B2ED274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 xml:space="preserve">    Prior chemotherapy – no. (%)</w:t>
            </w:r>
          </w:p>
        </w:tc>
        <w:tc>
          <w:tcPr>
            <w:tcW w:w="1395" w:type="dxa"/>
            <w:tcBorders>
              <w:top w:val="nil"/>
              <w:left w:val="nil"/>
            </w:tcBorders>
            <w:shd w:val="clear" w:color="auto" w:fill="E8E8E8" w:themeFill="background2"/>
          </w:tcPr>
          <w:p w14:paraId="7E4C9077" w14:textId="77777777" w:rsidR="00D3048E" w:rsidRPr="00E26E94" w:rsidRDefault="00D3048E" w:rsidP="00242284">
            <w:pPr>
              <w:rPr>
                <w:rFonts w:ascii="Times New Roman" w:hAnsi="Times New Roman" w:cs="Times New Roman"/>
              </w:rPr>
            </w:pPr>
            <w:r w:rsidRPr="00E26E94">
              <w:rPr>
                <w:rFonts w:ascii="Times New Roman" w:hAnsi="Times New Roman" w:cs="Times New Roman"/>
              </w:rPr>
              <w:t>1 (2)</w:t>
            </w:r>
          </w:p>
        </w:tc>
      </w:tr>
    </w:tbl>
    <w:p w14:paraId="2A9DD697" w14:textId="77777777" w:rsidR="00D3048E" w:rsidRDefault="00D3048E" w:rsidP="00D3048E">
      <w:pPr>
        <w:rPr>
          <w:rFonts w:ascii="Times New Roman" w:hAnsi="Times New Roman" w:cs="Times New Roman"/>
        </w:rPr>
      </w:pPr>
    </w:p>
    <w:p w14:paraId="037A2ADC" w14:textId="2EB21D70" w:rsidR="00D3048E" w:rsidRPr="00E26E94" w:rsidRDefault="00D3048E" w:rsidP="00D3048E">
      <w:pPr>
        <w:rPr>
          <w:rFonts w:ascii="Times New Roman" w:hAnsi="Times New Roman" w:cs="Times New Roman"/>
        </w:rPr>
        <w:sectPr w:rsidR="00D3048E" w:rsidRPr="00E26E94" w:rsidSect="00D3048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0"/>
        <w:gridCol w:w="2253"/>
        <w:gridCol w:w="2163"/>
      </w:tblGrid>
      <w:tr w:rsidR="00D3048E" w14:paraId="0435F167" w14:textId="77777777" w:rsidTr="00242284">
        <w:tc>
          <w:tcPr>
            <w:tcW w:w="9350" w:type="dxa"/>
            <w:gridSpan w:val="3"/>
            <w:shd w:val="clear" w:color="auto" w:fill="ADADAD" w:themeFill="background2" w:themeFillShade="BF"/>
          </w:tcPr>
          <w:p w14:paraId="00CAEEC0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Table 2. </w:t>
            </w:r>
            <w:r w:rsidRPr="00C90B66">
              <w:rPr>
                <w:rFonts w:ascii="Times New Roman" w:hAnsi="Times New Roman" w:cs="Times New Roman"/>
              </w:rPr>
              <w:t>Drug related adverse events during treatment period</w:t>
            </w:r>
          </w:p>
        </w:tc>
      </w:tr>
      <w:tr w:rsidR="00D3048E" w14:paraId="1068E660" w14:textId="77777777" w:rsidTr="00242284">
        <w:tc>
          <w:tcPr>
            <w:tcW w:w="4765" w:type="dxa"/>
            <w:tcBorders>
              <w:bottom w:val="nil"/>
              <w:right w:val="nil"/>
            </w:tcBorders>
          </w:tcPr>
          <w:p w14:paraId="247AB1FF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 xml:space="preserve">Event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0B3DBE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Any Grade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4C5BC1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 xml:space="preserve">Grade </w:t>
            </w:r>
            <w:r w:rsidRPr="00C90B66">
              <w:rPr>
                <w:rFonts w:ascii="Times New Roman" w:hAnsi="Times New Roman" w:cs="Times New Roman"/>
                <w:color w:val="474747"/>
                <w:sz w:val="21"/>
                <w:szCs w:val="21"/>
                <w:shd w:val="clear" w:color="auto" w:fill="FFFFFF"/>
              </w:rPr>
              <w:t>≥</w:t>
            </w:r>
            <w:r w:rsidRPr="00C90B66">
              <w:rPr>
                <w:rFonts w:ascii="Times New Roman" w:hAnsi="Times New Roman" w:cs="Times New Roman"/>
              </w:rPr>
              <w:t>3</w:t>
            </w:r>
          </w:p>
        </w:tc>
      </w:tr>
      <w:tr w:rsidR="00D3048E" w14:paraId="0B5FA691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235AB835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59A018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Number of patients (percent)</w:t>
            </w:r>
          </w:p>
        </w:tc>
      </w:tr>
      <w:tr w:rsidR="00D3048E" w14:paraId="48731E0A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6F85C717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Alanine aminotransferase increased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A33A2F4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12 (25.5)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29FF7689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</w:tr>
      <w:tr w:rsidR="00D3048E" w14:paraId="6D0A32BF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03544F49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Alkaline phosphatase increased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4725B57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9 (19.1)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26FECF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7C03F047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3B49CAA3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Anemia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18EFB5CB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4 (8.5)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3F1DF9C6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</w:tr>
      <w:tr w:rsidR="00D3048E" w14:paraId="693058A6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3E25BB58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Arthralgia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890FA02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4 (8.5)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D3ECCC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</w:tr>
      <w:tr w:rsidR="00D3048E" w14:paraId="7846D722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7EC5D2F5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Aspartate aminotransferase increased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063B0E79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15 (31.9)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22A6E90A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</w:tr>
      <w:tr w:rsidR="00D3048E" w14:paraId="1CB97BA7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50B81D86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Diarrhea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251865B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9 (19.1)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9C2162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1D0962D2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12C98159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Fatigue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773F857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14 (29.8)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170B069D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402F669B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0C20C518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Hot Flashes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035E30A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3 (6.4)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53CEC0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181DAE0D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75800D64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Hyperglycemia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4C8EA14D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6 (12.8)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16CED713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416CDBBB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45AADA66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Hypocalcemia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689654E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5 (10.6)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002A8B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</w:tr>
      <w:tr w:rsidR="00D3048E" w14:paraId="05EFC470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0836687B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Hypokalemia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2A52FE77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5 (10.6)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4CF8F585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4A71A01B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5A4FBD59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Hypothyroidism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01FF62B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8 (17.0)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33AC9C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439D7951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041817EF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Injection site Reaction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2B5AE36C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2 (4.3)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58D37788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0D97AF43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0B43FB42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Lymphopenia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A0ADCDB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8 (17.0)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C79B25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</w:tr>
      <w:tr w:rsidR="00D3048E" w14:paraId="739F17C1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0F2B687F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Diabetic ketoacidosis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0F548ABC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395B036C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</w:tr>
      <w:tr w:rsidR="00D3048E" w14:paraId="6D8E2B24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395F38EE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Nausea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517D902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6 (12.8)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ECCD56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46962BF9" w14:textId="77777777" w:rsidTr="00242284">
        <w:trPr>
          <w:trHeight w:val="260"/>
        </w:trPr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0219E830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Neutropenia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36ED2053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2 (4.3)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41FDF469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3850B76E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0A21C268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Pain in Extremity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C2BC62E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4 (8.5)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5EA79B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7431FFB6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0B99D3CD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Pneumonitis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275F14F9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05B46276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2937000A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3D2BE7D2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Prurit</w:t>
            </w:r>
            <w:r>
              <w:rPr>
                <w:rFonts w:ascii="Times New Roman" w:hAnsi="Times New Roman" w:cs="Times New Roman"/>
              </w:rPr>
              <w:t>u</w:t>
            </w:r>
            <w:r w:rsidRPr="00C90B6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869431F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6 (12.8)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40E250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  <w:tr w:rsidR="00D3048E" w14:paraId="5465DCD3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3E094577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Rash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04BACB2A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8 (17.0)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8E8E8" w:themeFill="background2"/>
          </w:tcPr>
          <w:p w14:paraId="0D10B113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</w:tr>
      <w:tr w:rsidR="00D3048E" w14:paraId="277780DD" w14:textId="77777777" w:rsidTr="00242284"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62D569F6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Weight loss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04EDE01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2 (4.3)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A7ABD2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1 (2.1)</w:t>
            </w:r>
          </w:p>
        </w:tc>
      </w:tr>
      <w:tr w:rsidR="00D3048E" w14:paraId="23EC9D21" w14:textId="77777777" w:rsidTr="00242284">
        <w:tc>
          <w:tcPr>
            <w:tcW w:w="4765" w:type="dxa"/>
            <w:tcBorders>
              <w:top w:val="nil"/>
              <w:right w:val="nil"/>
            </w:tcBorders>
            <w:shd w:val="clear" w:color="auto" w:fill="E8E8E8" w:themeFill="background2"/>
          </w:tcPr>
          <w:p w14:paraId="2E977581" w14:textId="77777777" w:rsidR="00D3048E" w:rsidRPr="00C90B66" w:rsidRDefault="00D3048E" w:rsidP="00242284">
            <w:pPr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Leukopenia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038399D4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4 (8.5)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AB103D3" w14:textId="77777777" w:rsidR="00D3048E" w:rsidRPr="00C90B66" w:rsidRDefault="00D3048E" w:rsidP="00242284">
            <w:pPr>
              <w:jc w:val="center"/>
              <w:rPr>
                <w:rFonts w:ascii="Times New Roman" w:hAnsi="Times New Roman" w:cs="Times New Roman"/>
              </w:rPr>
            </w:pPr>
            <w:r w:rsidRPr="00C90B66">
              <w:rPr>
                <w:rFonts w:ascii="Times New Roman" w:hAnsi="Times New Roman" w:cs="Times New Roman"/>
              </w:rPr>
              <w:t>-</w:t>
            </w:r>
          </w:p>
        </w:tc>
      </w:tr>
    </w:tbl>
    <w:p w14:paraId="4754CEE8" w14:textId="77777777" w:rsidR="00D3048E" w:rsidRPr="00E26E94" w:rsidRDefault="00D3048E" w:rsidP="00D3048E">
      <w:pPr>
        <w:rPr>
          <w:rFonts w:ascii="Times New Roman" w:hAnsi="Times New Roman" w:cs="Times New Roman"/>
        </w:rPr>
      </w:pPr>
    </w:p>
    <w:p w14:paraId="1B9284E8" w14:textId="77777777" w:rsidR="00D3048E" w:rsidRPr="00E26E94" w:rsidRDefault="00D3048E" w:rsidP="00D3048E">
      <w:pPr>
        <w:rPr>
          <w:rFonts w:ascii="Times New Roman" w:hAnsi="Times New Roman" w:cs="Times New Roman"/>
        </w:rPr>
      </w:pPr>
      <w:r w:rsidRPr="00E26E94">
        <w:rPr>
          <w:rFonts w:ascii="Times New Roman" w:hAnsi="Times New Roman" w:cs="Times New Roman"/>
        </w:rPr>
        <w:br w:type="page"/>
      </w:r>
    </w:p>
    <w:p w14:paraId="0F17299D" w14:textId="77777777" w:rsidR="00D3048E" w:rsidRPr="00E26E94" w:rsidRDefault="00D3048E" w:rsidP="00D3048E">
      <w:pPr>
        <w:rPr>
          <w:rFonts w:ascii="Times New Roman" w:hAnsi="Times New Roman" w:cs="Times New Roman"/>
        </w:rPr>
      </w:pPr>
    </w:p>
    <w:p w14:paraId="06A417DF" w14:textId="77777777" w:rsidR="00D3048E" w:rsidRPr="00E26E94" w:rsidRDefault="00D3048E" w:rsidP="00D3048E">
      <w:pPr>
        <w:rPr>
          <w:rFonts w:ascii="Times New Roman" w:hAnsi="Times New Roman" w:cs="Times New Roman"/>
        </w:rPr>
      </w:pPr>
    </w:p>
    <w:p w14:paraId="60348374" w14:textId="77777777" w:rsidR="00D3048E" w:rsidRPr="00E26E94" w:rsidRDefault="00D3048E" w:rsidP="00D3048E">
      <w:pPr>
        <w:rPr>
          <w:rFonts w:ascii="Times New Roman" w:hAnsi="Times New Roman" w:cs="Times New Roman"/>
        </w:rPr>
      </w:pPr>
    </w:p>
    <w:p w14:paraId="59A3D0E1" w14:textId="77777777" w:rsidR="00D3048E" w:rsidRPr="00E26E94" w:rsidRDefault="00D3048E" w:rsidP="00D3048E">
      <w:pPr>
        <w:rPr>
          <w:rFonts w:ascii="Times New Roman" w:hAnsi="Times New Roman" w:cs="Times New Roman"/>
        </w:rPr>
      </w:pPr>
    </w:p>
    <w:p w14:paraId="4F57F077" w14:textId="6667C0E0" w:rsidR="00D3048E" w:rsidRDefault="00D3048E" w:rsidP="00D3048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4"/>
        <w:gridCol w:w="3003"/>
        <w:gridCol w:w="3019"/>
      </w:tblGrid>
      <w:tr w:rsidR="00D3048E" w:rsidRPr="00E65D70" w14:paraId="4C4ABD20" w14:textId="77777777" w:rsidTr="00242284">
        <w:tc>
          <w:tcPr>
            <w:tcW w:w="9350" w:type="dxa"/>
            <w:gridSpan w:val="3"/>
            <w:tcBorders>
              <w:bottom w:val="single" w:sz="4" w:space="0" w:color="auto"/>
            </w:tcBorders>
            <w:shd w:val="clear" w:color="auto" w:fill="ADADAD" w:themeFill="background2" w:themeFillShade="BF"/>
          </w:tcPr>
          <w:p w14:paraId="7BB0E4E9" w14:textId="77777777" w:rsidR="00D3048E" w:rsidRPr="00E65D70" w:rsidRDefault="00D3048E" w:rsidP="00242284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Table 3. </w:t>
            </w: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Response by genomic alteration</w:t>
            </w:r>
          </w:p>
        </w:tc>
      </w:tr>
      <w:tr w:rsidR="00D3048E" w:rsidRPr="00E65D70" w14:paraId="03501360" w14:textId="77777777" w:rsidTr="00242284">
        <w:tc>
          <w:tcPr>
            <w:tcW w:w="3116" w:type="dxa"/>
            <w:tcBorders>
              <w:bottom w:val="nil"/>
              <w:right w:val="nil"/>
            </w:tcBorders>
          </w:tcPr>
          <w:p w14:paraId="6A463F7A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Gene Alteration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23FE16C5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Responders</w:t>
            </w:r>
            <w:r w:rsidRPr="008261BD">
              <w:rPr>
                <w:rFonts w:ascii="Times New Roman" w:eastAsia="Times New Roman" w:hAnsi="Times New Roman" w:cs="Times New Roman"/>
                <w:bCs/>
                <w:color w:val="000000" w:themeColor="text1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(n)</w:t>
            </w:r>
          </w:p>
        </w:tc>
        <w:tc>
          <w:tcPr>
            <w:tcW w:w="3117" w:type="dxa"/>
            <w:tcBorders>
              <w:left w:val="nil"/>
              <w:bottom w:val="nil"/>
            </w:tcBorders>
          </w:tcPr>
          <w:p w14:paraId="65BC492C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Nonresponders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(n)</w:t>
            </w:r>
          </w:p>
        </w:tc>
      </w:tr>
      <w:tr w:rsidR="00D3048E" w:rsidRPr="00E65D70" w14:paraId="6D9EB5D7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3203FD0D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ATM***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E0FB7E3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1C0E59FB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0</w:t>
            </w:r>
          </w:p>
        </w:tc>
      </w:tr>
      <w:tr w:rsidR="00D3048E" w:rsidRPr="00E65D70" w14:paraId="4965F81A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</w:tcPr>
          <w:p w14:paraId="7CB2FA21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BRCA2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7932BC18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</w:tcPr>
          <w:p w14:paraId="2A66EB84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1</w:t>
            </w:r>
          </w:p>
        </w:tc>
      </w:tr>
      <w:tr w:rsidR="00D3048E" w:rsidRPr="00E65D70" w14:paraId="1CEB0AA1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67EBCC6B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CDH1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C0E0FF1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2286800C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3</w:t>
            </w:r>
          </w:p>
        </w:tc>
      </w:tr>
      <w:tr w:rsidR="00D3048E" w:rsidRPr="00E65D70" w14:paraId="7957795D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</w:tcPr>
          <w:p w14:paraId="000373CC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CDKN2A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1F7DFA28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</w:tcPr>
          <w:p w14:paraId="3EF287FB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1</w:t>
            </w:r>
          </w:p>
        </w:tc>
      </w:tr>
      <w:tr w:rsidR="00D3048E" w:rsidRPr="00E65D70" w14:paraId="7A9E8C5F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2BD7F0C1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ESR1*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163BDB48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1158115B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</w:t>
            </w:r>
          </w:p>
        </w:tc>
      </w:tr>
      <w:tr w:rsidR="00D3048E" w:rsidRPr="00E65D70" w14:paraId="1E6D1617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</w:tcPr>
          <w:p w14:paraId="2F7C212F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GATA3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4811C78A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</w:tcPr>
          <w:p w14:paraId="6D20CD33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</w:t>
            </w:r>
          </w:p>
        </w:tc>
      </w:tr>
      <w:tr w:rsidR="00D3048E" w:rsidRPr="00E65D70" w14:paraId="5A7651EE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59F52DDF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KMT2C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2DEDA2B9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10885D77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0</w:t>
            </w:r>
          </w:p>
        </w:tc>
      </w:tr>
      <w:tr w:rsidR="00D3048E" w:rsidRPr="00E65D70" w14:paraId="32CF5C94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</w:tcPr>
          <w:p w14:paraId="0831FE0B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PIK3CA**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00EB92AA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</w:tcPr>
          <w:p w14:paraId="68662CBE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3</w:t>
            </w:r>
          </w:p>
        </w:tc>
      </w:tr>
      <w:tr w:rsidR="00D3048E" w:rsidRPr="00E65D70" w14:paraId="3C047FAC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581F59C1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PPM1D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45C31F99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E8E8E8" w:themeFill="background2"/>
          </w:tcPr>
          <w:p w14:paraId="69A00C4B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0</w:t>
            </w:r>
          </w:p>
        </w:tc>
      </w:tr>
      <w:tr w:rsidR="00D3048E" w:rsidRPr="00E65D70" w14:paraId="419173A6" w14:textId="77777777" w:rsidTr="00242284">
        <w:tc>
          <w:tcPr>
            <w:tcW w:w="3116" w:type="dxa"/>
            <w:tcBorders>
              <w:top w:val="nil"/>
              <w:bottom w:val="nil"/>
              <w:right w:val="nil"/>
            </w:tcBorders>
          </w:tcPr>
          <w:p w14:paraId="13A2CEF1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RSP6KB1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67E9A4C7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</w:tcPr>
          <w:p w14:paraId="09634D19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0</w:t>
            </w:r>
          </w:p>
        </w:tc>
      </w:tr>
      <w:tr w:rsidR="00D3048E" w:rsidRPr="00E65D70" w14:paraId="178E834C" w14:textId="77777777" w:rsidTr="00242284">
        <w:tc>
          <w:tcPr>
            <w:tcW w:w="3116" w:type="dxa"/>
            <w:tcBorders>
              <w:top w:val="nil"/>
              <w:right w:val="nil"/>
            </w:tcBorders>
            <w:shd w:val="clear" w:color="auto" w:fill="E8E8E8" w:themeFill="background2"/>
          </w:tcPr>
          <w:p w14:paraId="040E90A8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TP53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  <w:shd w:val="clear" w:color="auto" w:fill="E8E8E8" w:themeFill="background2"/>
          </w:tcPr>
          <w:p w14:paraId="3DD03F58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7</w:t>
            </w:r>
          </w:p>
        </w:tc>
        <w:tc>
          <w:tcPr>
            <w:tcW w:w="3117" w:type="dxa"/>
            <w:tcBorders>
              <w:top w:val="nil"/>
              <w:left w:val="nil"/>
            </w:tcBorders>
            <w:shd w:val="clear" w:color="auto" w:fill="E8E8E8" w:themeFill="background2"/>
          </w:tcPr>
          <w:p w14:paraId="791AE34A" w14:textId="77777777" w:rsidR="00D3048E" w:rsidRPr="008C364B" w:rsidRDefault="00D3048E" w:rsidP="002422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5</w:t>
            </w:r>
          </w:p>
        </w:tc>
      </w:tr>
      <w:tr w:rsidR="00D3048E" w:rsidRPr="00E65D70" w14:paraId="52BFBC15" w14:textId="77777777" w:rsidTr="00242284">
        <w:tc>
          <w:tcPr>
            <w:tcW w:w="9350" w:type="dxa"/>
            <w:gridSpan w:val="3"/>
          </w:tcPr>
          <w:p w14:paraId="514FC65C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*</w:t>
            </w:r>
            <w:proofErr w:type="gramStart"/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although</w:t>
            </w:r>
            <w:proofErr w:type="gramEnd"/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9 instances of ESR1 mutations were identified, one patient had 2 unique ESR1 mutations noted on the same NGS report </w:t>
            </w:r>
          </w:p>
          <w:p w14:paraId="7C79A9C2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**although 5 instances of PIK3CA mutations were identified, one patient had 2 unique PIK3CA mutations noted on the same NGS report. </w:t>
            </w:r>
          </w:p>
          <w:p w14:paraId="62727EB8" w14:textId="77777777" w:rsidR="00D3048E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*** </w:t>
            </w:r>
            <w:proofErr w:type="gramStart"/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although</w:t>
            </w:r>
            <w:proofErr w:type="gramEnd"/>
            <w:r w:rsidRPr="008C364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3 instances of ATM mutations were identified, one patient had 2 unique ATM mutations noted on the same NGS report. </w:t>
            </w:r>
          </w:p>
          <w:p w14:paraId="5D7453CD" w14:textId="77777777" w:rsidR="00D3048E" w:rsidRPr="008C364B" w:rsidRDefault="00D3048E" w:rsidP="0024228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+Responders are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patient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who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had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a </w:t>
            </w:r>
            <w:r w:rsidRPr="00E65D70">
              <w:rPr>
                <w:rFonts w:ascii="Times New Roman" w:eastAsia="Times New Roman" w:hAnsi="Times New Roman" w:cs="Times New Roman"/>
                <w:color w:val="000000" w:themeColor="text1"/>
              </w:rPr>
              <w:t>complete response, partial response, or stable disease for a minimum of four months</w:t>
            </w:r>
          </w:p>
        </w:tc>
      </w:tr>
    </w:tbl>
    <w:p w14:paraId="209F5EF4" w14:textId="77777777" w:rsidR="00D3048E" w:rsidRDefault="00D3048E" w:rsidP="00D3048E">
      <w:pPr>
        <w:rPr>
          <w:rFonts w:ascii="Times New Roman" w:hAnsi="Times New Roman" w:cs="Times New Roman"/>
        </w:rPr>
      </w:pPr>
    </w:p>
    <w:sectPr w:rsidR="00D304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8E"/>
    <w:rsid w:val="000A4D5A"/>
    <w:rsid w:val="00251082"/>
    <w:rsid w:val="005B16F5"/>
    <w:rsid w:val="00777074"/>
    <w:rsid w:val="00840F3F"/>
    <w:rsid w:val="00976316"/>
    <w:rsid w:val="00A444D6"/>
    <w:rsid w:val="00AF17F3"/>
    <w:rsid w:val="00D3048E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BC97E"/>
  <w15:chartTrackingRefBased/>
  <w15:docId w15:val="{92E39741-2330-4ED6-BF83-526B5C96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48E"/>
  </w:style>
  <w:style w:type="paragraph" w:styleId="Heading1">
    <w:name w:val="heading 1"/>
    <w:basedOn w:val="Normal"/>
    <w:next w:val="Normal"/>
    <w:link w:val="Heading1Char"/>
    <w:uiPriority w:val="9"/>
    <w:qFormat/>
    <w:rsid w:val="00D304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4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4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4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4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4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4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4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4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4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4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4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4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4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4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4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4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4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4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4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4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0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2026-10-23T14:16:00Z</dcterms:created>
  <dcterms:modified xsi:type="dcterms:W3CDTF">2026-10-23T14:18:00Z</dcterms:modified>
</cp:coreProperties>
</file>