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85AE5AB" w14:textId="77777777" w:rsidR="003826A6" w:rsidRPr="00A16E3A" w:rsidRDefault="003826A6" w:rsidP="003826A6">
      <w:pPr>
        <w:pStyle w:val="Titre"/>
        <w:rPr>
          <w:rFonts w:ascii="Times New Roman" w:hAnsi="Times New Roman" w:cs="Times New Roman"/>
          <w:sz w:val="36"/>
        </w:rPr>
      </w:pPr>
      <w:r w:rsidRPr="00A16E3A">
        <w:rPr>
          <w:rFonts w:ascii="Times New Roman" w:hAnsi="Times New Roman" w:cs="Times New Roman"/>
          <w:b/>
          <w:sz w:val="36"/>
        </w:rPr>
        <w:t>Additional file 1 – Supplementary statistical methods, tables, and figures</w:t>
      </w:r>
    </w:p>
    <w:p w14:paraId="255BBC54" w14:textId="77777777" w:rsidR="00D3532F" w:rsidRPr="00A16E3A" w:rsidRDefault="00D3532F" w:rsidP="00471581">
      <w:pPr>
        <w:spacing w:line="276" w:lineRule="auto"/>
        <w:rPr>
          <w:rFonts w:eastAsiaTheme="majorEastAsia"/>
          <w:b/>
          <w:spacing w:val="-10"/>
          <w:kern w:val="28"/>
          <w:sz w:val="56"/>
          <w:szCs w:val="56"/>
        </w:rPr>
      </w:pPr>
      <w:bookmarkStart w:id="0" w:name="_Hlk240473406"/>
      <w:r w:rsidRPr="00A16E3A">
        <w:rPr>
          <w:rFonts w:eastAsiaTheme="majorEastAsia"/>
          <w:b/>
          <w:spacing w:val="-10"/>
          <w:kern w:val="28"/>
          <w:sz w:val="56"/>
          <w:szCs w:val="56"/>
        </w:rPr>
        <w:t>Laparoscopy-first Hartmann strategy for generalized diverticular peritonitis: a national multicenter overlap-weighted cohort study</w:t>
      </w:r>
    </w:p>
    <w:bookmarkEnd w:id="0"/>
    <w:p w14:paraId="718B0851" w14:textId="77777777" w:rsidR="003826A6" w:rsidRPr="00A16E3A" w:rsidRDefault="003826A6" w:rsidP="003826A6">
      <w:r w:rsidRPr="00A16E3A">
        <w:rPr>
          <w:b/>
        </w:rPr>
        <w:t>Study:</w:t>
      </w:r>
      <w:r w:rsidRPr="00A16E3A">
        <w:t xml:space="preserve"> French national multicenter retrospective cohort of emergency surgery for Hinchey III–IV generalized diverticular peritonitis</w:t>
      </w:r>
      <w:r w:rsidRPr="00A16E3A">
        <w:br/>
      </w:r>
      <w:r w:rsidRPr="00A16E3A">
        <w:rPr>
          <w:b/>
        </w:rPr>
        <w:t>Primary comparison:</w:t>
      </w:r>
      <w:r w:rsidRPr="00A16E3A">
        <w:t xml:space="preserve"> laparoscopy-first Hartmann strategy, with conversions retained, versus protected resection-anastomosis performed by a laparoscopic or open approach</w:t>
      </w:r>
      <w:r w:rsidRPr="00A16E3A">
        <w:br/>
      </w:r>
      <w:r w:rsidRPr="00A16E3A">
        <w:rPr>
          <w:b/>
        </w:rPr>
        <w:t xml:space="preserve">Primary </w:t>
      </w:r>
      <w:proofErr w:type="spellStart"/>
      <w:r w:rsidRPr="00A16E3A">
        <w:rPr>
          <w:b/>
        </w:rPr>
        <w:t>estimand</w:t>
      </w:r>
      <w:proofErr w:type="spellEnd"/>
      <w:r w:rsidRPr="00A16E3A">
        <w:rPr>
          <w:b/>
        </w:rPr>
        <w:t>:</w:t>
      </w:r>
      <w:r w:rsidRPr="00A16E3A">
        <w:t xml:space="preserve"> 12-month absolute difference in the cumulative incidence of recorded stoma closure before death in the measured clinical overlap population</w:t>
      </w:r>
    </w:p>
    <w:p w14:paraId="7DCAF1B3" w14:textId="77777777" w:rsidR="003826A6" w:rsidRPr="00A16E3A" w:rsidRDefault="003826A6" w:rsidP="003826A6">
      <w:pPr>
        <w:pStyle w:val="Corpsdetexte"/>
      </w:pPr>
      <w:r w:rsidRPr="00A16E3A">
        <w:t>This supplement reports the complete statistical specification, diagnostics, supportive estimates, sensitivity analyses, and reproducibility information.</w:t>
      </w:r>
    </w:p>
    <w:p w14:paraId="6DA75DFB" w14:textId="77777777" w:rsidR="003826A6" w:rsidRPr="00A16E3A" w:rsidRDefault="003826A6" w:rsidP="003826A6">
      <w:r w:rsidRPr="00A16E3A">
        <w:br w:type="page"/>
      </w:r>
    </w:p>
    <w:p w14:paraId="48CD4D0F" w14:textId="77777777" w:rsidR="003826A6" w:rsidRPr="00A16E3A" w:rsidRDefault="003826A6" w:rsidP="003826A6">
      <w:pPr>
        <w:pStyle w:val="Titre1"/>
        <w:rPr>
          <w:rFonts w:ascii="Times New Roman" w:hAnsi="Times New Roman" w:cs="Times New Roman"/>
        </w:rPr>
      </w:pPr>
      <w:bookmarkStart w:id="1" w:name="supplementary-statistical-methods"/>
      <w:r w:rsidRPr="00A16E3A">
        <w:rPr>
          <w:rFonts w:ascii="Times New Roman" w:hAnsi="Times New Roman" w:cs="Times New Roman"/>
        </w:rPr>
        <w:lastRenderedPageBreak/>
        <w:t>Supplementary Statistical Methods</w:t>
      </w:r>
    </w:p>
    <w:p w14:paraId="0712216D" w14:textId="77777777" w:rsidR="003826A6" w:rsidRPr="00A16E3A" w:rsidRDefault="003826A6" w:rsidP="003826A6">
      <w:pPr>
        <w:pStyle w:val="Titre2"/>
        <w:rPr>
          <w:rFonts w:ascii="Times New Roman" w:hAnsi="Times New Roman" w:cs="Times New Roman"/>
        </w:rPr>
      </w:pPr>
      <w:bookmarkStart w:id="2" w:name="study-groups-outcomes-and-estimands"/>
      <w:r w:rsidRPr="00A16E3A">
        <w:rPr>
          <w:rFonts w:ascii="Times New Roman" w:hAnsi="Times New Roman" w:cs="Times New Roman"/>
        </w:rPr>
        <w:t xml:space="preserve">Study groups, outcomes, and </w:t>
      </w:r>
      <w:proofErr w:type="spellStart"/>
      <w:r w:rsidRPr="00A16E3A">
        <w:rPr>
          <w:rFonts w:ascii="Times New Roman" w:hAnsi="Times New Roman" w:cs="Times New Roman"/>
        </w:rPr>
        <w:t>estimands</w:t>
      </w:r>
      <w:proofErr w:type="spellEnd"/>
    </w:p>
    <w:p w14:paraId="5D99186E" w14:textId="77777777" w:rsidR="003826A6" w:rsidRPr="00A16E3A" w:rsidRDefault="003826A6" w:rsidP="003826A6">
      <w:r w:rsidRPr="00A16E3A">
        <w:t>The analysis included patients undergoing emergency surgery for sigmoid diverticulitis with Hinchey III or IV generalized peritonitis. The exposure was the initially selected operative strategy. The Hartmann group consisted of operations initiated laparoscopically as a Hartmann procedure; conversions to laparotomy remained in that group. The comparison group was patients who underwent protected resection-anastomosis with a diverting stoma, whether initiated laparoscopically or by laparotomy. The primary contrast is between two pragmatic operative strategies and does not isolate the effect of laparoscopy.</w:t>
      </w:r>
    </w:p>
    <w:p w14:paraId="554B18E3" w14:textId="77777777" w:rsidR="003826A6" w:rsidRPr="00A16E3A" w:rsidRDefault="003826A6" w:rsidP="003826A6">
      <w:pPr>
        <w:pStyle w:val="Corpsdetexte"/>
      </w:pPr>
      <w:r w:rsidRPr="00A16E3A">
        <w:t xml:space="preserve">The primary outcome was the first recorded stoma closure after the index operation. Death before closure was treated as a competing event. Time zero was the date of the index operation. Follow-up was administratively restricted to 730 days without creating follow-up time where none was recorded. The prespecified primary </w:t>
      </w:r>
      <w:proofErr w:type="spellStart"/>
      <w:r w:rsidRPr="00A16E3A">
        <w:t>estimand</w:t>
      </w:r>
      <w:proofErr w:type="spellEnd"/>
      <w:r w:rsidRPr="00A16E3A">
        <w:t xml:space="preserve"> was the absolute difference, protected resection-anastomosis minus Hartmann, in the 365-day cumulative incidence of closure in the average treatment effect in the overlap population (ATO). Estimates at 90, 180, and 730 days were supportive. Early postoperative binary outcomes were secondary weighted risk contrasts. </w:t>
      </w:r>
    </w:p>
    <w:p w14:paraId="3D06B001" w14:textId="77777777" w:rsidR="003826A6" w:rsidRPr="00A16E3A" w:rsidRDefault="003826A6" w:rsidP="003826A6">
      <w:pPr>
        <w:pStyle w:val="Titre2"/>
        <w:rPr>
          <w:rFonts w:ascii="Times New Roman" w:hAnsi="Times New Roman" w:cs="Times New Roman"/>
        </w:rPr>
      </w:pPr>
      <w:bookmarkStart w:id="3" w:name="multiple-imputation"/>
      <w:bookmarkEnd w:id="2"/>
      <w:r w:rsidRPr="00A16E3A">
        <w:rPr>
          <w:rFonts w:ascii="Times New Roman" w:hAnsi="Times New Roman" w:cs="Times New Roman"/>
        </w:rPr>
        <w:t>Multiple imputation</w:t>
      </w:r>
    </w:p>
    <w:p w14:paraId="449AF3A6" w14:textId="17556108" w:rsidR="003826A6" w:rsidRPr="00A16E3A" w:rsidRDefault="003826A6" w:rsidP="003826A6">
      <w:r w:rsidRPr="00A16E3A">
        <w:t xml:space="preserve">Missing baseline covariates and the few missing early binary outcomes were handled by multiple imputation by chained equations (MICE), under a missing-at-random (MAR) assumption, using 20 imputed datasets and 15 iterations per chain </w:t>
      </w:r>
      <w:r w:rsidRPr="00A16E3A">
        <w:rPr>
          <w:lang w:val="en-US"/>
        </w:rPr>
        <w:fldChar w:fldCharType="begin"/>
      </w:r>
      <w:r w:rsidR="00FC7EA9" w:rsidRPr="00A16E3A">
        <w:rPr>
          <w:lang w:val="en-US"/>
        </w:rPr>
        <w:instrText xml:space="preserve"> ADDIN ZOTERO_ITEM CSL_CITATION {"citationID":"HCS00001","properties":{"unsorted":false,"formattedCitation":"(1\\uc0\\u8211{}3)","plainCitation":"(1–3)","noteIndex":0},"citationItems":[{"id":1474,"uris":["http://zotero.org/users/6327427/items/SXH3ZGFQ"],"itemData":{"id":1474,"type":"book","citation-key":"rubinMultipleImputationNonresponse1987","DOI":"10.1002/9780470316696","publisher":"John Wiley &amp; Sons","publisher-place":"New York","title":"Multiple imputation for nonresponse in surveys","author":[{"family":"Rubin","given":"Donald B."}],"issued":{"date-parts":[["1987"]]}}},{"id":1030,"uris":["http://zotero.org/users/6327427/items/G98HG5U5"],"itemData":{"id":1030,"type":"article-journal","citation-key":"vanbuuren2011","container-title":"Journal of Statistical Software","DOI":"10.18637/jss.v045.i03","issue":"3","page":"1–67","title":"mice: Multivariate imputation by chained equations in R","volume":"45","author":[{"family":"Buuren","given":"Stef","non-dropping-particle":"van"},{"family":"Groothuis-Oudshoorn","given":"Karin"}],"issued":{"date-parts":[["2011"]]}}},{"id":1591,"uris":["http://zotero.org/users/6327427/items/36NXBTYU"],"itemData":{"id":1591,"type":"article-journal","citation-key":"white2011","container-title":"Statistics in Medicine","DOI":"10.1002/sim.4067","issue":"4","page":"377–399","title":"Multiple imputation using chained equations: Issues and guidance for practice","volume":"30","author":[{"family":"White","given":"Ian R."},{"family":"Royston","given":"Patrick"},{"family":"Wood","given":"Angela M."}],"issued":{"date-parts":[["2011"]]}}}],"schema":"https://github.com/citation-style-language/schema/raw/master/csl-citation.json"} </w:instrText>
      </w:r>
      <w:r w:rsidRPr="00A16E3A">
        <w:rPr>
          <w:lang w:val="en-US"/>
        </w:rPr>
        <w:fldChar w:fldCharType="separate"/>
      </w:r>
      <w:r w:rsidR="00FC7EA9" w:rsidRPr="00A16E3A">
        <w:rPr>
          <w:rFonts w:eastAsiaTheme="minorEastAsia"/>
          <w:bCs w:val="0"/>
          <w:iCs w:val="0"/>
          <w:lang w:val="fr-FR" w:eastAsia="zh-CN"/>
          <w14:ligatures w14:val="standardContextual"/>
        </w:rPr>
        <w:t>(1–3)</w:t>
      </w:r>
      <w:r w:rsidRPr="00A16E3A">
        <w:rPr>
          <w:lang w:val="en-US"/>
        </w:rPr>
        <w:fldChar w:fldCharType="end"/>
      </w:r>
      <w:r w:rsidRPr="00A16E3A">
        <w:t xml:space="preserve">. Age, body mass index, and calendar year were imputed by predictive mean matching; ASA class by proportional-odds regression; and binary variables by classification and regression trees. The early </w:t>
      </w:r>
      <w:r w:rsidRPr="00A16E3A">
        <w:lastRenderedPageBreak/>
        <w:t>outcomes imputed were overall 90-day morbidity, major morbidity, deep abscess, drainage, hemorrhagic complication, transfusion, reoperation, and intensive care admission. Consistency was enforced after each imputation: a specific or major complication could not be positive when overall morbidity was zero.</w:t>
      </w:r>
    </w:p>
    <w:p w14:paraId="0782069E" w14:textId="4BF26498" w:rsidR="003826A6" w:rsidRPr="00A16E3A" w:rsidRDefault="003826A6" w:rsidP="003826A6">
      <w:pPr>
        <w:pStyle w:val="Corpsdetexte"/>
      </w:pPr>
      <w:r w:rsidRPr="00A16E3A">
        <w:t xml:space="preserve">The imputation model contained treatment, center, all prespecified propensity-score covariates, the early binary outcomes, and information from the competing-risk outcome. Before MICE, follow-up was adjudicated and administratively restricted to 730 days. Two cause-specific event indicators (stoma closure and death before closure) and two marginal Nelson–Aalen cumulative-hazard summaries, one for each cause, were constructed and used as auxiliary predictors. This incorporates the association between incomplete covariates and the outcome while respecting censoring and competing events </w:t>
      </w:r>
      <w:r w:rsidRPr="00A16E3A">
        <w:rPr>
          <w:lang w:val="en-US"/>
        </w:rPr>
        <w:fldChar w:fldCharType="begin"/>
      </w:r>
      <w:r w:rsidR="00FC7EA9" w:rsidRPr="00A16E3A">
        <w:rPr>
          <w:lang w:val="en-US"/>
        </w:rPr>
        <w:instrText xml:space="preserve"> ADDIN ZOTERO_ITEM CSL_CITATION {"citationID":"HCS00002","properties":{"unsorted":false,"formattedCitation":"(4,5)","plainCitation":"(4,5)","noteIndex":0},"citationItems":[{"id":1514,"uris":["http://zotero.org/users/6327427/items/9CRVQAXY"],"itemData":{"id":1514,"type":"article-journal","citation-key":"whiteRoyston2009ImputingCox","container-title":"Statistics in Medicine","DOI":"10.1002/sim.3618","issue":"15","language":"english","page":"1982–1998","title":"Imputing missing covariate values for the cox model","volume":"28","author":[{"family":"White","given":"Ian R."},{"family":"Royston","given":"Patrick"}],"issued":{"date-parts":[["2009"]]}}},{"id":1632,"uris":["http://zotero.org/users/6327427/items/2LJRJUNJ"],"itemData":{"id":1632,"type":"article-journal","citation-key":"bartlett2016","container-title":"Biostatistics (Oxford, England)","DOI":"10.1093/biostatistics/kxw019","issue":"4","journalAbbreviation":"Biostatistics","page":"751–763","title":"Missing covariates in competing risks analysis","volume":"17","author":[{"family":"Bartlett","given":"Jonathan W."},{"family":"Taylor","given":"Jeremy M. G."}],"issued":{"date-parts":[["2016"]]}}}],"schema":"https://github.com/citation-style-language/schema/raw/master/csl-citation.json"} </w:instrText>
      </w:r>
      <w:r w:rsidRPr="00A16E3A">
        <w:rPr>
          <w:lang w:val="en-US"/>
        </w:rPr>
        <w:fldChar w:fldCharType="separate"/>
      </w:r>
      <w:r w:rsidR="00FC7EA9" w:rsidRPr="00A16E3A">
        <w:rPr>
          <w:rFonts w:eastAsiaTheme="minorEastAsia"/>
          <w:bCs w:val="0"/>
          <w:iCs w:val="0"/>
          <w:lang w:val="fr-FR" w:eastAsia="zh-CN"/>
          <w14:ligatures w14:val="standardContextual"/>
        </w:rPr>
        <w:t>(4,5)</w:t>
      </w:r>
      <w:r w:rsidRPr="00A16E3A">
        <w:rPr>
          <w:lang w:val="en-US"/>
        </w:rPr>
        <w:fldChar w:fldCharType="end"/>
      </w:r>
      <w:r w:rsidRPr="00A16E3A">
        <w:t>. The 7 patients without usable follow-up were flagged by a separate indicator; their event indicators and hazard summaries were set to zero to note absence of follow-up information. Closure, death, and censoring times were never imputed.</w:t>
      </w:r>
    </w:p>
    <w:p w14:paraId="224490AD" w14:textId="77777777" w:rsidR="003826A6" w:rsidRPr="00A16E3A" w:rsidRDefault="003826A6" w:rsidP="003826A6">
      <w:pPr>
        <w:pStyle w:val="Corpsdetexte"/>
      </w:pPr>
      <w:r w:rsidRPr="00A16E3A">
        <w:t>Treatment, center, complete covariates, and survival auxiliaries were predictors but were not imputed. Center was removed only from the equations for body mass index and previous diverticulitis because deterministic or collinear center indicators destabilized those equations. In the initial-laparoscopy sensitivity analysis, center was additionally removed only from the smoking equation after a center indicator was found to be deterministic in that restricted cohort. No other imputation equation or propensity-score specification was altered, and no unresolved MICE logged events remained.</w:t>
      </w:r>
    </w:p>
    <w:p w14:paraId="3B6EF5F2" w14:textId="4955EDEB" w:rsidR="003826A6" w:rsidRPr="00A16E3A" w:rsidRDefault="003826A6" w:rsidP="003826A6">
      <w:pPr>
        <w:pStyle w:val="Corpsdetexte"/>
      </w:pPr>
      <w:r w:rsidRPr="00A16E3A">
        <w:t xml:space="preserve">Imputation and construction of the competing-risk auxiliaries were repeated separately in the full cohort and in each restricted sensitivity cohort. Propensity-score estimation and all subsequent analyses were performed separately in every imputed dataset (the “within” approach), as recommended for propensity-score analyses with partially observed covariates </w:t>
      </w:r>
      <w:r w:rsidRPr="00A16E3A">
        <w:rPr>
          <w:lang w:val="en-US"/>
        </w:rPr>
        <w:fldChar w:fldCharType="begin"/>
      </w:r>
      <w:r w:rsidR="00FC7EA9" w:rsidRPr="00A16E3A">
        <w:rPr>
          <w:lang w:val="en-US"/>
        </w:rPr>
        <w:instrText xml:space="preserve"> ADDIN ZOTERO_ITEM CSL_CITATION {"citationID":"HCS00003","properties":{"unsorted":false,"formattedCitation":"(6\\uc0\\u8211{}8)","plainCitation":"(6–8)","noteIndex":0},"citationItems":[{"id":1484,"uris":["http://zotero.org/users/6327427/items/372L9YPH"],"itemData":{"id":1484,"type":"article-journal","citation-key":"leyrat2019","container-title":"Statistical Methods in Medical Research","DOI":"10.1177/0962280217713032","issue":"1","page":"3–19","title":"Propensity score analysis with partially observed covariates: how should multiple imputation be used?","volume":"28","author":[{"family":"Leyrat","given":"Clémence"},{"family":"Seaman","given":"Shaun R."},{"family":"White","given":"Ian R."},{"literal":"others"}],"issued":{"date-parts":[["2019"]]}}},{"id":999,"uris":["http://zotero.org/users/6327427/items/EDS2YI63"],"itemData":{"id":999,"type":"article-journal","abstract":"Overcoming bias due to confounding and missing data is challenging when analyzing observational data. Propensity scores are commonly used to account for the first problem and multiple imputation for the latter. Unfortunately, it is not known how best to proceed when both techniques are required. We investigate whether two different approaches to combining propensity scores and multiple imputation (Across and Within) lead to differences in the accuracy or precision of exposure effect estimates. Both approaches start by imputing missing values multiple times. Propensity scores are then estimated for each resulting dataset. Using the Across approach, the mean propensity score across imputations for each subject is used in a single subsequent analysis. Alternatively, the Within approach uses propensity scores individually to obtain exposure effect estimates in each imputation, which are combined to produce an overall estimate. These approaches were compared in a series of Monte Carlo simulations and applied to data from the British Society for Rheumatology Biologics Register. Results indicated that the Within approach produced unbiased estimates with appropriate confidence intervals, whereas the Across approach produced biased results and unrealistic confidence intervals. Researchers are encouraged to implement the Within approach when conducting propensity score analyses with incomplete data.","citation-key":"granger2019","container-title":"Statistics in Medicine","DOI":"10.1002/sim.8355","ISSN":"0277-6715","issue":"26","journalAbbreviation":"Stat Med","page":"5120-5132","PMID":"31512265","PMCID":"PMC6856837","source":"PubMed Central","title":"Avoiding pitfalls when combining multiple imputation and propensity scores","URL":"https://pmc.ncbi.nlm.nih.gov/articles/PMC6856837/","volume":"38","author":[{"family":"Granger","given":"Emily"},{"family":"Sergeant","given":"Jamie C."},{"family":"Lunt","given":"Mark"}],"accessed":{"date-parts":[["2026",3,17]]},"issued":{"date-parts":[["2019",11,20]]}}},{"id":991,"uris":["http://zotero.org/users/6327427/items/PUZ82LSB"],"itemData":{"id":991,"type":"article-journal","abstract":"Balancing the distributions of the confounders across the exposure levels in an observational study through matching or weighting is an accepted method to control for confounding due to these variables when estimating the association between an exposure and outcome and reducing the degree of dependence on certain modeling assumptions. Despite the increasing popularity in practice, these procedures cannot be immediately applied to datasets with missing values. Multiple imputation of the missing data is a popular approach to account for missing values while preserving the number of units in the dataset and accounting for the uncertainty in the missing values. However, to the best of our knowledge, there is no comprehensive matching and weighting software that can be easily implemented with multiply imputed datasets. In this paper, we review this problem and suggest a framework to map out the matching and weighting of multiply imputed datasets to 5 actions as well as the best practices to assess balance in these datasets after matching and weighting. We also illustrate these approaches using a companion package for R, *MatchThem*.","citation-key":"pishgar2021","container-title":"The R Journal","DOI":"10.32614/RJ-2021-073","ISSN":"2073-4859","issue":"2","page":"292-305","source":"journal.r-project.org","title":"MatchThem:: Matching and Weighting after Multiple Imputation","title-short":"MatchThem","URL":"https://doi.org/10.32614/RJ-2021-073/","volume":"13","author":[{"family":"Pishgar","given":"Farhad"},{"family":"Greifer","given":"Noah"},{"family":"Leyrat","given":"Clémence"},{"family":"Stuart","given":"Elizabeth"}],"accessed":{"date-parts":[["2026",3,17]]},"issued":{"date-parts":[["2021",8,17]]}}}],"schema":"https://github.com/citation-style-language/schema/raw/master/csl-citation.json"} </w:instrText>
      </w:r>
      <w:r w:rsidRPr="00A16E3A">
        <w:rPr>
          <w:lang w:val="en-US"/>
        </w:rPr>
        <w:fldChar w:fldCharType="separate"/>
      </w:r>
      <w:r w:rsidR="00FC7EA9" w:rsidRPr="00A16E3A">
        <w:t>(6–8)</w:t>
      </w:r>
      <w:r w:rsidRPr="00A16E3A">
        <w:rPr>
          <w:lang w:val="en-US"/>
        </w:rPr>
        <w:fldChar w:fldCharType="end"/>
      </w:r>
      <w:r w:rsidRPr="00A16E3A">
        <w:t>. Chain means and variances were inspected for sustained drift. Observed and imputed distributions were compared for body mass index, smoking, and the early outcome with the most missing observations. Variables with only one missing value were documented numerically in Supplementary Table S1.</w:t>
      </w:r>
    </w:p>
    <w:p w14:paraId="2ADE0820" w14:textId="77777777" w:rsidR="003826A6" w:rsidRPr="00A16E3A" w:rsidRDefault="003826A6" w:rsidP="003826A6">
      <w:pPr>
        <w:pStyle w:val="Titre2"/>
        <w:rPr>
          <w:rFonts w:ascii="Times New Roman" w:hAnsi="Times New Roman" w:cs="Times New Roman"/>
        </w:rPr>
      </w:pPr>
      <w:bookmarkStart w:id="4" w:name="propensity-score-and-overlap-weighting"/>
      <w:bookmarkEnd w:id="3"/>
      <w:r w:rsidRPr="00A16E3A">
        <w:rPr>
          <w:rFonts w:ascii="Times New Roman" w:hAnsi="Times New Roman" w:cs="Times New Roman"/>
        </w:rPr>
        <w:lastRenderedPageBreak/>
        <w:t>Propensity score and overlap weighting</w:t>
      </w:r>
    </w:p>
    <w:p w14:paraId="22EA8AD8" w14:textId="1AB425A7" w:rsidR="003826A6" w:rsidRPr="00A16E3A" w:rsidRDefault="003826A6" w:rsidP="003826A6">
      <w:r w:rsidRPr="00A16E3A">
        <w:t xml:space="preserve">Within each imputed dataset, a logistic propensity score estimated the probability of protected resection-anastomosis from covariates selected before analysis because they could influence operative selection or recovery: age, sex, body mass index, ASA class, neurologic, cardiovascular and pulmonary comorbidities, diabetes, smoking, immunosuppression, anticoagulant and antiplatelet therapy, previous midline laparotomy, previous diverticulitis, surgery on the day of admission, Hinchey IV disease, bowel obstruction, fistula, and calendar year </w:t>
      </w:r>
      <w:r w:rsidRPr="00A16E3A">
        <w:rPr>
          <w:lang w:val="en-US"/>
        </w:rPr>
        <w:fldChar w:fldCharType="begin"/>
      </w:r>
      <w:r w:rsidR="00FC7EA9" w:rsidRPr="00A16E3A">
        <w:rPr>
          <w:lang w:val="en-US"/>
        </w:rPr>
        <w:instrText xml:space="preserve"> ADDIN ZOTERO_ITEM CSL_CITATION {"citationID":"HCS00004","properties":{"unsorted":false,"formattedCitation":"(9)","plainCitation":"(9)","noteIndex":0},"citationItems":[{"id":1013,"uris":["http://zotero.org/users/6327427/items/LITMAARS"],"itemData":{"id":1013,"type":"article-journal","abstract":"The propensity score is the conditional probability of assignment to a particular treatment given a vector of observed covariates. Both large and small sample theory show that adjustment for the scalar propensity score is sufficient to remove bias due to all observed covariates. Applications include: (i) matched sampling on the univariate propensity score, which is a generalization of discriminant matching, (ii) multivariate adjustment by subclassification on the propensity score where the same subclasses are used to estimate treatment effects for all outcome variables and in all subpopulations, and (iii) visual representation of multivariate covariance adjustment by a twodimensional plot.","citation-key":"rosenbaum","container-title":"Biometrika","DOI":"10.1093/biomet/70.1.41","issue":"1","language":"en","page":"41-55","source":"Zotero","title":"The central role of the propensity score in observational studies for causal effects","volume":"70","author":[{"family":"Rosenbaum","given":"Paul R"},{"family":"Rubin","given":"Donald B"}],"issued":{"date-parts":[["1983",4,1]]}}}],"schema":"https://github.com/citation-style-language/schema/raw/master/csl-citation.json"} </w:instrText>
      </w:r>
      <w:r w:rsidRPr="00A16E3A">
        <w:rPr>
          <w:lang w:val="en-US"/>
        </w:rPr>
        <w:fldChar w:fldCharType="separate"/>
      </w:r>
      <w:r w:rsidR="00FC7EA9" w:rsidRPr="00A16E3A">
        <w:t>(9)</w:t>
      </w:r>
      <w:r w:rsidRPr="00A16E3A">
        <w:rPr>
          <w:lang w:val="en-US"/>
        </w:rPr>
        <w:fldChar w:fldCharType="end"/>
      </w:r>
      <w:r w:rsidRPr="00A16E3A">
        <w:t>. The covariate-selection procedure was not data-driven.</w:t>
      </w:r>
    </w:p>
    <w:p w14:paraId="1ADD446E" w14:textId="5F997214" w:rsidR="003826A6" w:rsidRPr="00A16E3A" w:rsidRDefault="00000000" w:rsidP="003826A6">
      <w:pPr>
        <w:pStyle w:val="Corpsdetexte"/>
      </w:pPr>
      <m:oMath>
        <m:sSub>
          <m:sSubPr>
            <m:ctrlPr>
              <w:rPr>
                <w:rFonts w:ascii="Cambria Math" w:hAnsi="Cambria Math"/>
              </w:rPr>
            </m:ctrlPr>
          </m:sSubPr>
          <m:e>
            <m:r>
              <w:rPr>
                <w:rFonts w:ascii="Cambria Math" w:hAnsi="Cambria Math"/>
              </w:rPr>
              <m:t>Z</m:t>
            </m:r>
          </m:e>
          <m:sub>
            <m:r>
              <w:rPr>
                <w:rFonts w:ascii="Cambria Math" w:hAnsi="Cambria Math"/>
              </w:rPr>
              <m:t>i</m:t>
            </m:r>
          </m:sub>
        </m:sSub>
        <m:r>
          <m:rPr>
            <m:sty m:val="p"/>
          </m:rPr>
          <w:rPr>
            <w:rFonts w:ascii="Cambria Math" w:hAnsi="Cambria Math"/>
          </w:rPr>
          <m:t>=</m:t>
        </m:r>
        <m:r>
          <w:rPr>
            <w:rFonts w:ascii="Cambria Math" w:hAnsi="Cambria Math"/>
          </w:rPr>
          <m:t>1</m:t>
        </m:r>
      </m:oMath>
      <w:r w:rsidR="003826A6" w:rsidRPr="00A16E3A">
        <w:t xml:space="preserve"> denote protected resection-anastomosis and </w:t>
      </w:r>
      <m:oMath>
        <m:sSub>
          <m:sSubPr>
            <m:ctrlPr>
              <w:rPr>
                <w:rFonts w:ascii="Cambria Math" w:hAnsi="Cambria Math"/>
              </w:rPr>
            </m:ctrlPr>
          </m:sSubPr>
          <m:e>
            <m:r>
              <w:rPr>
                <w:rFonts w:ascii="Cambria Math" w:hAnsi="Cambria Math"/>
              </w:rPr>
              <m:t>e</m:t>
            </m:r>
          </m:e>
          <m:sub>
            <m:r>
              <w:rPr>
                <w:rFonts w:ascii="Cambria Math" w:hAnsi="Cambria Math"/>
              </w:rPr>
              <m:t>i</m:t>
            </m:r>
          </m:sub>
        </m:sSub>
        <m:r>
          <m:rPr>
            <m:sty m:val="p"/>
          </m:rPr>
          <w:rPr>
            <w:rFonts w:ascii="Cambria Math" w:hAnsi="Cambria Math"/>
          </w:rPr>
          <m:t>=</m:t>
        </m:r>
        <m:r>
          <w:rPr>
            <w:rFonts w:ascii="Cambria Math" w:hAnsi="Cambria Math"/>
          </w:rPr>
          <m:t>P</m:t>
        </m:r>
        <m:d>
          <m:dPr>
            <m:ctrlPr>
              <w:rPr>
                <w:rFonts w:ascii="Cambria Math" w:hAnsi="Cambria Math"/>
              </w:rPr>
            </m:ctrlPr>
          </m:dPr>
          <m:e>
            <m:sSub>
              <m:sSubPr>
                <m:ctrlPr>
                  <w:rPr>
                    <w:rFonts w:ascii="Cambria Math" w:hAnsi="Cambria Math"/>
                  </w:rPr>
                </m:ctrlPr>
              </m:sSubPr>
              <m:e>
                <m:r>
                  <w:rPr>
                    <w:rFonts w:ascii="Cambria Math" w:hAnsi="Cambria Math"/>
                  </w:rPr>
                  <m:t>Z</m:t>
                </m:r>
              </m:e>
              <m:sub>
                <m:r>
                  <w:rPr>
                    <w:rFonts w:ascii="Cambria Math" w:hAnsi="Cambria Math"/>
                  </w:rPr>
                  <m:t>i</m:t>
                </m:r>
              </m:sub>
            </m:sSub>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X</m:t>
                </m:r>
              </m:e>
              <m:sub>
                <m:r>
                  <w:rPr>
                    <w:rFonts w:ascii="Cambria Math" w:hAnsi="Cambria Math"/>
                  </w:rPr>
                  <m:t>i</m:t>
                </m:r>
              </m:sub>
            </m:sSub>
          </m:e>
        </m:d>
      </m:oMath>
      <w:r w:rsidR="003826A6" w:rsidRPr="00A16E3A">
        <w:t xml:space="preserve">. The unnormalized overlap weight was </w:t>
      </w:r>
      <m:oMath>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m:t>
            </m:r>
          </m:sub>
        </m:sSub>
      </m:oMath>
      <w:r w:rsidR="003826A6" w:rsidRPr="00A16E3A">
        <w:t xml:space="preserve"> for Hartmann patients and </w:t>
      </w:r>
      <m:oMath>
        <m:sSub>
          <m:sSubPr>
            <m:ctrlPr>
              <w:rPr>
                <w:rFonts w:ascii="Cambria Math" w:hAnsi="Cambria Math"/>
              </w:rPr>
            </m:ctrlPr>
          </m:sSubPr>
          <m:e>
            <m:r>
              <w:rPr>
                <w:rFonts w:ascii="Cambria Math" w:hAnsi="Cambria Math"/>
              </w:rPr>
              <m:t>w</m:t>
            </m:r>
          </m:e>
          <m:sub>
            <m:r>
              <w:rPr>
                <w:rFonts w:ascii="Cambria Math" w:hAnsi="Cambria Math"/>
              </w:rPr>
              <m:t>i</m:t>
            </m:r>
          </m:sub>
        </m:sSub>
        <m:r>
          <m:rPr>
            <m:sty m:val="p"/>
          </m:rPr>
          <w:rPr>
            <w:rFonts w:ascii="Cambria Math" w:hAnsi="Cambria Math"/>
          </w:rPr>
          <m:t>=</m:t>
        </m:r>
        <m:r>
          <w:rPr>
            <w:rFonts w:ascii="Cambria Math" w:hAnsi="Cambria Math"/>
          </w:rPr>
          <m:t>1</m:t>
        </m:r>
        <m:r>
          <m:rPr>
            <m:sty m:val="p"/>
          </m:rPr>
          <w:rPr>
            <w:rFonts w:ascii="Cambria Math" w:hAnsi="Cambria Math"/>
          </w:rPr>
          <m:t>-</m:t>
        </m:r>
        <m:sSub>
          <m:sSubPr>
            <m:ctrlPr>
              <w:rPr>
                <w:rFonts w:ascii="Cambria Math" w:hAnsi="Cambria Math"/>
              </w:rPr>
            </m:ctrlPr>
          </m:sSubPr>
          <m:e>
            <m:r>
              <w:rPr>
                <w:rFonts w:ascii="Cambria Math" w:hAnsi="Cambria Math"/>
              </w:rPr>
              <m:t>e</m:t>
            </m:r>
          </m:e>
          <m:sub>
            <m:r>
              <w:rPr>
                <w:rFonts w:ascii="Cambria Math" w:hAnsi="Cambria Math"/>
              </w:rPr>
              <m:t>i</m:t>
            </m:r>
          </m:sub>
        </m:sSub>
      </m:oMath>
      <w:r w:rsidR="003826A6" w:rsidRPr="00A16E3A">
        <w:t xml:space="preserve"> for protected resection-anastomosis patients </w:t>
      </w:r>
      <w:r w:rsidR="003826A6" w:rsidRPr="00A16E3A">
        <w:rPr>
          <w:lang w:val="en-US"/>
        </w:rPr>
        <w:fldChar w:fldCharType="begin"/>
      </w:r>
      <w:r w:rsidR="00FC7EA9" w:rsidRPr="00A16E3A">
        <w:rPr>
          <w:lang w:val="en-US"/>
        </w:rPr>
        <w:instrText xml:space="preserve"> ADDIN ZOTERO_ITEM CSL_CITATION {"citationID":"HCS00005","properties":{"unsorted":false,"formattedCitation":"(10)","plainCitation":"(10)","noteIndex":0},"citationItems":[{"id":1483,"uris":["http://zotero.org/users/6327427/items/JZH4A3FI"],"itemData":{"id":1483,"type":"article-journal","citation-key":"li2018","container-title":"Journal of the American Statistical Association","DOI":"10.1080/01621459.2016.1260466","issue":"521","page":"390–400","title":"Balancing covariates via propensity score weighting","volume":"113","author":[{"family":"Li","given":"Fan"},{"family":"Morgan","given":"Kari Lock"},{"family":"Zaslavsky","given":"Alan M."}],"issued":{"date-parts":[["2018"]]}}}],"schema":"https://github.com/citation-style-language/schema/raw/master/csl-citation.json"} </w:instrText>
      </w:r>
      <w:r w:rsidR="003826A6" w:rsidRPr="00A16E3A">
        <w:rPr>
          <w:lang w:val="en-US"/>
        </w:rPr>
        <w:fldChar w:fldCharType="separate"/>
      </w:r>
      <w:r w:rsidR="00FC7EA9" w:rsidRPr="00A16E3A">
        <w:t>(10)</w:t>
      </w:r>
      <w:r w:rsidR="003826A6" w:rsidRPr="00A16E3A">
        <w:rPr>
          <w:lang w:val="en-US"/>
        </w:rPr>
        <w:fldChar w:fldCharType="end"/>
      </w:r>
      <w:r w:rsidR="003826A6" w:rsidRPr="00A16E3A">
        <w:t xml:space="preserve">. Weights were normalized within each imputed dataset by dividing every weight by the overall mean weight (this common scale factor does not change the </w:t>
      </w:r>
      <w:proofErr w:type="spellStart"/>
      <w:r w:rsidR="003826A6" w:rsidRPr="00A16E3A">
        <w:t>estimand</w:t>
      </w:r>
      <w:proofErr w:type="spellEnd"/>
      <w:r w:rsidR="003826A6" w:rsidRPr="00A16E3A">
        <w:t xml:space="preserve">, balance, or weighted point estimates). Overlap weighting targets patients whose measured covariate profiles made either strategy plausible, bounds the raw weights between zero and one, and limits the leverage of observations with extreme propensity scores </w:t>
      </w:r>
      <w:r w:rsidR="003826A6" w:rsidRPr="00A16E3A">
        <w:rPr>
          <w:lang w:val="en-US"/>
        </w:rPr>
        <w:fldChar w:fldCharType="begin"/>
      </w:r>
      <w:r w:rsidR="00FC7EA9" w:rsidRPr="00A16E3A">
        <w:rPr>
          <w:lang w:val="en-US"/>
        </w:rPr>
        <w:instrText xml:space="preserve"> ADDIN ZOTERO_ITEM CSL_CITATION {"citationID":"HCS00006","properties":{"unsorted":false,"formattedCitation":"(11,12)","plainCitation":"(11,12)","noteIndex":0},"citationItems":[{"id":1593,"uris":["http://zotero.org/users/6327427/items/CBSR4NVY"],"itemData":{"id":1593,"type":"article-journal","citation-key":"lithomasli2019","container-title":"American Journal of Epidemiology","DOI":"10.1093/aje/kwy201","issue":"1","page":"250–257","title":"Addressing extreme propensity scores via the overlap weights","volume":"188","author":[{"family":"Li","given":"Fan"},{"family":"Thomas","given":"Laine E."},{"family":"Li","given":"Fan"}],"issued":{"date-parts":[["2019"]]}}},{"id":1594,"uris":["http://zotero.org/users/6327427/items/HWIXRGL9"],"itemData":{"id":1594,"type":"article-journal","citation-key":"thomas2020","container-title":"JAMA : the journal of the American Medical Association","DOI":"10.1001/jama.2020.7819","issue":"23","journalAbbreviation":"JAMA","page":"2417–2418","title":"Overlap weighting: A propensity score method that mimics attributes of a randomized clinical trial","volume":"323","author":[{"family":"Thomas","given":"Laine E."},{"family":"Li","given":"Fan"},{"family":"Pencina","given":"Michael J."}],"issued":{"date-parts":[["2020"]]}}}],"schema":"https://github.com/citation-style-language/schema/raw/master/csl-citation.json"} </w:instrText>
      </w:r>
      <w:r w:rsidR="003826A6" w:rsidRPr="00A16E3A">
        <w:rPr>
          <w:lang w:val="en-US"/>
        </w:rPr>
        <w:fldChar w:fldCharType="separate"/>
      </w:r>
      <w:r w:rsidR="00FC7EA9" w:rsidRPr="00A16E3A">
        <w:t>(11,12)</w:t>
      </w:r>
      <w:r w:rsidR="003826A6" w:rsidRPr="00A16E3A">
        <w:rPr>
          <w:lang w:val="en-US"/>
        </w:rPr>
        <w:fldChar w:fldCharType="end"/>
      </w:r>
      <w:r w:rsidR="003826A6" w:rsidRPr="00A16E3A">
        <w:t xml:space="preserve">. </w:t>
      </w:r>
    </w:p>
    <w:p w14:paraId="35970023" w14:textId="77777777" w:rsidR="003826A6" w:rsidRPr="00A16E3A" w:rsidRDefault="003826A6" w:rsidP="003826A6">
      <w:pPr>
        <w:pStyle w:val="Corpsdetexte"/>
      </w:pPr>
      <w:r w:rsidRPr="00A16E3A">
        <w:t>Center was deliberately excluded from the primary propensity model. Treatment preference was strongly center-dependent, and several centers used only one strategy; including fixed center indicators in the full-cohort score would therefore encode structural separation rather than create within-center comparisons. The primary analysis instead balanced measured patient-level clinical characteristics and calendar year across all eligible centers. Center was retained as the resampling and robust-variance cluster. This strategy does not control unmeasured center preference and does not repair the absence of a counterfactual strategy within single-strategy centers, so these remain limitations for a proper causal interpretation.</w:t>
      </w:r>
    </w:p>
    <w:bookmarkEnd w:id="4"/>
    <w:p w14:paraId="7CECFFD3" w14:textId="77777777" w:rsidR="003826A6" w:rsidRPr="00A16E3A" w:rsidRDefault="003826A6" w:rsidP="003826A6">
      <w:pPr>
        <w:pStyle w:val="Titre2"/>
        <w:rPr>
          <w:rFonts w:ascii="Times New Roman" w:hAnsi="Times New Roman" w:cs="Times New Roman"/>
        </w:rPr>
      </w:pPr>
      <w:r w:rsidRPr="00A16E3A">
        <w:rPr>
          <w:rFonts w:ascii="Times New Roman" w:hAnsi="Times New Roman" w:cs="Times New Roman"/>
        </w:rPr>
        <w:lastRenderedPageBreak/>
        <w:t>Balance, weight, and effective-sample-size diagnostics</w:t>
      </w:r>
    </w:p>
    <w:p w14:paraId="2B1F3BF0" w14:textId="0E4E5EB6" w:rsidR="003826A6" w:rsidRPr="00A16E3A" w:rsidRDefault="003826A6" w:rsidP="003826A6">
      <w:r w:rsidRPr="00A16E3A">
        <w:t xml:space="preserve">Covariate balance was examined in every imputed dataset using standardized mean differences (SMDs) for continuous and binary covariates, weighted variance ratios for continuous covariates, and weighted Kolmogorov–Smirnov statistics </w:t>
      </w:r>
      <w:r w:rsidRPr="00A16E3A">
        <w:rPr>
          <w:lang w:val="en-US"/>
        </w:rPr>
        <w:fldChar w:fldCharType="begin"/>
      </w:r>
      <w:r w:rsidR="00FC7EA9" w:rsidRPr="00A16E3A">
        <w:rPr>
          <w:lang w:val="en-US"/>
        </w:rPr>
        <w:instrText xml:space="preserve"> ADDIN ZOTERO_ITEM CSL_CITATION {"citationID":"HCS00007","properties":{"unsorted":false,"formattedCitation":"(13)","plainCitation":"(13)","noteIndex":0},"citationItems":[{"id":1473,"uris":["http://zotero.org/users/6327427/items/CXSGQGMD"],"itemData":{"id":1473,"type":"article-journal","citation-key":"austinMovingTowardsBest2015","container-title":"Statistics in Medicine","DOI":"10.1002/sim.6607","issue":"28","page":"3661–3679","title":"Moving towards best practice when using inverse probability of treatment weighting using the propensity score to estimate causal treatment effects in observational studies","volume":"34","author":[{"family":"Austin","given":"Peter C."},{"family":"Stuart","given":"Elizabeth A."}],"issued":{"date-parts":[["2015"]]}}}],"schema":"https://github.com/citation-style-language/schema/raw/master/csl-citation.json"} </w:instrText>
      </w:r>
      <w:r w:rsidRPr="00A16E3A">
        <w:rPr>
          <w:lang w:val="en-US"/>
        </w:rPr>
        <w:fldChar w:fldCharType="separate"/>
      </w:r>
      <w:r w:rsidR="00FC7EA9" w:rsidRPr="00A16E3A">
        <w:t>(13)</w:t>
      </w:r>
      <w:r w:rsidRPr="00A16E3A">
        <w:rPr>
          <w:lang w:val="en-US"/>
        </w:rPr>
        <w:fldChar w:fldCharType="end"/>
      </w:r>
      <w:r w:rsidRPr="00A16E3A">
        <w:t>. SMD denominators were the unweighted pooled standard deviations within each imputation and were held fixed for the unweighted and weighted comparisons. With overlap weights obtained from the fitted unpenalized logistic model, weighted means of the included score terms are exactly balanced in finite samples. Accordingly, a maximum absolute SMD below 10</w:t>
      </w:r>
      <w:r w:rsidRPr="00A16E3A">
        <w:rPr>
          <w:vertAlign w:val="superscript"/>
        </w:rPr>
        <w:t>-6</w:t>
      </w:r>
      <w:r w:rsidRPr="00A16E3A">
        <w:t xml:space="preserve"> was used as a numerical integrity check, not as an empirical acceptance threshold. Variance ratios and Kolmogorov–Smirnov statistics remained substantive diagnostics of dispersion and distributional shape. Unweighted and weighted propensity-score distributions, weight concentration, and extreme normalized weights were also examined.</w:t>
      </w:r>
    </w:p>
    <w:p w14:paraId="684B2A72" w14:textId="77777777" w:rsidR="003826A6" w:rsidRPr="00A16E3A" w:rsidRDefault="003826A6" w:rsidP="003826A6">
      <w:pPr>
        <w:pStyle w:val="Corpsdetexte"/>
      </w:pPr>
      <w:r w:rsidRPr="00A16E3A">
        <w:t xml:space="preserve">Effective sample size (ESS) was calculated within treatment group. ESS is not a count of retained participants; it summarizes the information remaining after unequal weighting. ESS, ESS/n, weight percentiles, and the largest normalized weights were reported descriptively; no canonical cutoff was applied. The mechanical checks were limited to raw weights within </w:t>
      </w:r>
      <m:oMath>
        <m:d>
          <m:dPr>
            <m:begChr m:val="["/>
            <m:endChr m:val="]"/>
            <m:ctrlPr>
              <w:rPr>
                <w:rFonts w:ascii="Cambria Math" w:hAnsi="Cambria Math"/>
              </w:rPr>
            </m:ctrlPr>
          </m:dPr>
          <m:e>
            <m:r>
              <w:rPr>
                <w:rFonts w:ascii="Cambria Math" w:hAnsi="Cambria Math"/>
              </w:rPr>
              <m:t>0</m:t>
            </m:r>
            <m:r>
              <m:rPr>
                <m:sty m:val="p"/>
              </m:rPr>
              <w:rPr>
                <w:rFonts w:ascii="Cambria Math" w:hAnsi="Cambria Math"/>
              </w:rPr>
              <m:t>,</m:t>
            </m:r>
            <m:r>
              <w:rPr>
                <w:rFonts w:ascii="Cambria Math" w:hAnsi="Cambria Math"/>
              </w:rPr>
              <m:t>1</m:t>
            </m:r>
          </m:e>
        </m:d>
      </m:oMath>
      <w:r w:rsidRPr="00A16E3A">
        <w:t>, finite positive normalized weights, and finite positive ESS values. These diagnostics cannot establish balance in unmeasured variables or center-level exchangeability.</w:t>
      </w:r>
    </w:p>
    <w:p w14:paraId="26A84376" w14:textId="77777777" w:rsidR="003826A6" w:rsidRPr="00A16E3A" w:rsidRDefault="003826A6" w:rsidP="003826A6">
      <w:pPr>
        <w:pStyle w:val="Titre2"/>
        <w:rPr>
          <w:rFonts w:ascii="Times New Roman" w:hAnsi="Times New Roman" w:cs="Times New Roman"/>
        </w:rPr>
      </w:pPr>
      <w:bookmarkStart w:id="5" w:name="weighted-early-postoperative-outcomes"/>
      <w:r w:rsidRPr="00A16E3A">
        <w:rPr>
          <w:rFonts w:ascii="Times New Roman" w:hAnsi="Times New Roman" w:cs="Times New Roman"/>
        </w:rPr>
        <w:t>Weighted early postoperative outcomes</w:t>
      </w:r>
    </w:p>
    <w:p w14:paraId="2030DCDC" w14:textId="77777777" w:rsidR="003826A6" w:rsidRPr="00A16E3A" w:rsidRDefault="003826A6" w:rsidP="003826A6">
      <w:r w:rsidRPr="00A16E3A">
        <w:t xml:space="preserve">For binary early outcomes other than mortality, group-specific weighted risks and absolute risk differences were calculated within each imputed dataset using normalized overlap weights; imputed outcomes contributed to these estimates, whereas reported raw event counts remained counts of observed records. Ninety-day mortality was defined from adjudicated vital status and death time. Five discordant records were reviewed clinically: deaths were </w:t>
      </w:r>
      <w:r w:rsidRPr="00A16E3A">
        <w:lastRenderedPageBreak/>
        <w:t xml:space="preserve">assigned to postoperative days 43, 104, and 373, while two patients were classified as alive but lost to follow-up. A death was an event only when it occurred by day 90. Patients whose last known alive time preceded day 90 were censored at that time; they were not classified as nondeaths. The 90-day risk was estimated as one minus the overlap-weighted Kaplan–Meier survival probability. The contrast was protected resection-anastomosis minus Hartmann. Uncertainty used the same center-level bootstrap described below, with the propensity score and weights </w:t>
      </w:r>
      <w:proofErr w:type="spellStart"/>
      <w:r w:rsidRPr="00A16E3A">
        <w:t>reestimated</w:t>
      </w:r>
      <w:proofErr w:type="spellEnd"/>
      <w:r w:rsidRPr="00A16E3A">
        <w:t xml:space="preserve"> in every replication. Anastomotic leak was necessarily limited to the anastomosis group and was not treated as a between-strategy outcome.</w:t>
      </w:r>
    </w:p>
    <w:p w14:paraId="0D95B958" w14:textId="77777777" w:rsidR="003826A6" w:rsidRPr="00A16E3A" w:rsidRDefault="003826A6" w:rsidP="003826A6">
      <w:pPr>
        <w:pStyle w:val="Titre2"/>
        <w:rPr>
          <w:rFonts w:ascii="Times New Roman" w:hAnsi="Times New Roman" w:cs="Times New Roman"/>
        </w:rPr>
      </w:pPr>
      <w:bookmarkStart w:id="6" w:name="weighted-aalenjohansen-analysis"/>
      <w:bookmarkEnd w:id="5"/>
      <w:r w:rsidRPr="00A16E3A">
        <w:rPr>
          <w:rFonts w:ascii="Times New Roman" w:hAnsi="Times New Roman" w:cs="Times New Roman"/>
        </w:rPr>
        <w:t>Weighted Aalen–Johansen analysis</w:t>
      </w:r>
    </w:p>
    <w:p w14:paraId="43F41B24" w14:textId="48E29317" w:rsidR="003826A6" w:rsidRPr="00A16E3A" w:rsidRDefault="003826A6" w:rsidP="003826A6">
      <w:pPr>
        <w:rPr>
          <w:b/>
          <w:bCs w:val="0"/>
        </w:rPr>
      </w:pPr>
      <w:r w:rsidRPr="00A16E3A">
        <w:t xml:space="preserve">The cumulative incidence of stoma closure was estimated using the weighted Aalen–Johansen estimator, with death before closure as a competing event </w:t>
      </w:r>
      <w:r w:rsidRPr="00A16E3A">
        <w:rPr>
          <w:lang w:val="en-US"/>
        </w:rPr>
        <w:fldChar w:fldCharType="begin"/>
      </w:r>
      <w:r w:rsidR="00FC7EA9" w:rsidRPr="00A16E3A">
        <w:rPr>
          <w:lang w:val="en-US"/>
        </w:rPr>
        <w:instrText xml:space="preserve"> ADDIN ZOTERO_ITEM CSL_CITATION {"citationID":"HCS00008","properties":{"unsorted":false,"formattedCitation":"(14\\uc0\\u8211{}16)","plainCitation":"(14–16)","noteIndex":0},"citationItems":[{"id":1589,"uris":["http://zotero.org/users/6327427/items/NIXEDEPJ"],"itemData":{"id":1589,"type":"article-journal","abstract":"A product limit estimator is suggested for the transition probabilities of a non-homogeneous Markov chain with finitely many states. The estimator is expressed as a product integral and its properties are studied by means of the theory of square integrable martingales.","citation-key":"aalenEmpiricalTransitionMatrix1978","container-title":"Scandinavian Journal of Statistics","ISSN":"0303-6898","issue":"3","page":"141-150","publisher":"[Board of the Foundation of the Scandinavian Journal of Statistics, Wiley]","source":"JSTOR","title":"An Empirical Transition Matrix for Non-Homogeneous Markov Chains Based on Censored Observations","URL":"https://www.jstor.org/stable/4615704","volume":"5","author":[{"family":"Aalen","given":"Odd O."},{"family":"Johansen","given":"Søren"}],"accessed":{"date-parts":[["2026",9,10]]},"issued":{"date-parts":[["1978"]]}}},{"id":1486,"uris":["http://zotero.org/users/6327427/items/73PJWTL9"],"itemData":{"id":1486,"type":"article-journal","citation-key":"putter2007","container-title":"Statistics in Medicine","DOI":"10.1002/sim.2712","issue":"11","page":"2389–2430","title":"Tutorial in biostatistics: competing risks and multi-state models","volume":"26","author":[{"family":"Putter","given":"Hein"},{"family":"Fiocco","given":"Marta"},{"family":"Geskus","given":"Ronald B."}],"issued":{"date-parts":[["2007"]]}}},{"id":1485,"uris":["http://zotero.org/users/6327427/items/VXCNHNX7"],"itemData":{"id":1485,"type":"article-journal","citation-key":"austin2016","container-title":"Statistics in Medicine","DOI":"10.1002/sim.7084","issue":"30","page":"5642–5655","title":"Variance estimation when using inverse probability of treatment weighting (IPTW) with survival analysis","volume":"35","author":[{"family":"Austin","given":"Peter C."}],"issued":{"date-parts":[["2016"]]}}}],"schema":"https://github.com/citation-style-language/schema/raw/master/csl-citation.json"} </w:instrText>
      </w:r>
      <w:r w:rsidRPr="00A16E3A">
        <w:rPr>
          <w:lang w:val="en-US"/>
        </w:rPr>
        <w:fldChar w:fldCharType="separate"/>
      </w:r>
      <w:r w:rsidR="00FC7EA9" w:rsidRPr="00A16E3A">
        <w:t>(14–16)</w:t>
      </w:r>
      <w:r w:rsidRPr="00A16E3A">
        <w:rPr>
          <w:lang w:val="en-US"/>
        </w:rPr>
        <w:fldChar w:fldCharType="end"/>
      </w:r>
      <w:r w:rsidRPr="00A16E3A">
        <w:t xml:space="preserve">. Patients without any usable time-to-event or follow-up time were excluded only from the competing-risk analysis. Closure was counted only when it preceded death and the last recorded follow-up. The primary effect measure was the absolute difference in weighted cumulative incidence at 365 days. This risk-scale contrast was selected before the secondary Fine–Gray analysis because it answers the direct clinical question: </w:t>
      </w:r>
      <w:r w:rsidRPr="00A16E3A">
        <w:rPr>
          <w:b/>
          <w:bCs w:val="0"/>
        </w:rPr>
        <w:t>by 12 months, how much more often was stoma closure recorded before death under one strategy than the other?</w:t>
      </w:r>
    </w:p>
    <w:bookmarkEnd w:id="6"/>
    <w:p w14:paraId="06C21A6F" w14:textId="77777777" w:rsidR="003826A6" w:rsidRPr="00A16E3A" w:rsidRDefault="003826A6" w:rsidP="003826A6">
      <w:pPr>
        <w:pStyle w:val="Titre2"/>
        <w:rPr>
          <w:rFonts w:ascii="Times New Roman" w:hAnsi="Times New Roman" w:cs="Times New Roman"/>
        </w:rPr>
      </w:pPr>
      <w:r w:rsidRPr="00A16E3A">
        <w:rPr>
          <w:rFonts w:ascii="Times New Roman" w:hAnsi="Times New Roman" w:cs="Times New Roman"/>
        </w:rPr>
        <w:t>Cluster bootstrap, multiple-imputation pooling, and numerical rules</w:t>
      </w:r>
    </w:p>
    <w:p w14:paraId="5F7CCC72" w14:textId="48A7B770" w:rsidR="003826A6" w:rsidRPr="00A16E3A" w:rsidRDefault="003826A6" w:rsidP="003826A6">
      <w:r w:rsidRPr="00A16E3A">
        <w:t xml:space="preserve">Within every imputed dataset, 10,000 nonparametric bootstrap replications were requested, corresponding to 200,000 requested replications for each multiply imputed analysis. For the primary analysis, centers were sampled with replacement and all eligible patient records from sampled centers were retained. The propensity-score model, propensity scores, normalization factor, and overlap weights were </w:t>
      </w:r>
      <w:proofErr w:type="spellStart"/>
      <w:r w:rsidRPr="00A16E3A">
        <w:t>reestimated</w:t>
      </w:r>
      <w:proofErr w:type="spellEnd"/>
      <w:r w:rsidRPr="00A16E3A">
        <w:t xml:space="preserve"> in every replication before recalculating the requested weighted </w:t>
      </w:r>
      <w:proofErr w:type="spellStart"/>
      <w:r w:rsidRPr="00A16E3A">
        <w:t>estimands</w:t>
      </w:r>
      <w:proofErr w:type="spellEnd"/>
      <w:r w:rsidRPr="00A16E3A">
        <w:t xml:space="preserve">. This propagates uncertainty from both clustering and estimated weights </w:t>
      </w:r>
      <w:r w:rsidRPr="00A16E3A">
        <w:rPr>
          <w:lang w:val="en-US"/>
        </w:rPr>
        <w:fldChar w:fldCharType="begin"/>
      </w:r>
      <w:r w:rsidR="00FC7EA9" w:rsidRPr="00A16E3A">
        <w:rPr>
          <w:lang w:val="en-US"/>
        </w:rPr>
        <w:instrText xml:space="preserve"> ADDIN ZOTERO_ITEM CSL_CITATION {"citationID":"HCS00009","properties":{"unsorted":false,"formattedCitation":"(16)","plainCitation":"(16)","noteIndex":0},"citationItems":[{"id":1485,"uris":["http://zotero.org/users/6327427/items/VXCNHNX7"],"itemData":{"id":1485,"type":"article-journal","citation-key":"austin2016","container-title":"Statistics in Medicine","DOI":"10.1002/sim.7084","issue":"30","page":"5642–5655","title":"Variance estimation when using inverse probability of treatment weighting (IPTW) with survival analysis","volume":"35","author":[{"family":"Austin","given":"Peter C."}],"issued":{"date-parts":[["2016"]]}}}],"schema":"https://github.com/citation-style-language/schema/raw/master/csl-citation.json"} </w:instrText>
      </w:r>
      <w:r w:rsidRPr="00A16E3A">
        <w:rPr>
          <w:lang w:val="en-US"/>
        </w:rPr>
        <w:fldChar w:fldCharType="separate"/>
      </w:r>
      <w:r w:rsidR="00FC7EA9" w:rsidRPr="00A16E3A">
        <w:t>(16)</w:t>
      </w:r>
      <w:r w:rsidRPr="00A16E3A">
        <w:rPr>
          <w:lang w:val="en-US"/>
        </w:rPr>
        <w:fldChar w:fldCharType="end"/>
      </w:r>
      <w:r w:rsidRPr="00A16E3A">
        <w:t xml:space="preserve">. The covariance between </w:t>
      </w:r>
      <w:r w:rsidRPr="00A16E3A">
        <w:lastRenderedPageBreak/>
        <w:t>the two treatment-specific cumulative-incidence estimates within a replication was retained when calculating the variance of the absolute difference. The same resamples yielded the within-imputation variances of the 90-day mortality risks and their absolute difference.</w:t>
      </w:r>
    </w:p>
    <w:p w14:paraId="51BC0D20" w14:textId="7A12D397" w:rsidR="003826A6" w:rsidRPr="00A16E3A" w:rsidRDefault="003826A6" w:rsidP="003826A6">
      <w:pPr>
        <w:pStyle w:val="Corpsdetexte"/>
      </w:pPr>
      <w:r w:rsidRPr="00A16E3A">
        <w:t xml:space="preserve">Let </w:t>
      </w:r>
      <m:oMath>
        <m:sSub>
          <m:sSubPr>
            <m:ctrlPr>
              <w:rPr>
                <w:rFonts w:ascii="Cambria Math" w:hAnsi="Cambria Math"/>
              </w:rPr>
            </m:ctrlPr>
          </m:sSubPr>
          <m:e>
            <m:acc>
              <m:accPr>
                <m:ctrlPr>
                  <w:rPr>
                    <w:rFonts w:ascii="Cambria Math" w:hAnsi="Cambria Math"/>
                  </w:rPr>
                </m:ctrlPr>
              </m:accPr>
              <m:e>
                <m:r>
                  <w:rPr>
                    <w:rFonts w:ascii="Cambria Math" w:hAnsi="Cambria Math"/>
                  </w:rPr>
                  <m:t>Q</m:t>
                </m:r>
              </m:e>
            </m:acc>
          </m:e>
          <m:sub>
            <m:r>
              <w:rPr>
                <w:rFonts w:ascii="Cambria Math" w:hAnsi="Cambria Math"/>
              </w:rPr>
              <m:t>m</m:t>
            </m:r>
          </m:sub>
        </m:sSub>
      </m:oMath>
      <w:r w:rsidRPr="00A16E3A">
        <w:t xml:space="preserve"> and </w:t>
      </w:r>
      <m:oMath>
        <m:sSub>
          <m:sSubPr>
            <m:ctrlPr>
              <w:rPr>
                <w:rFonts w:ascii="Cambria Math" w:hAnsi="Cambria Math"/>
              </w:rPr>
            </m:ctrlPr>
          </m:sSubPr>
          <m:e>
            <m:r>
              <w:rPr>
                <w:rFonts w:ascii="Cambria Math" w:hAnsi="Cambria Math"/>
              </w:rPr>
              <m:t>U</m:t>
            </m:r>
          </m:e>
          <m:sub>
            <m:r>
              <w:rPr>
                <w:rFonts w:ascii="Cambria Math" w:hAnsi="Cambria Math"/>
              </w:rPr>
              <m:t>m</m:t>
            </m:r>
          </m:sub>
        </m:sSub>
      </m:oMath>
      <w:r w:rsidRPr="00A16E3A">
        <w:t xml:space="preserve"> denote the estimate and bootstrap variance in imputation </w:t>
      </w:r>
      <m:oMath>
        <m:r>
          <w:rPr>
            <w:rFonts w:ascii="Cambria Math" w:hAnsi="Cambria Math"/>
          </w:rPr>
          <m:t>m</m:t>
        </m:r>
      </m:oMath>
      <w:r w:rsidRPr="00A16E3A">
        <w:t xml:space="preserve">, </w:t>
      </w:r>
      <m:oMath>
        <m:acc>
          <m:accPr>
            <m:chr m:val="‾"/>
            <m:ctrlPr>
              <w:rPr>
                <w:rFonts w:ascii="Cambria Math" w:hAnsi="Cambria Math"/>
              </w:rPr>
            </m:ctrlPr>
          </m:accPr>
          <m:e>
            <m:r>
              <w:rPr>
                <w:rFonts w:ascii="Cambria Math" w:hAnsi="Cambria Math"/>
              </w:rPr>
              <m:t>Q</m:t>
            </m:r>
          </m:e>
        </m:acc>
        <m:r>
          <m:rPr>
            <m:sty m:val="p"/>
          </m:rPr>
          <w:rPr>
            <w:rFonts w:ascii="Cambria Math" w:hAnsi="Cambria Math"/>
          </w:rPr>
          <m:t>=</m:t>
        </m:r>
        <m:sSup>
          <m:sSupPr>
            <m:ctrlPr>
              <w:rPr>
                <w:rFonts w:ascii="Cambria Math" w:hAnsi="Cambria Math"/>
              </w:rPr>
            </m:ctrlPr>
          </m:sSupPr>
          <m:e>
            <m:r>
              <w:rPr>
                <w:rFonts w:ascii="Cambria Math" w:hAnsi="Cambria Math"/>
              </w:rPr>
              <m:t>M</m:t>
            </m:r>
          </m:e>
          <m:sup>
            <m:r>
              <m:rPr>
                <m:sty m:val="p"/>
              </m:rPr>
              <w:rPr>
                <w:rFonts w:ascii="Cambria Math" w:hAnsi="Cambria Math"/>
              </w:rPr>
              <m:t>-</m:t>
            </m:r>
            <m:r>
              <w:rPr>
                <w:rFonts w:ascii="Cambria Math" w:hAnsi="Cambria Math"/>
              </w:rPr>
              <m:t>1</m:t>
            </m:r>
          </m:sup>
        </m:sSup>
        <m:nary>
          <m:naryPr>
            <m:chr m:val="∑"/>
            <m:limLoc m:val="undOvr"/>
            <m:supHide m:val="1"/>
            <m:ctrlPr>
              <w:rPr>
                <w:rFonts w:ascii="Cambria Math" w:hAnsi="Cambria Math"/>
              </w:rPr>
            </m:ctrlPr>
          </m:naryPr>
          <m:sub>
            <m:r>
              <w:rPr>
                <w:rFonts w:ascii="Cambria Math" w:hAnsi="Cambria Math"/>
              </w:rPr>
              <m:t>m</m:t>
            </m:r>
          </m:sub>
          <m:sup>
            <m:r>
              <w:rPr>
                <w:rFonts w:ascii="Cambria Math" w:hAnsi="Cambria Math"/>
              </w:rPr>
              <m:t>​</m:t>
            </m:r>
          </m:sup>
          <m:e>
            <m:sSub>
              <m:sSubPr>
                <m:ctrlPr>
                  <w:rPr>
                    <w:rFonts w:ascii="Cambria Math" w:hAnsi="Cambria Math"/>
                  </w:rPr>
                </m:ctrlPr>
              </m:sSubPr>
              <m:e>
                <m:acc>
                  <m:accPr>
                    <m:ctrlPr>
                      <w:rPr>
                        <w:rFonts w:ascii="Cambria Math" w:hAnsi="Cambria Math"/>
                      </w:rPr>
                    </m:ctrlPr>
                  </m:accPr>
                  <m:e>
                    <m:r>
                      <w:rPr>
                        <w:rFonts w:ascii="Cambria Math" w:hAnsi="Cambria Math"/>
                      </w:rPr>
                      <m:t>Q</m:t>
                    </m:r>
                  </m:e>
                </m:acc>
              </m:e>
              <m:sub>
                <m:r>
                  <w:rPr>
                    <w:rFonts w:ascii="Cambria Math" w:hAnsi="Cambria Math"/>
                  </w:rPr>
                  <m:t>m</m:t>
                </m:r>
              </m:sub>
            </m:sSub>
          </m:e>
        </m:nary>
      </m:oMath>
      <w:r w:rsidRPr="00A16E3A">
        <w:t xml:space="preserve">, </w:t>
      </w:r>
      <m:oMath>
        <m:acc>
          <m:accPr>
            <m:chr m:val="‾"/>
            <m:ctrlPr>
              <w:rPr>
                <w:rFonts w:ascii="Cambria Math" w:hAnsi="Cambria Math"/>
              </w:rPr>
            </m:ctrlPr>
          </m:accPr>
          <m:e>
            <m:r>
              <w:rPr>
                <w:rFonts w:ascii="Cambria Math" w:hAnsi="Cambria Math"/>
              </w:rPr>
              <m:t>U</m:t>
            </m:r>
          </m:e>
        </m:acc>
        <m:r>
          <m:rPr>
            <m:sty m:val="p"/>
          </m:rPr>
          <w:rPr>
            <w:rFonts w:ascii="Cambria Math" w:hAnsi="Cambria Math"/>
          </w:rPr>
          <m:t>=</m:t>
        </m:r>
        <m:sSup>
          <m:sSupPr>
            <m:ctrlPr>
              <w:rPr>
                <w:rFonts w:ascii="Cambria Math" w:hAnsi="Cambria Math"/>
              </w:rPr>
            </m:ctrlPr>
          </m:sSupPr>
          <m:e>
            <m:r>
              <w:rPr>
                <w:rFonts w:ascii="Cambria Math" w:hAnsi="Cambria Math"/>
              </w:rPr>
              <m:t>M</m:t>
            </m:r>
          </m:e>
          <m:sup>
            <m:r>
              <m:rPr>
                <m:sty m:val="p"/>
              </m:rPr>
              <w:rPr>
                <w:rFonts w:ascii="Cambria Math" w:hAnsi="Cambria Math"/>
              </w:rPr>
              <m:t>-</m:t>
            </m:r>
            <m:r>
              <w:rPr>
                <w:rFonts w:ascii="Cambria Math" w:hAnsi="Cambria Math"/>
              </w:rPr>
              <m:t>1</m:t>
            </m:r>
          </m:sup>
        </m:sSup>
        <m:nary>
          <m:naryPr>
            <m:chr m:val="∑"/>
            <m:limLoc m:val="undOvr"/>
            <m:supHide m:val="1"/>
            <m:ctrlPr>
              <w:rPr>
                <w:rFonts w:ascii="Cambria Math" w:hAnsi="Cambria Math"/>
              </w:rPr>
            </m:ctrlPr>
          </m:naryPr>
          <m:sub>
            <m:r>
              <w:rPr>
                <w:rFonts w:ascii="Cambria Math" w:hAnsi="Cambria Math"/>
              </w:rPr>
              <m:t>m</m:t>
            </m:r>
          </m:sub>
          <m:sup>
            <m:r>
              <w:rPr>
                <w:rFonts w:ascii="Cambria Math" w:hAnsi="Cambria Math"/>
              </w:rPr>
              <m:t>​</m:t>
            </m:r>
          </m:sup>
          <m:e>
            <m:sSub>
              <m:sSubPr>
                <m:ctrlPr>
                  <w:rPr>
                    <w:rFonts w:ascii="Cambria Math" w:hAnsi="Cambria Math"/>
                  </w:rPr>
                </m:ctrlPr>
              </m:sSubPr>
              <m:e>
                <m:r>
                  <w:rPr>
                    <w:rFonts w:ascii="Cambria Math" w:hAnsi="Cambria Math"/>
                  </w:rPr>
                  <m:t>U</m:t>
                </m:r>
              </m:e>
              <m:sub>
                <m:r>
                  <w:rPr>
                    <w:rFonts w:ascii="Cambria Math" w:hAnsi="Cambria Math"/>
                  </w:rPr>
                  <m:t>m</m:t>
                </m:r>
              </m:sub>
            </m:sSub>
          </m:e>
        </m:nary>
      </m:oMath>
      <w:r w:rsidRPr="00A16E3A">
        <w:t xml:space="preserve">, and </w:t>
      </w:r>
      <m:oMath>
        <m:r>
          <w:rPr>
            <w:rFonts w:ascii="Cambria Math" w:hAnsi="Cambria Math"/>
          </w:rPr>
          <m:t>B</m:t>
        </m:r>
        <m:r>
          <m:rPr>
            <m:sty m:val="p"/>
          </m:rPr>
          <w:rPr>
            <w:rFonts w:ascii="Cambria Math" w:hAnsi="Cambria Math"/>
          </w:rPr>
          <m:t>=</m:t>
        </m:r>
        <m:sSup>
          <m:sSupPr>
            <m:ctrlPr>
              <w:rPr>
                <w:rFonts w:ascii="Cambria Math" w:hAnsi="Cambria Math"/>
              </w:rPr>
            </m:ctrlPr>
          </m:sSupPr>
          <m:e>
            <m:d>
              <m:dPr>
                <m:ctrlPr>
                  <w:rPr>
                    <w:rFonts w:ascii="Cambria Math" w:hAnsi="Cambria Math"/>
                  </w:rPr>
                </m:ctrlPr>
              </m:dPr>
              <m:e>
                <m:r>
                  <w:rPr>
                    <w:rFonts w:ascii="Cambria Math" w:hAnsi="Cambria Math"/>
                  </w:rPr>
                  <m:t>M</m:t>
                </m:r>
                <m:r>
                  <m:rPr>
                    <m:sty m:val="p"/>
                  </m:rPr>
                  <w:rPr>
                    <w:rFonts w:ascii="Cambria Math" w:hAnsi="Cambria Math"/>
                  </w:rPr>
                  <m:t>-</m:t>
                </m:r>
                <m:r>
                  <w:rPr>
                    <w:rFonts w:ascii="Cambria Math" w:hAnsi="Cambria Math"/>
                  </w:rPr>
                  <m:t>1</m:t>
                </m:r>
              </m:e>
            </m:d>
          </m:e>
          <m:sup>
            <m:r>
              <m:rPr>
                <m:sty m:val="p"/>
              </m:rPr>
              <w:rPr>
                <w:rFonts w:ascii="Cambria Math" w:hAnsi="Cambria Math"/>
              </w:rPr>
              <m:t>-</m:t>
            </m:r>
            <m:r>
              <w:rPr>
                <w:rFonts w:ascii="Cambria Math" w:hAnsi="Cambria Math"/>
              </w:rPr>
              <m:t>1</m:t>
            </m:r>
          </m:sup>
        </m:sSup>
        <m:nary>
          <m:naryPr>
            <m:chr m:val="∑"/>
            <m:limLoc m:val="undOvr"/>
            <m:supHide m:val="1"/>
            <m:ctrlPr>
              <w:rPr>
                <w:rFonts w:ascii="Cambria Math" w:hAnsi="Cambria Math"/>
              </w:rPr>
            </m:ctrlPr>
          </m:naryPr>
          <m:sub>
            <m:r>
              <w:rPr>
                <w:rFonts w:ascii="Cambria Math" w:hAnsi="Cambria Math"/>
              </w:rPr>
              <m:t>m</m:t>
            </m:r>
          </m:sub>
          <m:sup>
            <m:r>
              <w:rPr>
                <w:rFonts w:ascii="Cambria Math" w:hAnsi="Cambria Math"/>
              </w:rPr>
              <m:t>​</m:t>
            </m:r>
          </m:sup>
          <m:e>
            <m:sSup>
              <m:sSupPr>
                <m:ctrlPr>
                  <w:rPr>
                    <w:rFonts w:ascii="Cambria Math" w:hAnsi="Cambria Math"/>
                  </w:rPr>
                </m:ctrlPr>
              </m:sSupPr>
              <m:e>
                <m:d>
                  <m:dPr>
                    <m:ctrlPr>
                      <w:rPr>
                        <w:rFonts w:ascii="Cambria Math" w:hAnsi="Cambria Math"/>
                      </w:rPr>
                    </m:ctrlPr>
                  </m:dPr>
                  <m:e>
                    <m:sSub>
                      <m:sSubPr>
                        <m:ctrlPr>
                          <w:rPr>
                            <w:rFonts w:ascii="Cambria Math" w:hAnsi="Cambria Math"/>
                          </w:rPr>
                        </m:ctrlPr>
                      </m:sSubPr>
                      <m:e>
                        <m:acc>
                          <m:accPr>
                            <m:ctrlPr>
                              <w:rPr>
                                <w:rFonts w:ascii="Cambria Math" w:hAnsi="Cambria Math"/>
                              </w:rPr>
                            </m:ctrlPr>
                          </m:accPr>
                          <m:e>
                            <m:r>
                              <w:rPr>
                                <w:rFonts w:ascii="Cambria Math" w:hAnsi="Cambria Math"/>
                              </w:rPr>
                              <m:t>Q</m:t>
                            </m:r>
                          </m:e>
                        </m:acc>
                      </m:e>
                      <m:sub>
                        <m:r>
                          <w:rPr>
                            <w:rFonts w:ascii="Cambria Math" w:hAnsi="Cambria Math"/>
                          </w:rPr>
                          <m:t>m</m:t>
                        </m:r>
                      </m:sub>
                    </m:sSub>
                    <m:r>
                      <m:rPr>
                        <m:sty m:val="p"/>
                      </m:rPr>
                      <w:rPr>
                        <w:rFonts w:ascii="Cambria Math" w:hAnsi="Cambria Math"/>
                      </w:rPr>
                      <m:t>-</m:t>
                    </m:r>
                    <m:acc>
                      <m:accPr>
                        <m:chr m:val="‾"/>
                        <m:ctrlPr>
                          <w:rPr>
                            <w:rFonts w:ascii="Cambria Math" w:hAnsi="Cambria Math"/>
                          </w:rPr>
                        </m:ctrlPr>
                      </m:accPr>
                      <m:e>
                        <m:r>
                          <w:rPr>
                            <w:rFonts w:ascii="Cambria Math" w:hAnsi="Cambria Math"/>
                          </w:rPr>
                          <m:t>Q</m:t>
                        </m:r>
                      </m:e>
                    </m:acc>
                  </m:e>
                </m:d>
              </m:e>
              <m:sup>
                <m:r>
                  <w:rPr>
                    <w:rFonts w:ascii="Cambria Math" w:hAnsi="Cambria Math"/>
                  </w:rPr>
                  <m:t>2</m:t>
                </m:r>
              </m:sup>
            </m:sSup>
          </m:e>
        </m:nary>
      </m:oMath>
      <w:r w:rsidRPr="00A16E3A">
        <w:t xml:space="preserve">. The total variance was </w:t>
      </w:r>
      <m:oMath>
        <m:r>
          <w:rPr>
            <w:rFonts w:ascii="Cambria Math" w:hAnsi="Cambria Math"/>
          </w:rPr>
          <m:t>T</m:t>
        </m:r>
        <m:r>
          <m:rPr>
            <m:sty m:val="p"/>
          </m:rPr>
          <w:rPr>
            <w:rFonts w:ascii="Cambria Math" w:hAnsi="Cambria Math"/>
          </w:rPr>
          <m:t>=</m:t>
        </m:r>
        <m:acc>
          <m:accPr>
            <m:chr m:val="‾"/>
            <m:ctrlPr>
              <w:rPr>
                <w:rFonts w:ascii="Cambria Math" w:hAnsi="Cambria Math"/>
              </w:rPr>
            </m:ctrlPr>
          </m:accPr>
          <m:e>
            <m:r>
              <w:rPr>
                <w:rFonts w:ascii="Cambria Math" w:hAnsi="Cambria Math"/>
              </w:rPr>
              <m:t>U</m:t>
            </m:r>
          </m:e>
        </m:acc>
        <m:r>
          <m:rPr>
            <m:sty m:val="p"/>
          </m:rPr>
          <w:rPr>
            <w:rFonts w:ascii="Cambria Math" w:hAnsi="Cambria Math"/>
          </w:rPr>
          <m:t>+</m:t>
        </m:r>
        <m:d>
          <m:dPr>
            <m:ctrlPr>
              <w:rPr>
                <w:rFonts w:ascii="Cambria Math" w:hAnsi="Cambria Math"/>
              </w:rPr>
            </m:ctrlPr>
          </m:dPr>
          <m:e>
            <m:r>
              <w:rPr>
                <w:rFonts w:ascii="Cambria Math" w:hAnsi="Cambria Math"/>
              </w:rPr>
              <m:t>1</m:t>
            </m:r>
            <m:r>
              <m:rPr>
                <m:sty m:val="p"/>
              </m:rPr>
              <w:rPr>
                <w:rFonts w:ascii="Cambria Math" w:hAnsi="Cambria Math"/>
              </w:rPr>
              <m:t>+</m:t>
            </m:r>
            <m:sSup>
              <m:sSupPr>
                <m:ctrlPr>
                  <w:rPr>
                    <w:rFonts w:ascii="Cambria Math" w:hAnsi="Cambria Math"/>
                  </w:rPr>
                </m:ctrlPr>
              </m:sSupPr>
              <m:e>
                <m:r>
                  <w:rPr>
                    <w:rFonts w:ascii="Cambria Math" w:hAnsi="Cambria Math"/>
                  </w:rPr>
                  <m:t>M</m:t>
                </m:r>
              </m:e>
              <m:sup>
                <m:r>
                  <m:rPr>
                    <m:sty m:val="p"/>
                  </m:rPr>
                  <w:rPr>
                    <w:rFonts w:ascii="Cambria Math" w:hAnsi="Cambria Math"/>
                  </w:rPr>
                  <m:t>-</m:t>
                </m:r>
                <m:r>
                  <w:rPr>
                    <w:rFonts w:ascii="Cambria Math" w:hAnsi="Cambria Math"/>
                  </w:rPr>
                  <m:t>1</m:t>
                </m:r>
              </m:sup>
            </m:sSup>
          </m:e>
        </m:d>
        <m:r>
          <w:rPr>
            <w:rFonts w:ascii="Cambria Math" w:hAnsi="Cambria Math"/>
          </w:rPr>
          <m:t>B</m:t>
        </m:r>
      </m:oMath>
      <w:r w:rsidRPr="00A16E3A">
        <w:t xml:space="preserve">. Thus, the procedure was an MI Boot Rubin strategy: bootstrap variance was estimated within each imputed dataset and then combined with between-imputation variance using Rubin’s rules </w:t>
      </w:r>
      <w:r w:rsidRPr="00A16E3A">
        <w:rPr>
          <w:lang w:val="en-US"/>
        </w:rPr>
        <w:fldChar w:fldCharType="begin"/>
      </w:r>
      <w:r w:rsidR="00FC7EA9" w:rsidRPr="00A16E3A">
        <w:rPr>
          <w:lang w:val="en-US"/>
        </w:rPr>
        <w:instrText xml:space="preserve"> ADDIN ZOTERO_ITEM CSL_CITATION {"citationID":"HCS00010","properties":{"unsorted":false,"formattedCitation":"(1,17)","plainCitation":"(1,17)","noteIndex":0},"citationItems":[{"id":1474,"uris":["http://zotero.org/users/6327427/items/SXH3ZGFQ"],"itemData":{"id":1474,"type":"book","citation-key":"rubinMultipleImputationNonresponse1987","DOI":"10.1002/9780470316696","publisher":"John Wiley &amp; Sons","publisher-place":"New York","title":"Multiple imputation for nonresponse in surveys","author":[{"family":"Rubin","given":"Donald B."}],"issued":{"date-parts":[["1987"]]}}},{"id":1003,"uris":["http://zotero.org/users/6327427/items/N4L5FN24"],"itemData":{"id":1003,"type":"article-journal","abstract":"Many modern estimators require bootstrapping to calculate confidence intervals because either no analytic standard error is available or the distribution of the parameter of interest is non-symmetric. It remains however unclear how to obtain valid bootstrap inference when dealing with multiple imputation to address missing data. We present four methods which are intuitively appealing, easy to implement, and combine bootstrap estimation with multiple imputation. We show that three of the four approaches yield valid inference, but that the performance of the methods varies with respect to the number of imputed data sets and the extent of missingness. Simulation studies reveal the behavior of our approaches in finite samples. A topical analysis from HIV treatment research, which determines the optimal timing of antiretroviral treatment initiation in young children, demonstrates the practical implications of the four methods in a sophisticated and realistic setting. This analysis suffers from missing data and uses the g-formula for inference, a method for which no standard errors are available.","citation-key":"schomaker2018","container-title":"Statistics in medicine","DOI":"10.1002/sim.7654","ISSN":"0277-6715","issue":"14","journalAbbreviation":"Stat Med","page":"2252-2266","PMID":"29682776","PMCID":"PMC5986623","source":"PubMed Central","title":"Bootstrap Inference When Using Multiple Imputation","URL":"https://pmc.ncbi.nlm.nih.gov/articles/PMC5986623/","volume":"37","author":[{"family":"Schomaker","given":"M."},{"family":"Heumann","given":"C."}],"accessed":{"date-parts":[["2026",3,17]]},"issued":{"date-parts":[["2018",6,30]]}}}],"schema":"https://github.com/citation-style-language/schema/raw/master/csl-citation.json"} </w:instrText>
      </w:r>
      <w:r w:rsidRPr="00A16E3A">
        <w:rPr>
          <w:lang w:val="en-US"/>
        </w:rPr>
        <w:fldChar w:fldCharType="separate"/>
      </w:r>
      <w:r w:rsidR="00FC7EA9" w:rsidRPr="00A16E3A">
        <w:t>(1,17)</w:t>
      </w:r>
      <w:r w:rsidRPr="00A16E3A">
        <w:rPr>
          <w:lang w:val="en-US"/>
        </w:rPr>
        <w:fldChar w:fldCharType="end"/>
      </w:r>
      <w:r w:rsidRPr="00A16E3A">
        <w:t xml:space="preserve">. Confidence intervals and tests used the corresponding fraction of missing information and Barnard–Rubin small-sample adjustment; complete-data degrees of freedom were conservatively set to </w:t>
      </w:r>
      <m:oMath>
        <m:r>
          <w:rPr>
            <w:rFonts w:ascii="Cambria Math" w:hAnsi="Cambria Math"/>
          </w:rPr>
          <m:t>G</m:t>
        </m:r>
        <m:r>
          <m:rPr>
            <m:sty m:val="p"/>
          </m:rPr>
          <w:rPr>
            <w:rFonts w:ascii="Cambria Math" w:hAnsi="Cambria Math"/>
          </w:rPr>
          <m:t>-</m:t>
        </m:r>
        <m:r>
          <w:rPr>
            <w:rFonts w:ascii="Cambria Math" w:hAnsi="Cambria Math"/>
          </w:rPr>
          <m:t>1</m:t>
        </m:r>
      </m:oMath>
      <w:r w:rsidRPr="00A16E3A">
        <w:t xml:space="preserve">, where </w:t>
      </w:r>
      <m:oMath>
        <m:r>
          <w:rPr>
            <w:rFonts w:ascii="Cambria Math" w:hAnsi="Cambria Math"/>
          </w:rPr>
          <m:t>G</m:t>
        </m:r>
      </m:oMath>
      <w:r w:rsidRPr="00A16E3A">
        <w:t xml:space="preserve"> was the number of centers in the analysis </w:t>
      </w:r>
      <w:r w:rsidRPr="00A16E3A">
        <w:rPr>
          <w:lang w:val="en-US"/>
        </w:rPr>
        <w:fldChar w:fldCharType="begin"/>
      </w:r>
      <w:r w:rsidR="00FC7EA9" w:rsidRPr="00A16E3A">
        <w:rPr>
          <w:lang w:val="en-US"/>
        </w:rPr>
        <w:instrText xml:space="preserve"> ADDIN ZOTERO_ITEM CSL_CITATION {"citationID":"HCS00011","properties":{"unsorted":false,"formattedCitation":"(18)","plainCitation":"(18)","noteIndex":0},"citationItems":[{"id":1592,"uris":["http://zotero.org/users/6327427/items/ND5RIE3B"],"itemData":{"id":1592,"type":"article-journal","citation-key":"barnard1999","container-title":"Biometrika","DOI":"10.1093/biomet/86.4.948","issue":"4","page":"948–955","title":"Small-sample degrees of freedom with multiple imputation","volume":"86","author":[{"family":"Barnard","given":"John"},{"family":"Rubin","given":"Donald B."}],"issued":{"date-parts":[["1999"]]}}}],"schema":"https://github.com/citation-style-language/schema/raw/master/csl-citation.json"} </w:instrText>
      </w:r>
      <w:r w:rsidRPr="00A16E3A">
        <w:rPr>
          <w:lang w:val="en-US"/>
        </w:rPr>
        <w:fldChar w:fldCharType="separate"/>
      </w:r>
      <w:r w:rsidR="00FC7EA9" w:rsidRPr="00A16E3A">
        <w:t>(18)</w:t>
      </w:r>
      <w:r w:rsidRPr="00A16E3A">
        <w:rPr>
          <w:lang w:val="en-US"/>
        </w:rPr>
        <w:fldChar w:fldCharType="end"/>
      </w:r>
      <w:r w:rsidRPr="00A16E3A">
        <w:t xml:space="preserve">. Appropriate imputation-model specification is important for this combination, particularly under model uncongeniality or misspecification </w:t>
      </w:r>
      <w:r w:rsidRPr="00A16E3A">
        <w:rPr>
          <w:lang w:val="en-US"/>
        </w:rPr>
        <w:fldChar w:fldCharType="begin"/>
      </w:r>
      <w:r w:rsidR="00FC7EA9" w:rsidRPr="00A16E3A">
        <w:rPr>
          <w:lang w:val="en-US"/>
        </w:rPr>
        <w:instrText xml:space="preserve"> ADDIN ZOTERO_ITEM CSL_CITATION {"citationID":"HCS00012","properties":{"unsorted":false,"formattedCitation":"(19)","plainCitation":"(19)","noteIndex":0},"citationItems":[{"id":1633,"uris":["http://zotero.org/users/6327427/items/GW8VYB9R"],"itemData":{"id":1633,"type":"article-journal","citation-key":"bartletthughes2020","container-title":"Statistical Methods in Medical Research","DOI":"10.1177/0962280220932189","issue":"12","page":"3533–3546","title":"Bootstrap inference for multiple imputation under uncongeniality and misspecification","volume":"29","author":[{"family":"Bartlett","given":"Jonathan W."},{"family":"Hughes","given":"Rachael A."}],"issued":{"date-parts":[["2020"]]}}}],"schema":"https://github.com/citation-style-language/schema/raw/master/csl-citation.json"} </w:instrText>
      </w:r>
      <w:r w:rsidRPr="00A16E3A">
        <w:rPr>
          <w:lang w:val="en-US"/>
        </w:rPr>
        <w:fldChar w:fldCharType="separate"/>
      </w:r>
      <w:r w:rsidR="00FC7EA9" w:rsidRPr="00A16E3A">
        <w:t>(19)</w:t>
      </w:r>
      <w:r w:rsidRPr="00A16E3A">
        <w:rPr>
          <w:lang w:val="en-US"/>
        </w:rPr>
        <w:fldChar w:fldCharType="end"/>
      </w:r>
      <w:r w:rsidRPr="00A16E3A">
        <w:t>.</w:t>
      </w:r>
    </w:p>
    <w:p w14:paraId="36506B0E" w14:textId="5A2FAB1E" w:rsidR="003826A6" w:rsidRPr="00A16E3A" w:rsidRDefault="003826A6" w:rsidP="003826A6">
      <w:pPr>
        <w:pStyle w:val="Corpsdetexte"/>
      </w:pPr>
      <w:r w:rsidRPr="00A16E3A">
        <w:t xml:space="preserve">A replication was valid only when both groups were represented and the required propensity-score, weight, ESS, and outcome estimates were finite and admissible. Completion rates, propensity-score estimates at numerical boundaries, and minimum group-specific ESS values were examined and reported as numerical diagnostics. </w:t>
      </w:r>
      <w:r w:rsidR="00C47D67" w:rsidRPr="00A16E3A">
        <w:rPr>
          <w:bCs w:val="0"/>
          <w:lang w:val="fr-FR"/>
        </w:rPr>
        <w:t xml:space="preserve">All </w:t>
      </w:r>
      <w:proofErr w:type="spellStart"/>
      <w:r w:rsidR="00C47D67" w:rsidRPr="00A16E3A">
        <w:rPr>
          <w:bCs w:val="0"/>
          <w:lang w:val="fr-FR"/>
        </w:rPr>
        <w:t>intervals</w:t>
      </w:r>
      <w:proofErr w:type="spellEnd"/>
      <w:r w:rsidR="00C47D67" w:rsidRPr="00A16E3A">
        <w:rPr>
          <w:bCs w:val="0"/>
          <w:lang w:val="fr-FR"/>
        </w:rPr>
        <w:t xml:space="preserve"> for </w:t>
      </w:r>
      <w:proofErr w:type="spellStart"/>
      <w:r w:rsidR="00C47D67" w:rsidRPr="00A16E3A">
        <w:rPr>
          <w:bCs w:val="0"/>
          <w:lang w:val="fr-FR"/>
        </w:rPr>
        <w:t>which</w:t>
      </w:r>
      <w:proofErr w:type="spellEnd"/>
      <w:r w:rsidR="00C47D67" w:rsidRPr="00A16E3A">
        <w:rPr>
          <w:bCs w:val="0"/>
          <w:lang w:val="fr-FR"/>
        </w:rPr>
        <w:t xml:space="preserve"> the </w:t>
      </w:r>
      <w:proofErr w:type="spellStart"/>
      <w:r w:rsidR="00C47D67" w:rsidRPr="00A16E3A">
        <w:rPr>
          <w:bCs w:val="0"/>
          <w:lang w:val="fr-FR"/>
        </w:rPr>
        <w:t>estimand</w:t>
      </w:r>
      <w:proofErr w:type="spellEnd"/>
      <w:r w:rsidR="00C47D67" w:rsidRPr="00A16E3A">
        <w:rPr>
          <w:bCs w:val="0"/>
          <w:lang w:val="fr-FR"/>
        </w:rPr>
        <w:t xml:space="preserve"> and </w:t>
      </w:r>
      <w:proofErr w:type="spellStart"/>
      <w:r w:rsidR="00C47D67" w:rsidRPr="00A16E3A">
        <w:rPr>
          <w:bCs w:val="0"/>
          <w:lang w:val="fr-FR"/>
        </w:rPr>
        <w:t>pooled</w:t>
      </w:r>
      <w:proofErr w:type="spellEnd"/>
      <w:r w:rsidR="00C47D67" w:rsidRPr="00A16E3A">
        <w:rPr>
          <w:bCs w:val="0"/>
          <w:lang w:val="fr-FR"/>
        </w:rPr>
        <w:t xml:space="preserve"> variance </w:t>
      </w:r>
      <w:proofErr w:type="spellStart"/>
      <w:r w:rsidR="00C47D67" w:rsidRPr="00A16E3A">
        <w:rPr>
          <w:bCs w:val="0"/>
          <w:lang w:val="fr-FR"/>
        </w:rPr>
        <w:t>could</w:t>
      </w:r>
      <w:proofErr w:type="spellEnd"/>
      <w:r w:rsidR="00C47D67" w:rsidRPr="00A16E3A">
        <w:rPr>
          <w:bCs w:val="0"/>
          <w:lang w:val="fr-FR"/>
        </w:rPr>
        <w:t xml:space="preserve"> </w:t>
      </w:r>
      <w:proofErr w:type="spellStart"/>
      <w:r w:rsidR="00C47D67" w:rsidRPr="00A16E3A">
        <w:rPr>
          <w:bCs w:val="0"/>
          <w:lang w:val="fr-FR"/>
        </w:rPr>
        <w:t>be</w:t>
      </w:r>
      <w:proofErr w:type="spellEnd"/>
      <w:r w:rsidR="00C47D67" w:rsidRPr="00A16E3A">
        <w:rPr>
          <w:bCs w:val="0"/>
          <w:lang w:val="fr-FR"/>
        </w:rPr>
        <w:t xml:space="preserve"> </w:t>
      </w:r>
      <w:proofErr w:type="spellStart"/>
      <w:r w:rsidR="00C47D67" w:rsidRPr="00A16E3A">
        <w:rPr>
          <w:bCs w:val="0"/>
          <w:lang w:val="fr-FR"/>
        </w:rPr>
        <w:t>calculated</w:t>
      </w:r>
      <w:proofErr w:type="spellEnd"/>
      <w:r w:rsidR="00C47D67" w:rsidRPr="00A16E3A">
        <w:rPr>
          <w:bCs w:val="0"/>
          <w:lang w:val="fr-FR"/>
        </w:rPr>
        <w:t xml:space="preserve"> </w:t>
      </w:r>
      <w:proofErr w:type="spellStart"/>
      <w:r w:rsidR="00C47D67" w:rsidRPr="00A16E3A">
        <w:rPr>
          <w:bCs w:val="0"/>
          <w:lang w:val="fr-FR"/>
        </w:rPr>
        <w:t>were</w:t>
      </w:r>
      <w:proofErr w:type="spellEnd"/>
      <w:r w:rsidR="00C47D67" w:rsidRPr="00A16E3A">
        <w:rPr>
          <w:bCs w:val="0"/>
          <w:lang w:val="fr-FR"/>
        </w:rPr>
        <w:t xml:space="preserve"> </w:t>
      </w:r>
      <w:proofErr w:type="spellStart"/>
      <w:r w:rsidR="00C47D67" w:rsidRPr="00A16E3A">
        <w:rPr>
          <w:bCs w:val="0"/>
          <w:lang w:val="fr-FR"/>
        </w:rPr>
        <w:t>retained</w:t>
      </w:r>
      <w:proofErr w:type="spellEnd"/>
      <w:r w:rsidR="00C47D67" w:rsidRPr="00A16E3A">
        <w:rPr>
          <w:bCs w:val="0"/>
          <w:lang w:val="fr-FR"/>
        </w:rPr>
        <w:t xml:space="preserve">. Data </w:t>
      </w:r>
      <w:proofErr w:type="spellStart"/>
      <w:r w:rsidR="00C47D67" w:rsidRPr="00A16E3A">
        <w:rPr>
          <w:bCs w:val="0"/>
          <w:lang w:val="fr-FR"/>
        </w:rPr>
        <w:t>were</w:t>
      </w:r>
      <w:proofErr w:type="spellEnd"/>
      <w:r w:rsidR="00C47D67" w:rsidRPr="00A16E3A">
        <w:rPr>
          <w:bCs w:val="0"/>
          <w:lang w:val="fr-FR"/>
        </w:rPr>
        <w:t xml:space="preserve"> not </w:t>
      </w:r>
      <w:proofErr w:type="spellStart"/>
      <w:r w:rsidR="00C47D67" w:rsidRPr="00A16E3A">
        <w:rPr>
          <w:bCs w:val="0"/>
          <w:lang w:val="fr-FR"/>
        </w:rPr>
        <w:t>excluded</w:t>
      </w:r>
      <w:proofErr w:type="spellEnd"/>
      <w:r w:rsidR="00C47D67" w:rsidRPr="00A16E3A">
        <w:rPr>
          <w:bCs w:val="0"/>
          <w:lang w:val="fr-FR"/>
        </w:rPr>
        <w:t xml:space="preserve"> </w:t>
      </w:r>
      <w:proofErr w:type="spellStart"/>
      <w:r w:rsidR="00C47D67" w:rsidRPr="00A16E3A">
        <w:rPr>
          <w:bCs w:val="0"/>
          <w:lang w:val="fr-FR"/>
        </w:rPr>
        <w:t>solely</w:t>
      </w:r>
      <w:proofErr w:type="spellEnd"/>
      <w:r w:rsidR="00C47D67" w:rsidRPr="00A16E3A">
        <w:rPr>
          <w:bCs w:val="0"/>
          <w:lang w:val="fr-FR"/>
        </w:rPr>
        <w:t xml:space="preserve"> </w:t>
      </w:r>
      <w:proofErr w:type="spellStart"/>
      <w:r w:rsidR="00C47D67" w:rsidRPr="00A16E3A">
        <w:rPr>
          <w:bCs w:val="0"/>
          <w:lang w:val="fr-FR"/>
        </w:rPr>
        <w:t>based</w:t>
      </w:r>
      <w:proofErr w:type="spellEnd"/>
      <w:r w:rsidR="00C47D67" w:rsidRPr="00A16E3A">
        <w:rPr>
          <w:bCs w:val="0"/>
          <w:lang w:val="fr-FR"/>
        </w:rPr>
        <w:t xml:space="preserve"> on strict </w:t>
      </w:r>
      <w:proofErr w:type="spellStart"/>
      <w:r w:rsidR="00C47D67" w:rsidRPr="00A16E3A">
        <w:rPr>
          <w:bCs w:val="0"/>
          <w:lang w:val="fr-FR"/>
        </w:rPr>
        <w:t>thresholds</w:t>
      </w:r>
      <w:proofErr w:type="spellEnd"/>
      <w:r w:rsidR="00C47D67" w:rsidRPr="00A16E3A">
        <w:rPr>
          <w:bCs w:val="0"/>
          <w:lang w:val="fr-FR"/>
        </w:rPr>
        <w:t xml:space="preserve"> </w:t>
      </w:r>
      <w:proofErr w:type="spellStart"/>
      <w:r w:rsidR="00C47D67" w:rsidRPr="00A16E3A">
        <w:rPr>
          <w:bCs w:val="0"/>
          <w:lang w:val="fr-FR"/>
        </w:rPr>
        <w:t>such</w:t>
      </w:r>
      <w:proofErr w:type="spellEnd"/>
      <w:r w:rsidR="00C47D67" w:rsidRPr="00A16E3A">
        <w:rPr>
          <w:bCs w:val="0"/>
          <w:lang w:val="fr-FR"/>
        </w:rPr>
        <w:t xml:space="preserve"> as </w:t>
      </w:r>
      <w:proofErr w:type="spellStart"/>
      <w:r w:rsidR="00C47D67" w:rsidRPr="00A16E3A">
        <w:rPr>
          <w:bCs w:val="0"/>
          <w:lang w:val="fr-FR"/>
        </w:rPr>
        <w:t>completion</w:t>
      </w:r>
      <w:proofErr w:type="spellEnd"/>
      <w:r w:rsidR="00C47D67" w:rsidRPr="00A16E3A">
        <w:rPr>
          <w:bCs w:val="0"/>
          <w:lang w:val="fr-FR"/>
        </w:rPr>
        <w:t xml:space="preserve"> rate, effective </w:t>
      </w:r>
      <w:proofErr w:type="spellStart"/>
      <w:r w:rsidR="00C47D67" w:rsidRPr="00A16E3A">
        <w:rPr>
          <w:bCs w:val="0"/>
          <w:lang w:val="fr-FR"/>
        </w:rPr>
        <w:t>sample</w:t>
      </w:r>
      <w:proofErr w:type="spellEnd"/>
      <w:r w:rsidR="00C47D67" w:rsidRPr="00A16E3A">
        <w:rPr>
          <w:bCs w:val="0"/>
          <w:lang w:val="fr-FR"/>
        </w:rPr>
        <w:t xml:space="preserve"> size (ESS), or </w:t>
      </w:r>
      <w:proofErr w:type="spellStart"/>
      <w:r w:rsidR="00C47D67" w:rsidRPr="00A16E3A">
        <w:rPr>
          <w:bCs w:val="0"/>
          <w:lang w:val="fr-FR"/>
        </w:rPr>
        <w:t>normalized</w:t>
      </w:r>
      <w:proofErr w:type="spellEnd"/>
      <w:r w:rsidR="00C47D67" w:rsidRPr="00A16E3A">
        <w:rPr>
          <w:bCs w:val="0"/>
          <w:lang w:val="fr-FR"/>
        </w:rPr>
        <w:t xml:space="preserve"> </w:t>
      </w:r>
      <w:proofErr w:type="spellStart"/>
      <w:r w:rsidR="00C47D67" w:rsidRPr="00A16E3A">
        <w:rPr>
          <w:bCs w:val="0"/>
          <w:lang w:val="fr-FR"/>
        </w:rPr>
        <w:t>weight</w:t>
      </w:r>
      <w:proofErr w:type="spellEnd"/>
      <w:r w:rsidR="00C47D67" w:rsidRPr="00A16E3A">
        <w:rPr>
          <w:bCs w:val="0"/>
          <w:lang w:val="fr-FR"/>
        </w:rPr>
        <w:t xml:space="preserve">; </w:t>
      </w:r>
      <w:proofErr w:type="spellStart"/>
      <w:r w:rsidR="00C47D67" w:rsidRPr="00A16E3A">
        <w:rPr>
          <w:bCs w:val="0"/>
          <w:lang w:val="fr-FR"/>
        </w:rPr>
        <w:t>instead</w:t>
      </w:r>
      <w:proofErr w:type="spellEnd"/>
      <w:r w:rsidR="00C47D67" w:rsidRPr="00A16E3A">
        <w:rPr>
          <w:bCs w:val="0"/>
          <w:lang w:val="fr-FR"/>
        </w:rPr>
        <w:t xml:space="preserve">, all data </w:t>
      </w:r>
      <w:proofErr w:type="spellStart"/>
      <w:r w:rsidR="00C47D67" w:rsidRPr="00A16E3A">
        <w:rPr>
          <w:bCs w:val="0"/>
          <w:lang w:val="fr-FR"/>
        </w:rPr>
        <w:t>that</w:t>
      </w:r>
      <w:proofErr w:type="spellEnd"/>
      <w:r w:rsidR="00C47D67" w:rsidRPr="00A16E3A">
        <w:rPr>
          <w:bCs w:val="0"/>
          <w:lang w:val="fr-FR"/>
        </w:rPr>
        <w:t xml:space="preserve"> </w:t>
      </w:r>
      <w:proofErr w:type="spellStart"/>
      <w:r w:rsidR="00C47D67" w:rsidRPr="00A16E3A">
        <w:rPr>
          <w:bCs w:val="0"/>
          <w:lang w:val="fr-FR"/>
        </w:rPr>
        <w:t>could</w:t>
      </w:r>
      <w:proofErr w:type="spellEnd"/>
      <w:r w:rsidR="00C47D67" w:rsidRPr="00A16E3A">
        <w:rPr>
          <w:bCs w:val="0"/>
          <w:lang w:val="fr-FR"/>
        </w:rPr>
        <w:t xml:space="preserve"> </w:t>
      </w:r>
      <w:proofErr w:type="spellStart"/>
      <w:r w:rsidR="00C47D67" w:rsidRPr="00A16E3A">
        <w:rPr>
          <w:bCs w:val="0"/>
          <w:lang w:val="fr-FR"/>
        </w:rPr>
        <w:t>be</w:t>
      </w:r>
      <w:proofErr w:type="spellEnd"/>
      <w:r w:rsidR="00C47D67" w:rsidRPr="00A16E3A">
        <w:rPr>
          <w:bCs w:val="0"/>
          <w:lang w:val="fr-FR"/>
        </w:rPr>
        <w:t xml:space="preserve"> </w:t>
      </w:r>
      <w:proofErr w:type="spellStart"/>
      <w:r w:rsidR="00C47D67" w:rsidRPr="00A16E3A">
        <w:rPr>
          <w:bCs w:val="0"/>
          <w:lang w:val="fr-FR"/>
        </w:rPr>
        <w:t>analyzed</w:t>
      </w:r>
      <w:proofErr w:type="spellEnd"/>
      <w:r w:rsidR="00C47D67" w:rsidRPr="00A16E3A">
        <w:rPr>
          <w:bCs w:val="0"/>
          <w:lang w:val="fr-FR"/>
        </w:rPr>
        <w:t xml:space="preserve"> </w:t>
      </w:r>
      <w:proofErr w:type="spellStart"/>
      <w:r w:rsidR="00C47D67" w:rsidRPr="00A16E3A">
        <w:rPr>
          <w:bCs w:val="0"/>
          <w:lang w:val="fr-FR"/>
        </w:rPr>
        <w:t>were</w:t>
      </w:r>
      <w:proofErr w:type="spellEnd"/>
      <w:r w:rsidR="00C47D67" w:rsidRPr="00A16E3A">
        <w:rPr>
          <w:bCs w:val="0"/>
          <w:lang w:val="fr-FR"/>
        </w:rPr>
        <w:t xml:space="preserve"> </w:t>
      </w:r>
      <w:proofErr w:type="spellStart"/>
      <w:r w:rsidR="00C47D67" w:rsidRPr="00A16E3A">
        <w:rPr>
          <w:bCs w:val="0"/>
          <w:lang w:val="fr-FR"/>
        </w:rPr>
        <w:t>included</w:t>
      </w:r>
      <w:proofErr w:type="spellEnd"/>
      <w:r w:rsidR="00C47D67" w:rsidRPr="00A16E3A">
        <w:rPr>
          <w:bCs w:val="0"/>
          <w:lang w:val="fr-FR"/>
        </w:rPr>
        <w:t xml:space="preserve">. </w:t>
      </w:r>
      <w:r w:rsidR="00C47D67" w:rsidRPr="00A16E3A">
        <w:rPr>
          <w:bCs w:val="0"/>
        </w:rPr>
        <w:t>Full diagnostic details are in Supplementary Table S8.</w:t>
      </w:r>
    </w:p>
    <w:p w14:paraId="4627B72D" w14:textId="77777777" w:rsidR="003826A6" w:rsidRPr="00A16E3A" w:rsidRDefault="003826A6" w:rsidP="00B278AA">
      <w:pPr>
        <w:pStyle w:val="Titre2"/>
        <w:ind w:left="708" w:hanging="708"/>
        <w:rPr>
          <w:rFonts w:ascii="Times New Roman" w:hAnsi="Times New Roman" w:cs="Times New Roman"/>
        </w:rPr>
      </w:pPr>
      <w:bookmarkStart w:id="7" w:name="secondary-finegray-model"/>
      <w:r w:rsidRPr="00A16E3A">
        <w:rPr>
          <w:rFonts w:ascii="Times New Roman" w:hAnsi="Times New Roman" w:cs="Times New Roman"/>
        </w:rPr>
        <w:t>Secondary Fine–Gray model</w:t>
      </w:r>
    </w:p>
    <w:p w14:paraId="7CAB10EF" w14:textId="7863F24B" w:rsidR="003826A6" w:rsidRPr="00A16E3A" w:rsidRDefault="003826A6" w:rsidP="003826A6">
      <w:r w:rsidRPr="00A16E3A">
        <w:t xml:space="preserve">A weighted Fine–Gray proportional </w:t>
      </w:r>
      <w:proofErr w:type="spellStart"/>
      <w:r w:rsidRPr="00A16E3A">
        <w:t>subdistribution</w:t>
      </w:r>
      <w:proofErr w:type="spellEnd"/>
      <w:r w:rsidRPr="00A16E3A">
        <w:t xml:space="preserve">-hazards model provided a secondary relative summary </w:t>
      </w:r>
      <w:r w:rsidRPr="00A16E3A">
        <w:rPr>
          <w:lang w:val="en-US"/>
        </w:rPr>
        <w:fldChar w:fldCharType="begin"/>
      </w:r>
      <w:r w:rsidR="00FC7EA9" w:rsidRPr="00A16E3A">
        <w:rPr>
          <w:lang w:val="en-US"/>
        </w:rPr>
        <w:instrText xml:space="preserve"> ADDIN ZOTERO_ITEM CSL_CITATION {"citationID":"HCS00013","properties":{"unsorted":false,"formattedCitation":"(20)","plainCitation":"(20)","noteIndex":0},"citationItems":[{"id":1487,"uris":["http://zotero.org/users/6327427/items/MNLTNS5F"],"itemData":{"id":1487,"type":"article-journal","citation-key":"fine1999","container-title":"Journal of the American Statistical Association","DOI":"10.1080/01621459.1999.10474144","issue":"446","page":"496–509","title":"A proportional hazards model for the subdistribution of a competing risk","volume":"94","author":[{"family":"Fine","given":"Jason P."},{"family":"Gray","given":"Robert J."}],"issued":{"date-parts":[["1999"]]}}}],"schema":"https://github.com/citation-style-language/schema/raw/master/csl-citation.json"} </w:instrText>
      </w:r>
      <w:r w:rsidRPr="00A16E3A">
        <w:rPr>
          <w:lang w:val="en-US"/>
        </w:rPr>
        <w:fldChar w:fldCharType="separate"/>
      </w:r>
      <w:r w:rsidR="00FC7EA9" w:rsidRPr="00A16E3A">
        <w:t>(20)</w:t>
      </w:r>
      <w:r w:rsidRPr="00A16E3A">
        <w:rPr>
          <w:lang w:val="en-US"/>
        </w:rPr>
        <w:fldChar w:fldCharType="end"/>
      </w:r>
      <w:r w:rsidRPr="00A16E3A">
        <w:t xml:space="preserve">. It was implemented through the Fine–Gray expanded risk-set data and a weighted Cox model with robust sandwich variance clustered by center. The censoring distribution was estimated separately by treatment because follow-up differed materially between groups. Model coefficients and variances were obtained within each imputation </w:t>
      </w:r>
      <w:r w:rsidRPr="00A16E3A">
        <w:lastRenderedPageBreak/>
        <w:t xml:space="preserve">and pooled with Rubin’s rules. Proportionality was evaluated in every imputation using weighted Schoenfeld-type residual diagnostics </w:t>
      </w:r>
      <w:r w:rsidRPr="00A16E3A">
        <w:rPr>
          <w:lang w:val="en-US"/>
        </w:rPr>
        <w:fldChar w:fldCharType="begin"/>
      </w:r>
      <w:r w:rsidR="00FC7EA9" w:rsidRPr="00A16E3A">
        <w:rPr>
          <w:lang w:val="en-US"/>
        </w:rPr>
        <w:instrText xml:space="preserve"> ADDIN ZOTERO_ITEM CSL_CITATION {"citationID":"HCS00014","properties":{"unsorted":false,"formattedCitation":"(21)","plainCitation":"(21)","noteIndex":0},"citationItems":[{"id":1488,"uris":["http://zotero.org/users/6327427/items/VLVFLW6U"],"itemData":{"id":1488,"type":"article-journal","citation-key":"zhou2013","container-title":"Statistics in Medicine","DOI":"10.1002/sim.5815","issue":"22","page":"3804–3811","title":"Goodness-of-fit test for proportional subdistribution hazards model","volume":"32","author":[{"family":"Zhou","given":"Bingqing"},{"family":"Fine","given":"Jason"},{"family":"Laird","given":"Glen"}],"issued":{"date-parts":[["2013"]]}}}],"schema":"https://github.com/citation-style-language/schema/raw/master/csl-citation.json"} </w:instrText>
      </w:r>
      <w:r w:rsidRPr="00A16E3A">
        <w:rPr>
          <w:lang w:val="en-US"/>
        </w:rPr>
        <w:fldChar w:fldCharType="separate"/>
      </w:r>
      <w:r w:rsidR="00FC7EA9" w:rsidRPr="00A16E3A">
        <w:t>(21)</w:t>
      </w:r>
      <w:r w:rsidRPr="00A16E3A">
        <w:rPr>
          <w:lang w:val="en-US"/>
        </w:rPr>
        <w:fldChar w:fldCharType="end"/>
      </w:r>
      <w:r w:rsidRPr="00A16E3A">
        <w:t xml:space="preserve">. The diagnostic had </w:t>
      </w:r>
      <w:r w:rsidRPr="00A16E3A">
        <w:rPr>
          <w:i/>
        </w:rPr>
        <w:t>P</w:t>
      </w:r>
      <w:r w:rsidRPr="00A16E3A">
        <w:t xml:space="preserve">&lt;0.05 in 20 of 20 imputations (median </w:t>
      </w:r>
      <w:r w:rsidRPr="00A16E3A">
        <w:rPr>
          <w:i/>
        </w:rPr>
        <w:t>P</w:t>
      </w:r>
      <w:r w:rsidRPr="00A16E3A">
        <w:t xml:space="preserve">=0.021). Consequently, the pooled </w:t>
      </w:r>
      <w:proofErr w:type="spellStart"/>
      <w:r w:rsidRPr="00A16E3A">
        <w:t>subdistribution</w:t>
      </w:r>
      <w:proofErr w:type="spellEnd"/>
      <w:r w:rsidRPr="00A16E3A">
        <w:t xml:space="preserve"> hazard ratio was retained as a prespecified exploratory average coefficient and was not interpreted as a constant relative effect or a risk ratio; absolute Aalen–Johansen estimates remained primary.</w:t>
      </w:r>
    </w:p>
    <w:p w14:paraId="49B5ADFD" w14:textId="77777777" w:rsidR="003826A6" w:rsidRPr="00A16E3A" w:rsidRDefault="003826A6" w:rsidP="003826A6">
      <w:pPr>
        <w:pStyle w:val="Titre2"/>
        <w:rPr>
          <w:rFonts w:ascii="Times New Roman" w:hAnsi="Times New Roman" w:cs="Times New Roman"/>
        </w:rPr>
      </w:pPr>
      <w:bookmarkStart w:id="8" w:name="sensitivity-analyses"/>
      <w:bookmarkEnd w:id="7"/>
      <w:r w:rsidRPr="00A16E3A">
        <w:rPr>
          <w:rFonts w:ascii="Times New Roman" w:hAnsi="Times New Roman" w:cs="Times New Roman"/>
        </w:rPr>
        <w:t>Sensitivity analyses</w:t>
      </w:r>
    </w:p>
    <w:p w14:paraId="59E0A4D7" w14:textId="77777777" w:rsidR="003826A6" w:rsidRPr="00A16E3A" w:rsidRDefault="003826A6" w:rsidP="003826A6">
      <w:r w:rsidRPr="00A16E3A">
        <w:t xml:space="preserve">The first sensitivity analysis was restricted to centers in which both strategies were observed. Baseline covariates and early outcomes were </w:t>
      </w:r>
      <w:proofErr w:type="spellStart"/>
      <w:r w:rsidRPr="00A16E3A">
        <w:t>reimputed</w:t>
      </w:r>
      <w:proofErr w:type="spellEnd"/>
      <w:r w:rsidRPr="00A16E3A">
        <w:t xml:space="preserve"> within that cohort, and fixed center indicators were added to the same clinical propensity model before </w:t>
      </w:r>
      <w:proofErr w:type="spellStart"/>
      <w:r w:rsidRPr="00A16E3A">
        <w:t>reestimating</w:t>
      </w:r>
      <w:proofErr w:type="spellEnd"/>
      <w:r w:rsidRPr="00A16E3A">
        <w:t xml:space="preserve"> overlap weights. This analysis targets a narrower overlap population conditional on dual-strategy centers. Its bootstrap resampled patients within each observed center-by-treatment cell, preserving the observed centers and cell sizes; the resulting 365-day interval is conditional and is not interchangeable with the primary center-bootstrap interval.</w:t>
      </w:r>
    </w:p>
    <w:p w14:paraId="1A20B575" w14:textId="77777777" w:rsidR="003826A6" w:rsidRPr="00A16E3A" w:rsidRDefault="003826A6" w:rsidP="003826A6">
      <w:pPr>
        <w:pStyle w:val="Corpsdetexte"/>
      </w:pPr>
      <w:r w:rsidRPr="00A16E3A">
        <w:t xml:space="preserve">The second sensitivity analysis addressed the asymmetry in operative approach by restricting both groups to procedures initiated laparoscopically. Conversions remained assigned to the initially selected strategy. Baseline covariates and early outcomes were </w:t>
      </w:r>
      <w:proofErr w:type="spellStart"/>
      <w:r w:rsidRPr="00A16E3A">
        <w:t>reimputed</w:t>
      </w:r>
      <w:proofErr w:type="spellEnd"/>
      <w:r w:rsidRPr="00A16E3A">
        <w:t xml:space="preserve"> within the restricted cohort, and the clinical propensity model without center, normalized overlap weights, weighted Aalen–Johansen estimator, and center bootstrap were all </w:t>
      </w:r>
      <w:proofErr w:type="spellStart"/>
      <w:r w:rsidRPr="00A16E3A">
        <w:t>reestimated</w:t>
      </w:r>
      <w:proofErr w:type="spellEnd"/>
      <w:r w:rsidRPr="00A16E3A">
        <w:t>. This analysis targets a smaller, route-symmetric overlap population and does not estimate the independent causal effect of laparoscopy. A pooled center-bootstrap interval was calculated for the 365-day risk difference; completion and numerical diagnostics are reported in Supplementary Table S8.</w:t>
      </w:r>
    </w:p>
    <w:bookmarkEnd w:id="8"/>
    <w:p w14:paraId="73DE0BD0" w14:textId="77777777" w:rsidR="003826A6" w:rsidRPr="00A16E3A" w:rsidRDefault="003826A6" w:rsidP="003826A6">
      <w:pPr>
        <w:pStyle w:val="Titre2"/>
        <w:rPr>
          <w:rFonts w:ascii="Times New Roman" w:hAnsi="Times New Roman" w:cs="Times New Roman"/>
        </w:rPr>
      </w:pPr>
      <w:r w:rsidRPr="00A16E3A">
        <w:rPr>
          <w:rFonts w:ascii="Times New Roman" w:hAnsi="Times New Roman" w:cs="Times New Roman"/>
        </w:rPr>
        <w:lastRenderedPageBreak/>
        <w:t>Post hoc analysis according to Hartmann conversion status</w:t>
      </w:r>
    </w:p>
    <w:p w14:paraId="28782140" w14:textId="77777777" w:rsidR="003826A6" w:rsidRPr="00A16E3A" w:rsidRDefault="003826A6" w:rsidP="003826A6">
      <w:r w:rsidRPr="00A16E3A">
        <w:t>A post hoc exploratory analysis was restricted to the laparoscopy-first Hartmann group and described subsequent stoma closure according to whether the index procedure was completed laparoscopically or converted to laparotomy. Conversion was treated as a post-treatment prognostic marker, not as an assigned treatment. No propensity-score weighting, imputation, or Fine–Gray model was applied in this analysis.</w:t>
      </w:r>
    </w:p>
    <w:p w14:paraId="23A0634D" w14:textId="77777777" w:rsidR="003826A6" w:rsidRPr="00A16E3A" w:rsidRDefault="003826A6" w:rsidP="003826A6">
      <w:pPr>
        <w:pStyle w:val="Corpsdetexte"/>
      </w:pPr>
      <w:r w:rsidRPr="00A16E3A">
        <w:t>The same adjudicated closure, death, and follow-up times as in the primary analysis were used. Unweighted Aalen–Johansen estimators quantified the cumulative incidence of closure at 90, 180, 365, and 730 days, with death before closure treated as a competing event. The descriptive contrast was converted minus completed laparoscopically at 365 days. Its variance was estimated from 10,000 center-bootstrap replications and a 95% interval used the number of Hartmann-contributing centers minus one as the finite-sample degrees of freedom. A replication was valid only when both conversion groups and every requested time returned finite, admissible cumulative incidences. No hypothesis test or causal interpretation was used.</w:t>
      </w:r>
    </w:p>
    <w:p w14:paraId="5B0E4CA6" w14:textId="77777777" w:rsidR="003826A6" w:rsidRPr="00A16E3A" w:rsidRDefault="003826A6" w:rsidP="003826A6">
      <w:pPr>
        <w:pStyle w:val="Titre2"/>
        <w:rPr>
          <w:rFonts w:ascii="Times New Roman" w:hAnsi="Times New Roman" w:cs="Times New Roman"/>
        </w:rPr>
      </w:pPr>
      <w:r w:rsidRPr="00A16E3A">
        <w:rPr>
          <w:rFonts w:ascii="Times New Roman" w:hAnsi="Times New Roman" w:cs="Times New Roman"/>
        </w:rPr>
        <w:t>Software, reproducibility, and multiplicity</w:t>
      </w:r>
    </w:p>
    <w:p w14:paraId="4E9F67AD" w14:textId="0BFDC790" w:rsidR="003826A6" w:rsidRPr="00A16E3A" w:rsidRDefault="003826A6" w:rsidP="003826A6">
      <w:r w:rsidRPr="00A16E3A">
        <w:t xml:space="preserve">Analyses used R version 4.6.1, with mice 3.19.0, </w:t>
      </w:r>
      <w:proofErr w:type="spellStart"/>
      <w:r w:rsidRPr="00A16E3A">
        <w:t>MatchThem</w:t>
      </w:r>
      <w:proofErr w:type="spellEnd"/>
      <w:r w:rsidRPr="00A16E3A">
        <w:t xml:space="preserve"> 1.2.1, </w:t>
      </w:r>
      <w:proofErr w:type="spellStart"/>
      <w:r w:rsidRPr="00A16E3A">
        <w:t>WeightIt</w:t>
      </w:r>
      <w:proofErr w:type="spellEnd"/>
      <w:r w:rsidRPr="00A16E3A">
        <w:t xml:space="preserve"> 1.7.0, cobalt 4.6.3, survey 4.5, survival 3.8-9. The random seed was 20260811. All tests were two-sided. The 365-day cumulative-incidence difference was the single primary contrast; no multiplicity adjustment was applied to secondary, supportive, or sensitivity analyses, which should be interpreted descriptively.</w:t>
      </w:r>
    </w:p>
    <w:p w14:paraId="54593CDA" w14:textId="77777777" w:rsidR="003826A6" w:rsidRPr="00A16E3A" w:rsidRDefault="003826A6" w:rsidP="003826A6">
      <w:pPr>
        <w:pStyle w:val="Titre2"/>
        <w:rPr>
          <w:rFonts w:ascii="Times New Roman" w:hAnsi="Times New Roman" w:cs="Times New Roman"/>
          <w:b/>
        </w:rPr>
      </w:pPr>
      <w:r w:rsidRPr="00A16E3A">
        <w:rPr>
          <w:rFonts w:ascii="Times New Roman" w:hAnsi="Times New Roman" w:cs="Times New Roman"/>
          <w:b/>
        </w:rPr>
        <w:lastRenderedPageBreak/>
        <w:t>Use of artificial intelligence and large language models</w:t>
      </w:r>
    </w:p>
    <w:p w14:paraId="7E804B56" w14:textId="044ABE4A" w:rsidR="003826A6" w:rsidRPr="00A16E3A" w:rsidRDefault="003826A6" w:rsidP="003826A6">
      <w:pPr>
        <w:rPr>
          <w:b/>
          <w:bCs w:val="0"/>
        </w:rPr>
      </w:pPr>
      <w:bookmarkStart w:id="9" w:name="_Hlk240473536"/>
      <w:proofErr w:type="spellStart"/>
      <w:r w:rsidRPr="00A16E3A">
        <w:t>Devstral</w:t>
      </w:r>
      <w:proofErr w:type="spellEnd"/>
      <w:r w:rsidRPr="00A16E3A">
        <w:t xml:space="preserve"> Small 2 (24B; Mistral AI), run locally on an offline hospital computer through </w:t>
      </w:r>
      <w:proofErr w:type="spellStart"/>
      <w:r w:rsidRPr="00A16E3A">
        <w:t>Ollama</w:t>
      </w:r>
      <w:proofErr w:type="spellEnd"/>
      <w:r w:rsidRPr="00A16E3A">
        <w:t>, was used to assist with the development of statistical analysis code. All generated code was reviewed and tested by the authors before use in the final analyses. The authors take full responsibility for the analyses and results.</w:t>
      </w:r>
    </w:p>
    <w:bookmarkEnd w:id="9"/>
    <w:p w14:paraId="1AD721C6" w14:textId="77777777" w:rsidR="003826A6" w:rsidRPr="00A16E3A" w:rsidRDefault="003826A6" w:rsidP="003826A6">
      <w:pPr>
        <w:spacing w:line="240" w:lineRule="auto"/>
        <w:ind w:right="0"/>
      </w:pPr>
      <w:r w:rsidRPr="00A16E3A">
        <w:br w:type="page"/>
      </w:r>
    </w:p>
    <w:bookmarkEnd w:id="1"/>
    <w:p w14:paraId="4A376240"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Table S1. Missing variables, imputation methods, and auxiliary variables</w:t>
      </w:r>
    </w:p>
    <w:tbl>
      <w:tblPr>
        <w:tblW w:w="0" w:type="auto"/>
        <w:jc w:val="center"/>
        <w:tblLayout w:type="fixed"/>
        <w:tblLook w:val="0420" w:firstRow="1" w:lastRow="0" w:firstColumn="0" w:lastColumn="0" w:noHBand="0" w:noVBand="1"/>
      </w:tblPr>
      <w:tblGrid>
        <w:gridCol w:w="3168"/>
        <w:gridCol w:w="3096"/>
        <w:gridCol w:w="1440"/>
        <w:gridCol w:w="3240"/>
        <w:gridCol w:w="4536"/>
      </w:tblGrid>
      <w:tr w:rsidR="003826A6" w:rsidRPr="00A16E3A" w14:paraId="48AA1A73" w14:textId="77777777" w:rsidTr="00F266F6">
        <w:trPr>
          <w:tblHeader/>
          <w:jc w:val="center"/>
        </w:trPr>
        <w:tc>
          <w:tcPr>
            <w:tcW w:w="316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C1095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Variable</w:t>
            </w:r>
          </w:p>
        </w:tc>
        <w:tc>
          <w:tcPr>
            <w:tcW w:w="309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91260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Role</w:t>
            </w:r>
          </w:p>
        </w:tc>
        <w:tc>
          <w:tcPr>
            <w:tcW w:w="14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46BB973" w14:textId="77777777" w:rsidR="003826A6" w:rsidRPr="00A16E3A" w:rsidRDefault="003826A6" w:rsidP="00F266F6">
            <w:pPr>
              <w:spacing w:line="240" w:lineRule="auto"/>
            </w:pPr>
            <w:r w:rsidRPr="00A16E3A">
              <w:rPr>
                <w:sz w:val="16"/>
              </w:rPr>
              <w:t>Missing, n (%)</w:t>
            </w:r>
          </w:p>
        </w:tc>
        <w:tc>
          <w:tcPr>
            <w:tcW w:w="32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B6366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Method</w:t>
            </w:r>
          </w:p>
        </w:tc>
        <w:tc>
          <w:tcPr>
            <w:tcW w:w="453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05143F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Note</w:t>
            </w:r>
          </w:p>
        </w:tc>
      </w:tr>
      <w:tr w:rsidR="003826A6" w:rsidRPr="00A16E3A" w14:paraId="6C3A2B39" w14:textId="77777777" w:rsidTr="00F266F6">
        <w:trPr>
          <w:jc w:val="center"/>
        </w:trPr>
        <w:tc>
          <w:tcPr>
            <w:tcW w:w="316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C589F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Patient identifier</w:t>
            </w:r>
          </w:p>
        </w:tc>
        <w:tc>
          <w:tcPr>
            <w:tcW w:w="309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49B47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Identifier or auxiliary variable</w:t>
            </w:r>
          </w:p>
        </w:tc>
        <w:tc>
          <w:tcPr>
            <w:tcW w:w="14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C67B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4372F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9ED40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Excluded from all prediction equations</w:t>
            </w:r>
          </w:p>
        </w:tc>
      </w:tr>
      <w:tr w:rsidR="003826A6" w:rsidRPr="00A16E3A" w14:paraId="11D1A134"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99198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Treatment strategy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741DA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Treatment indicator</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A1E3C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AB78B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44071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6F924C8B"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20E2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Center</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86965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Center auxiliary predictor</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43223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85375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A8820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6CEFBC92"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8F5B3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Age</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AA59D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4479C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 (0.3%)</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015CE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Predictive mean matching</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55E2F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569B2C09"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220D6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Male sex</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68CC2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6D0D0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9967A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9A49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7591CE27"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F53B8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Body mass index</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FA415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ADFB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49 (14.4%)</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5508E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Predictive mean matching</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428FC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Center removed from this equation because of deterministic/collinear indicators</w:t>
            </w:r>
          </w:p>
        </w:tc>
      </w:tr>
      <w:tr w:rsidR="003826A6" w:rsidRPr="00A16E3A" w14:paraId="2DF5F6D2"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EB5B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ASA class</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ADF79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0001B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9 (2.6%)</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4DD91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Proportional-odds regression</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8E0F8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5ACDA228"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0AB52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Neurologic comorbidity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D44AF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DEA7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871D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A3BE7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6715604C"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D2BFB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Cardiovascular comorbidity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11612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95D0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10 (2.9%)</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01B38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1E6F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3922C28E"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C3F0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Pulmonary comorbidity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AA5C8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ABE22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12 (3.5%)</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1101A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7A83E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0997BC30"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E9DA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Diabetes</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B43B26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F772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9 (2.6%)</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2BD2C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434AC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55BF58C7"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1B2A6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Smoking</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363DE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F2BA1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44 (12.9%)</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DABE8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CC32A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35634092"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BDA1A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Immunosuppression</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FA24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31DF2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10 (2.9%)</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4BA99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5394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4EE436CB"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B0EA7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Anticoagulant therapy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1FD7B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A40E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11 (3.2%)</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CC4D9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9699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57E94842"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16F66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Antiplatelet therapy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742B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C6CE3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15 (4.4%)</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E1806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089FD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560DA196"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85F28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Previous midline laparotomy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CB6FE9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3529C6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15 (4.4%)</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46432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B0A0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06416763"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FCE3E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Previous diverticulitis</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C05B7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9823E8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15 (4.4%)</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A46CA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E7EB7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Center removed from this equation because of deterministic/collinear indicators</w:t>
            </w:r>
          </w:p>
        </w:tc>
      </w:tr>
      <w:tr w:rsidR="003826A6" w:rsidRPr="00A16E3A" w14:paraId="6394C01D"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28000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Surgery on admission day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96F0A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9C03A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9 (2.6%)</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44D93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EBC2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61DA56CE"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B0F3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Hinchey IV</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A3CCC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2FA2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73958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3CB43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68D5D352"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40F8D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Bowel obstruction</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9778C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900F28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 (0.3%)</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654AD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F5B2B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5E35A47A"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18DD8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Fistula</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6B39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53BEB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C8EBD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0C842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277D2294"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F3C8E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Calendar year</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EB43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Baseline propensity-score covariate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0540B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 (0.3%)</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91251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Predictive mean matching</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8D76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789AFB02"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A4412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Any 90-day morbidity</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64A0F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8083E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 (0.3%)</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5193D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A1147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p>
        </w:tc>
      </w:tr>
      <w:tr w:rsidR="003826A6" w:rsidRPr="00A16E3A" w14:paraId="5EF2B47D"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9C7D8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Major morbidity (</w:t>
            </w:r>
            <w:proofErr w:type="spellStart"/>
            <w:r w:rsidRPr="00A16E3A">
              <w:rPr>
                <w:sz w:val="16"/>
                <w:szCs w:val="16"/>
              </w:rPr>
              <w:t>Clavien</w:t>
            </w:r>
            <w:proofErr w:type="spellEnd"/>
            <w:r w:rsidRPr="00A16E3A">
              <w:rPr>
                <w:sz w:val="16"/>
                <w:szCs w:val="16"/>
              </w:rPr>
              <w:t>–Dindo &gt;II)</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879F5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F8D8F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 (0.3%)</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79DE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6230B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Constrained to 0 when overall morbidity is 0</w:t>
            </w:r>
          </w:p>
        </w:tc>
      </w:tr>
      <w:tr w:rsidR="003826A6" w:rsidRPr="00A16E3A" w14:paraId="2471A2C5"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03167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Deep abscess</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1EB7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3D1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5 (1.5%)</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848E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12A5D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Constrained to 0 when overall morbidity is 0</w:t>
            </w:r>
          </w:p>
        </w:tc>
      </w:tr>
      <w:tr w:rsidR="003826A6" w:rsidRPr="00A16E3A" w14:paraId="70DFFB55"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67E1BB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Drainage</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FACFA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FD9AD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3 (0.9%)</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298A5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ACDE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Constrained to 0 when overall morbidity is 0</w:t>
            </w:r>
          </w:p>
        </w:tc>
      </w:tr>
      <w:tr w:rsidR="003826A6" w:rsidRPr="00A16E3A" w14:paraId="1499651E"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9E63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Hemorrhagic complication</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C27D7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5406C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5 (1.5%)</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943A1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5304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Constrained to 0 when overall morbidity is 0</w:t>
            </w:r>
          </w:p>
        </w:tc>
      </w:tr>
      <w:tr w:rsidR="003826A6" w:rsidRPr="00A16E3A" w14:paraId="4F6C2384"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C8DD2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Transfusion</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D9164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389E5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10 (2.9%)</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1EABA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ABBC8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Constrained to 0 when overall morbidity is 0</w:t>
            </w:r>
          </w:p>
        </w:tc>
      </w:tr>
      <w:tr w:rsidR="003826A6" w:rsidRPr="00A16E3A" w14:paraId="649B3C1E"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9B59B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Reoperation</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CB3D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1D19F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2 (0.6%)</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79690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E0A3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Constrained to 0 when overall morbidity is 0</w:t>
            </w:r>
          </w:p>
        </w:tc>
      </w:tr>
      <w:tr w:rsidR="003826A6" w:rsidRPr="00A16E3A" w14:paraId="2DF91A5B"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5E3E1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Intensive care admission</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7FCC9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Early postoperative outcome</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D9BD5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5 (1.5%)</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407FD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Classification and regression tree</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4B2B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Constrained to 0 when overall morbidity is 0</w:t>
            </w:r>
          </w:p>
        </w:tc>
      </w:tr>
      <w:tr w:rsidR="003826A6" w:rsidRPr="00A16E3A" w14:paraId="577836E7"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74E2E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 usable follow-up indicator</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31D3E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Indicator of unusable time-to-event follow-up</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9BBEF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F975A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23476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Seven patients; distinguishes absence of follow-up information</w:t>
            </w:r>
          </w:p>
        </w:tc>
      </w:tr>
      <w:tr w:rsidR="003826A6" w:rsidRPr="00A16E3A" w14:paraId="0C9F39D5"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DF23F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Stoma-closure event indicator</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4AC9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Cause-specific event indicator</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0D736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A11BEE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D5F83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Cause-specific event information through day 730</w:t>
            </w:r>
          </w:p>
        </w:tc>
      </w:tr>
      <w:tr w:rsidR="003826A6" w:rsidRPr="00A16E3A" w14:paraId="535018BF"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7A658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Death-before-closure indicator</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962BB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Cause-specific event indicator</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7B10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EEE6B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166C9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Cause-specific event information through day 730</w:t>
            </w:r>
          </w:p>
        </w:tc>
      </w:tr>
      <w:tr w:rsidR="003826A6" w:rsidRPr="00A16E3A" w14:paraId="26C13A09"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D22CF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Nelson–Aalen hazard: closure</w:t>
            </w:r>
          </w:p>
        </w:tc>
        <w:tc>
          <w:tcPr>
            <w:tcW w:w="309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13771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Cause-specific Nelson–Aalen cumulative hazard</w:t>
            </w:r>
          </w:p>
        </w:tc>
        <w:tc>
          <w:tcPr>
            <w:tcW w:w="14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CD71A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6"/>
                <w:szCs w:val="16"/>
              </w:rPr>
              <w:t>0 (0.0%)</w:t>
            </w:r>
          </w:p>
        </w:tc>
        <w:tc>
          <w:tcPr>
            <w:tcW w:w="32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8DA62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Not imputed; auxiliary predictor</w:t>
            </w:r>
          </w:p>
        </w:tc>
        <w:tc>
          <w:tcPr>
            <w:tcW w:w="453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A2CE10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6"/>
                <w:szCs w:val="16"/>
              </w:rPr>
              <w:t>Marginal cause-specific cumulative hazard through day 730</w:t>
            </w:r>
          </w:p>
        </w:tc>
      </w:tr>
      <w:tr w:rsidR="003826A6" w:rsidRPr="00A16E3A" w14:paraId="0FD4868F" w14:textId="77777777" w:rsidTr="00F266F6">
        <w:trPr>
          <w:jc w:val="center"/>
        </w:trPr>
        <w:tc>
          <w:tcPr>
            <w:tcW w:w="316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DC2E2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4"/>
                <w:szCs w:val="16"/>
              </w:rPr>
              <w:t>Nelson–Aalen hazard: death</w:t>
            </w:r>
          </w:p>
        </w:tc>
        <w:tc>
          <w:tcPr>
            <w:tcW w:w="309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2E47C6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4"/>
                <w:szCs w:val="16"/>
              </w:rPr>
              <w:t>Cause-specific Nelson–Aalen cumulative hazard</w:t>
            </w:r>
          </w:p>
        </w:tc>
        <w:tc>
          <w:tcPr>
            <w:tcW w:w="14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85E95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jc w:val="center"/>
              <w:rPr>
                <w:sz w:val="16"/>
                <w:szCs w:val="16"/>
              </w:rPr>
            </w:pPr>
            <w:r w:rsidRPr="00A16E3A">
              <w:rPr>
                <w:sz w:val="14"/>
                <w:szCs w:val="16"/>
              </w:rPr>
              <w:t>0 (0.0%)</w:t>
            </w:r>
          </w:p>
        </w:tc>
        <w:tc>
          <w:tcPr>
            <w:tcW w:w="32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654971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4"/>
                <w:szCs w:val="16"/>
              </w:rPr>
              <w:t>Not imputed; auxiliary predictor</w:t>
            </w:r>
          </w:p>
        </w:tc>
        <w:tc>
          <w:tcPr>
            <w:tcW w:w="453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358FA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sz w:val="16"/>
                <w:szCs w:val="16"/>
              </w:rPr>
            </w:pPr>
            <w:r w:rsidRPr="00A16E3A">
              <w:rPr>
                <w:sz w:val="14"/>
                <w:szCs w:val="16"/>
              </w:rPr>
              <w:t>Marginal cause-specific cumulative hazard through day 730</w:t>
            </w:r>
          </w:p>
        </w:tc>
      </w:tr>
      <w:tr w:rsidR="003826A6" w:rsidRPr="00A16E3A" w14:paraId="5798CA3B" w14:textId="77777777" w:rsidTr="00F266F6">
        <w:trPr>
          <w:jc w:val="center"/>
        </w:trPr>
        <w:tc>
          <w:tcPr>
            <w:tcW w:w="144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73AD8B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line="240" w:lineRule="auto"/>
              <w:ind w:left="100" w:right="100"/>
              <w:rPr>
                <w:rFonts w:eastAsia="Helvetica"/>
                <w:sz w:val="15"/>
                <w:szCs w:val="15"/>
              </w:rPr>
            </w:pPr>
            <w:r w:rsidRPr="00A16E3A">
              <w:rPr>
                <w:rFonts w:eastAsia="Helvetica"/>
                <w:sz w:val="14"/>
                <w:szCs w:val="15"/>
              </w:rPr>
              <w:t>MICE used 20 imputations and 15 iterations. Early binary outcomes with missing values were imputed jointly with baseline covariates. Event times were not imputed. After imputation, specific and major complications were constrained to zero when overall morbidity was zero. In the initial-laparoscopy sensitivity only, center was also removed from the smoking equation because a center indicator was deterministic; the propensity-score model itself was unchanged.</w:t>
            </w:r>
          </w:p>
        </w:tc>
      </w:tr>
    </w:tbl>
    <w:p w14:paraId="1B932CE7" w14:textId="77777777" w:rsidR="003826A6" w:rsidRPr="00A16E3A" w:rsidRDefault="003826A6" w:rsidP="003826A6">
      <w:r w:rsidRPr="00A16E3A">
        <w:br w:type="page"/>
      </w:r>
    </w:p>
    <w:p w14:paraId="782E49DE"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Table S2. Weighted baseline characteristics and balance diagnostics</w:t>
      </w:r>
    </w:p>
    <w:tbl>
      <w:tblPr>
        <w:tblpPr w:leftFromText="141" w:rightFromText="141" w:vertAnchor="text" w:horzAnchor="margin" w:tblpY="731"/>
        <w:tblW w:w="0" w:type="auto"/>
        <w:tblLayout w:type="fixed"/>
        <w:tblLook w:val="0420" w:firstRow="1" w:lastRow="0" w:firstColumn="0" w:lastColumn="0" w:noHBand="0" w:noVBand="1"/>
      </w:tblPr>
      <w:tblGrid>
        <w:gridCol w:w="6624"/>
        <w:gridCol w:w="3816"/>
        <w:gridCol w:w="3816"/>
      </w:tblGrid>
      <w:tr w:rsidR="003826A6" w:rsidRPr="00A16E3A" w14:paraId="6D2400B3" w14:textId="77777777" w:rsidTr="00F266F6">
        <w:trPr>
          <w:tblHeader/>
        </w:trPr>
        <w:tc>
          <w:tcPr>
            <w:tcW w:w="662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2D4D37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Characteristic</w:t>
            </w:r>
          </w:p>
        </w:tc>
        <w:tc>
          <w:tcPr>
            <w:tcW w:w="38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C0716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Lap. Hartmann OW</w:t>
            </w:r>
          </w:p>
        </w:tc>
        <w:tc>
          <w:tcPr>
            <w:tcW w:w="381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CACCE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Protected resection-anastomosis OW</w:t>
            </w:r>
          </w:p>
        </w:tc>
      </w:tr>
      <w:tr w:rsidR="003826A6" w:rsidRPr="00A16E3A" w14:paraId="399A389A" w14:textId="77777777" w:rsidTr="00F266F6">
        <w:tc>
          <w:tcPr>
            <w:tcW w:w="662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3BCF1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Age, years</w:t>
            </w:r>
          </w:p>
        </w:tc>
        <w:tc>
          <w:tcPr>
            <w:tcW w:w="38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85373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60.0 [49.0, 75.0]</w:t>
            </w:r>
          </w:p>
        </w:tc>
        <w:tc>
          <w:tcPr>
            <w:tcW w:w="381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A4353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61.0 [51.0, 71.0]</w:t>
            </w:r>
          </w:p>
        </w:tc>
      </w:tr>
      <w:tr w:rsidR="003826A6" w:rsidRPr="00A16E3A" w14:paraId="522C6F58"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C7A399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Male sex</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F76C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56.0%</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7C509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56.0%</w:t>
            </w:r>
          </w:p>
        </w:tc>
      </w:tr>
      <w:tr w:rsidR="003826A6" w:rsidRPr="00A16E3A" w14:paraId="0E6C166A"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B86F8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Body mass index, kg/m²</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9BE28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25.7 [22.5, 28.6]</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4EA71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25.4 [22.8, 29.4]</w:t>
            </w:r>
          </w:p>
        </w:tc>
      </w:tr>
      <w:tr w:rsidR="003826A6" w:rsidRPr="00A16E3A" w14:paraId="41236188"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3A48ED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ASA class</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07A52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573F4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p>
        </w:tc>
      </w:tr>
      <w:tr w:rsidR="003826A6" w:rsidRPr="00A16E3A" w14:paraId="6EE17962"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176F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 xml:space="preserve">   1</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DFCC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28.4%</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76713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28.4%</w:t>
            </w:r>
          </w:p>
        </w:tc>
      </w:tr>
      <w:tr w:rsidR="003826A6" w:rsidRPr="00A16E3A" w14:paraId="197FFFE2"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FA85D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 xml:space="preserve">   2</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EE19E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50.5%</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46533C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50.5%</w:t>
            </w:r>
          </w:p>
        </w:tc>
      </w:tr>
      <w:tr w:rsidR="003826A6" w:rsidRPr="00A16E3A" w14:paraId="76114B0F"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8849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 xml:space="preserve">   3</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7DF5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17.6%</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0809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17.6%</w:t>
            </w:r>
          </w:p>
        </w:tc>
      </w:tr>
      <w:tr w:rsidR="003826A6" w:rsidRPr="00A16E3A" w14:paraId="6F6B9F17"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797F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 xml:space="preserve">   4</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1C3CE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3.6%</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59D5C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3.6%</w:t>
            </w:r>
          </w:p>
        </w:tc>
      </w:tr>
      <w:tr w:rsidR="003826A6" w:rsidRPr="00A16E3A" w14:paraId="6FBC425A"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C3272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Neurologic comorbidity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C2998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14.9%</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8A20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14.9%</w:t>
            </w:r>
          </w:p>
        </w:tc>
      </w:tr>
      <w:tr w:rsidR="003826A6" w:rsidRPr="00A16E3A" w14:paraId="2B4DC20E"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4A5AC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Cardiovascular comorbidity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8A37B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35.0%</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888987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35.0%</w:t>
            </w:r>
          </w:p>
        </w:tc>
      </w:tr>
      <w:tr w:rsidR="003826A6" w:rsidRPr="00A16E3A" w14:paraId="2712EA50"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1A6F2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Pulmonary comorbidity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27CDE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16.2%</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1274A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16.2%</w:t>
            </w:r>
          </w:p>
        </w:tc>
      </w:tr>
      <w:tr w:rsidR="003826A6" w:rsidRPr="00A16E3A" w14:paraId="300E838B"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B3D44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Diabetes</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E2AF9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6.7%</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77C00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6.7%</w:t>
            </w:r>
          </w:p>
        </w:tc>
      </w:tr>
      <w:tr w:rsidR="003826A6" w:rsidRPr="00A16E3A" w14:paraId="6454601F"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D92B6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Smoking history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6332A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28.2%</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9B5D3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28.2%</w:t>
            </w:r>
          </w:p>
        </w:tc>
      </w:tr>
      <w:tr w:rsidR="003826A6" w:rsidRPr="00A16E3A" w14:paraId="78F8B010"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F86E3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Immunosuppression</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A9DFF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12.7%</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02F83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12.7%</w:t>
            </w:r>
          </w:p>
        </w:tc>
      </w:tr>
      <w:tr w:rsidR="003826A6" w:rsidRPr="00A16E3A" w14:paraId="0250BCC5"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787597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Anticoagulant therapy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E7FE34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9.4%</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3DF0E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9.4%</w:t>
            </w:r>
          </w:p>
        </w:tc>
      </w:tr>
      <w:tr w:rsidR="003826A6" w:rsidRPr="00A16E3A" w14:paraId="555125C2"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66910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Antiplatelet therapy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D6B3F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11.5%</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C366F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11.5%</w:t>
            </w:r>
          </w:p>
        </w:tc>
      </w:tr>
      <w:tr w:rsidR="003826A6" w:rsidRPr="00A16E3A" w14:paraId="4E9060BE"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22672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Previous midline laparotomy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3DB4D2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10.2%</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BCE2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10.2%</w:t>
            </w:r>
          </w:p>
        </w:tc>
      </w:tr>
      <w:tr w:rsidR="003826A6" w:rsidRPr="00A16E3A" w14:paraId="0E5FA12F"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DC4A3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Previous diverticulitis</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18F19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26.1%</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F9B34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26.1%</w:t>
            </w:r>
          </w:p>
        </w:tc>
      </w:tr>
      <w:tr w:rsidR="003826A6" w:rsidRPr="00A16E3A" w14:paraId="3D4D4C8B"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73B4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Operation on admission day</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68E26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98.7%</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C2C00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98.7%</w:t>
            </w:r>
          </w:p>
        </w:tc>
      </w:tr>
      <w:tr w:rsidR="003826A6" w:rsidRPr="00A16E3A" w14:paraId="0C99DF49"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7E4A5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Hinchey IV peritonitis</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F696E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28.6%</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08686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28.6%</w:t>
            </w:r>
          </w:p>
        </w:tc>
      </w:tr>
      <w:tr w:rsidR="003826A6" w:rsidRPr="00A16E3A" w14:paraId="1B3CD077" w14:textId="77777777" w:rsidTr="00F266F6">
        <w:tc>
          <w:tcPr>
            <w:tcW w:w="662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1798E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Bowel obstruction</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1EE9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5.3%</w:t>
            </w:r>
          </w:p>
        </w:tc>
        <w:tc>
          <w:tcPr>
            <w:tcW w:w="381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3C2AA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5.3%</w:t>
            </w:r>
          </w:p>
        </w:tc>
      </w:tr>
      <w:tr w:rsidR="003826A6" w:rsidRPr="00A16E3A" w14:paraId="5D6693DB" w14:textId="77777777" w:rsidTr="00F266F6">
        <w:tc>
          <w:tcPr>
            <w:tcW w:w="662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716148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rPr>
                <w:sz w:val="20"/>
                <w:szCs w:val="20"/>
              </w:rPr>
            </w:pPr>
            <w:r w:rsidRPr="00A16E3A">
              <w:rPr>
                <w:sz w:val="20"/>
                <w:szCs w:val="20"/>
              </w:rPr>
              <w:t>Fistula</w:t>
            </w:r>
          </w:p>
        </w:tc>
        <w:tc>
          <w:tcPr>
            <w:tcW w:w="38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51DB0A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2.0%</w:t>
            </w:r>
          </w:p>
        </w:tc>
        <w:tc>
          <w:tcPr>
            <w:tcW w:w="381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0F6A1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20" w:after="20" w:line="240" w:lineRule="auto"/>
              <w:ind w:left="20" w:right="20"/>
              <w:jc w:val="center"/>
              <w:rPr>
                <w:sz w:val="20"/>
                <w:szCs w:val="20"/>
              </w:rPr>
            </w:pPr>
            <w:r w:rsidRPr="00A16E3A">
              <w:rPr>
                <w:sz w:val="20"/>
                <w:szCs w:val="20"/>
              </w:rPr>
              <w:t>2.0%</w:t>
            </w:r>
          </w:p>
        </w:tc>
      </w:tr>
      <w:tr w:rsidR="003826A6" w:rsidRPr="00A16E3A" w14:paraId="7EE387B3" w14:textId="77777777" w:rsidTr="00F266F6">
        <w:tc>
          <w:tcPr>
            <w:tcW w:w="14256" w:type="dxa"/>
            <w:gridSpan w:val="3"/>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34310A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sz w:val="20"/>
                <w:szCs w:val="20"/>
              </w:rPr>
            </w:pPr>
            <w:r w:rsidRPr="00A16E3A">
              <w:rPr>
                <w:rFonts w:eastAsia="Helvetica"/>
                <w:sz w:val="20"/>
                <w:szCs w:val="20"/>
              </w:rPr>
              <w:t xml:space="preserve">Values are overlap-weighted medians [Q1, Q3] or percentages from the equally weighted stack of 20 imputed datasets. These summaries describe the measured-overlap population targeted by the ATO </w:t>
            </w:r>
            <w:proofErr w:type="spellStart"/>
            <w:r w:rsidRPr="00A16E3A">
              <w:rPr>
                <w:rFonts w:eastAsia="Helvetica"/>
                <w:sz w:val="20"/>
                <w:szCs w:val="20"/>
              </w:rPr>
              <w:t>estimand</w:t>
            </w:r>
            <w:proofErr w:type="spellEnd"/>
            <w:r w:rsidRPr="00A16E3A">
              <w:rPr>
                <w:rFonts w:eastAsia="Helvetica"/>
                <w:sz w:val="20"/>
                <w:szCs w:val="20"/>
              </w:rPr>
              <w:t>. Observed cohort characteristics are reported in Table 1 of the main manuscript.</w:t>
            </w:r>
          </w:p>
        </w:tc>
      </w:tr>
    </w:tbl>
    <w:p w14:paraId="79D9C979" w14:textId="77777777" w:rsidR="003826A6" w:rsidRPr="00A16E3A" w:rsidRDefault="003826A6" w:rsidP="003826A6">
      <w:pPr>
        <w:pStyle w:val="Titre2"/>
        <w:rPr>
          <w:rFonts w:ascii="Times New Roman" w:hAnsi="Times New Roman" w:cs="Times New Roman"/>
        </w:rPr>
      </w:pPr>
      <w:r w:rsidRPr="00A16E3A">
        <w:rPr>
          <w:rFonts w:ascii="Times New Roman" w:hAnsi="Times New Roman" w:cs="Times New Roman"/>
        </w:rPr>
        <w:t>Panel A. Overlap-weighted baseline characteristics</w:t>
      </w:r>
    </w:p>
    <w:p w14:paraId="331312EE" w14:textId="77777777" w:rsidR="003826A6" w:rsidRPr="00A16E3A" w:rsidRDefault="003826A6" w:rsidP="003826A6">
      <w:r w:rsidRPr="00A16E3A">
        <w:br w:type="page"/>
      </w:r>
    </w:p>
    <w:p w14:paraId="7DCA048E" w14:textId="77777777" w:rsidR="003826A6" w:rsidRPr="00A16E3A" w:rsidRDefault="003826A6" w:rsidP="003826A6">
      <w:pPr>
        <w:pStyle w:val="Titre2"/>
        <w:spacing w:before="40" w:after="40" w:line="240" w:lineRule="auto"/>
        <w:rPr>
          <w:rFonts w:ascii="Times New Roman" w:hAnsi="Times New Roman" w:cs="Times New Roman"/>
        </w:rPr>
      </w:pPr>
      <w:r w:rsidRPr="00A16E3A">
        <w:rPr>
          <w:rFonts w:ascii="Times New Roman" w:hAnsi="Times New Roman" w:cs="Times New Roman"/>
        </w:rPr>
        <w:lastRenderedPageBreak/>
        <w:t>Panel B. Balance diagnostics across imputations</w:t>
      </w:r>
    </w:p>
    <w:tbl>
      <w:tblPr>
        <w:tblW w:w="0" w:type="auto"/>
        <w:jc w:val="center"/>
        <w:tblLayout w:type="fixed"/>
        <w:tblLook w:val="0420" w:firstRow="1" w:lastRow="0" w:firstColumn="0" w:lastColumn="0" w:noHBand="0" w:noVBand="1"/>
      </w:tblPr>
      <w:tblGrid>
        <w:gridCol w:w="3168"/>
        <w:gridCol w:w="1944"/>
        <w:gridCol w:w="1944"/>
        <w:gridCol w:w="1944"/>
        <w:gridCol w:w="1944"/>
        <w:gridCol w:w="1944"/>
        <w:gridCol w:w="1944"/>
      </w:tblGrid>
      <w:tr w:rsidR="003826A6" w:rsidRPr="00A16E3A" w14:paraId="72C70921" w14:textId="77777777" w:rsidTr="00F266F6">
        <w:trPr>
          <w:tblHeader/>
          <w:jc w:val="center"/>
        </w:trPr>
        <w:tc>
          <w:tcPr>
            <w:tcW w:w="316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1DC27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Covariate</w:t>
            </w:r>
          </w:p>
        </w:tc>
        <w:tc>
          <w:tcPr>
            <w:tcW w:w="1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B9DA8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Maximum unweighted |SMD|</w:t>
            </w:r>
          </w:p>
        </w:tc>
        <w:tc>
          <w:tcPr>
            <w:tcW w:w="1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F01F0B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Maximum weighted |SMD|</w:t>
            </w:r>
          </w:p>
        </w:tc>
        <w:tc>
          <w:tcPr>
            <w:tcW w:w="1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87D989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Minimum weighted variance ratio</w:t>
            </w:r>
          </w:p>
        </w:tc>
        <w:tc>
          <w:tcPr>
            <w:tcW w:w="1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53C47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Maximum weighted variance ratio</w:t>
            </w:r>
          </w:p>
        </w:tc>
        <w:tc>
          <w:tcPr>
            <w:tcW w:w="1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9A469A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Maximum unweighted KS</w:t>
            </w:r>
          </w:p>
        </w:tc>
        <w:tc>
          <w:tcPr>
            <w:tcW w:w="19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774CB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Maximum weighted KS</w:t>
            </w:r>
          </w:p>
        </w:tc>
      </w:tr>
      <w:tr w:rsidR="003826A6" w:rsidRPr="00A16E3A" w14:paraId="130041C8" w14:textId="77777777" w:rsidTr="00F266F6">
        <w:trPr>
          <w:jc w:val="center"/>
        </w:trPr>
        <w:tc>
          <w:tcPr>
            <w:tcW w:w="316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B6327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Surgery on admission day</w:t>
            </w:r>
          </w:p>
        </w:tc>
        <w:tc>
          <w:tcPr>
            <w:tcW w:w="1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BB0C9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0.273</w:t>
            </w:r>
          </w:p>
        </w:tc>
        <w:tc>
          <w:tcPr>
            <w:tcW w:w="1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2E0003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75DAC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57147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B8A94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0.047</w:t>
            </w:r>
          </w:p>
        </w:tc>
        <w:tc>
          <w:tcPr>
            <w:tcW w:w="19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426A9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04B481F9"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E8531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Calendar year</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C8BDD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0.188</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27160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84E43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0.822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34958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0.844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59640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0.105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FA11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0.066</w:t>
            </w:r>
          </w:p>
        </w:tc>
      </w:tr>
      <w:tr w:rsidR="003826A6" w:rsidRPr="00A16E3A" w14:paraId="441E1651"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EAD5E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Previous diverticulitis</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1D758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0.282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31CD9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A94A7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9A6F9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B74B0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0.125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C5D8E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0B284423"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4AEE7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Age</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AAA77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0.380</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E84DF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03B14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0.797</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6B3F11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0.851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35D1F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0.218</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C4777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0.099</w:t>
            </w:r>
          </w:p>
        </w:tc>
      </w:tr>
      <w:tr w:rsidR="003826A6" w:rsidRPr="00A16E3A" w14:paraId="156172F1"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2CAAAC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Body mass index</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05CF9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0.149</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F971A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8ADEE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0.969</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B97054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1.266</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BB29D8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0.113</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E52465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0.103</w:t>
            </w:r>
          </w:p>
        </w:tc>
      </w:tr>
      <w:tr w:rsidR="003826A6" w:rsidRPr="00A16E3A" w14:paraId="25CE6CC0"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833A4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Neurologic comorbidity</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5F8E8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0.103</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EAED7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6A4B8B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EE6B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F6216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0.037</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6CFA6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4715F9CA"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2ED1D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Immunosuppression</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35525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0.284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A4ABA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9C33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A1F80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B429F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0.098</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BA95E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32E3FA9F"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1C94A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Antiplatelet therapy</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805F9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0.183</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07DF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4D89E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B14C7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CE9B3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0.059</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02552B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056A4777"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12770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Anticoagulant therapy</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E65B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0.150</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22E6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FBBD8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A1B04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F4EA1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0.044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53AB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494D877C"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44508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Hinchey IV</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D35DD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0.339</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4879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921D9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8722F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55658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0.152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F23BE6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05FACC7D"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536DB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Fistula</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A6201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0.217</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29D4D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D6342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9CDC3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BA295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0.039</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CFC66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79965A44"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388F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Previous midline laparotomy</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E293B8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0.173</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EDC6EF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99304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DD639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435FB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0.051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BCD07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4CD03783"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11D84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Cardiovascular comorbidity</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2826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0.031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71206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F5D73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4EBFE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5207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0.015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5A5DE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3186C51A"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AEE6DF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ASA class 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7FD5A3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0.176</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7C01A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58F4B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B099B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05289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0.078</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F3FEE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0DE5C39F"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44407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Diabetes</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6A4D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0.054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2B344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0BA3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D75B67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7E4BF5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0.015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8CCEC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5A28D71C"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8E72F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Bowel obstruction</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E580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0.032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E3277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6E82F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A2D2B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7A648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0.007</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70B6F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20D989CB"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126C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Male sex</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C9D02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0.149</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4327A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5445E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10B40E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7C6CE4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0.074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0E3DE7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6684FA9A"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487E41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Smoking</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570A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0.253</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FEFED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3986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E79C15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FFBFDD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0.115</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4671B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16A87964"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68EDB9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ASA class 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18AC3B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0.064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82FC2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F3DC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C0EA2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5E3E09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0.032</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22BD57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366DE450"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845B84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ASA class 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BBA2E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0.141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A64943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95D85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9978D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4BCC36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0.027</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8A0A88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2041E533" w14:textId="77777777" w:rsidTr="00F266F6">
        <w:trPr>
          <w:jc w:val="center"/>
        </w:trPr>
        <w:tc>
          <w:tcPr>
            <w:tcW w:w="316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0DC9D6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Pulmonary comorbidity</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8FC8D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0.146</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19D2E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EBDA59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8757D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42C5B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0.054</w:t>
            </w:r>
          </w:p>
        </w:tc>
        <w:tc>
          <w:tcPr>
            <w:tcW w:w="19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FA74D0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67FCB22E" w14:textId="77777777" w:rsidTr="00F266F6">
        <w:trPr>
          <w:jc w:val="center"/>
        </w:trPr>
        <w:tc>
          <w:tcPr>
            <w:tcW w:w="316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B02941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ASA class 3</w:t>
            </w:r>
          </w:p>
        </w:tc>
        <w:tc>
          <w:tcPr>
            <w:tcW w:w="1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F829E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0.219</w:t>
            </w:r>
          </w:p>
        </w:tc>
        <w:tc>
          <w:tcPr>
            <w:tcW w:w="1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6C137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&lt;0.000001</w:t>
            </w:r>
          </w:p>
        </w:tc>
        <w:tc>
          <w:tcPr>
            <w:tcW w:w="1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340EA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022122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61E351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0.083</w:t>
            </w:r>
          </w:p>
        </w:tc>
        <w:tc>
          <w:tcPr>
            <w:tcW w:w="19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E7503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0.000</w:t>
            </w:r>
          </w:p>
        </w:tc>
      </w:tr>
      <w:tr w:rsidR="003826A6" w:rsidRPr="00A16E3A" w14:paraId="65DA5249" w14:textId="77777777" w:rsidTr="00F266F6">
        <w:trPr>
          <w:jc w:val="center"/>
        </w:trPr>
        <w:tc>
          <w:tcPr>
            <w:tcW w:w="14832" w:type="dxa"/>
            <w:gridSpan w:val="7"/>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644C801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rFonts w:eastAsia="Helvetica"/>
                <w:sz w:val="20"/>
                <w:szCs w:val="20"/>
              </w:rPr>
            </w:pPr>
            <w:r w:rsidRPr="00A16E3A">
              <w:rPr>
                <w:rFonts w:eastAsia="Helvetica"/>
                <w:sz w:val="20"/>
                <w:szCs w:val="20"/>
              </w:rPr>
              <w:t>Values are the most extreme diagnostics across 20 imputations. Continuous and binary covariates were standardized using the unweighted pooled standard deviation within each imputation. For score terms, mean balance is exact by construction with unpenalized logistic overlap weighting; weighted |SMD| &lt;10⁻⁶ was therefore an integrity check. Variance ratios are not defined for binary covariates. KS = Kolmogorov–Smirnov statistic.</w:t>
            </w:r>
          </w:p>
        </w:tc>
      </w:tr>
    </w:tbl>
    <w:p w14:paraId="03939E41" w14:textId="77777777" w:rsidR="003826A6" w:rsidRPr="00A16E3A" w:rsidRDefault="003826A6" w:rsidP="003826A6">
      <w:pPr>
        <w:spacing w:before="40" w:after="40" w:line="240" w:lineRule="auto"/>
      </w:pPr>
      <w:r w:rsidRPr="00A16E3A">
        <w:br w:type="page"/>
      </w:r>
    </w:p>
    <w:p w14:paraId="512ACE06" w14:textId="77777777" w:rsidR="003826A6" w:rsidRPr="00A16E3A" w:rsidRDefault="003826A6" w:rsidP="003826A6">
      <w:pPr>
        <w:pStyle w:val="Titre1"/>
        <w:spacing w:before="40" w:after="40" w:line="240" w:lineRule="auto"/>
        <w:rPr>
          <w:rFonts w:ascii="Times New Roman" w:hAnsi="Times New Roman" w:cs="Times New Roman"/>
        </w:rPr>
      </w:pPr>
      <w:r w:rsidRPr="00A16E3A">
        <w:rPr>
          <w:rFonts w:ascii="Times New Roman" w:hAnsi="Times New Roman" w:cs="Times New Roman"/>
        </w:rPr>
        <w:lastRenderedPageBreak/>
        <w:t>Supplementary Table S3. Normalized overlap-weight diagnostics</w:t>
      </w:r>
    </w:p>
    <w:tbl>
      <w:tblPr>
        <w:tblW w:w="0" w:type="auto"/>
        <w:tblLayout w:type="fixed"/>
        <w:tblLook w:val="0420" w:firstRow="1" w:lastRow="0" w:firstColumn="0" w:lastColumn="0" w:noHBand="0" w:noVBand="1"/>
      </w:tblPr>
      <w:tblGrid>
        <w:gridCol w:w="3758"/>
        <w:gridCol w:w="1258"/>
        <w:gridCol w:w="1258"/>
        <w:gridCol w:w="1258"/>
        <w:gridCol w:w="1258"/>
        <w:gridCol w:w="1258"/>
        <w:gridCol w:w="1258"/>
        <w:gridCol w:w="1258"/>
        <w:gridCol w:w="1258"/>
        <w:gridCol w:w="1259"/>
      </w:tblGrid>
      <w:tr w:rsidR="003826A6" w:rsidRPr="00A16E3A" w14:paraId="47CB9619" w14:textId="77777777" w:rsidTr="00F266F6">
        <w:trPr>
          <w:trHeight w:val="291"/>
          <w:tblHeader/>
        </w:trPr>
        <w:tc>
          <w:tcPr>
            <w:tcW w:w="37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22E8EA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rPr>
                <w:sz w:val="20"/>
                <w:szCs w:val="20"/>
              </w:rPr>
            </w:pPr>
            <w:r w:rsidRPr="00A16E3A">
              <w:rPr>
                <w:sz w:val="20"/>
                <w:szCs w:val="20"/>
              </w:rPr>
              <w:t>Strategy</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245C2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n</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F07E8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Minimum</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5325DE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1st percentile</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849397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Median</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2F50B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Group mean</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377FC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99th percentile</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22EABB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Maximum</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37EA05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ESS</w:t>
            </w:r>
          </w:p>
        </w:tc>
        <w:tc>
          <w:tcPr>
            <w:tcW w:w="125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BDAE68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ESS/n</w:t>
            </w:r>
          </w:p>
        </w:tc>
      </w:tr>
      <w:tr w:rsidR="003826A6" w:rsidRPr="00A16E3A" w14:paraId="007C9DCD" w14:textId="77777777" w:rsidTr="00F266F6">
        <w:trPr>
          <w:trHeight w:val="291"/>
        </w:trPr>
        <w:tc>
          <w:tcPr>
            <w:tcW w:w="37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A260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rPr>
                <w:sz w:val="20"/>
                <w:szCs w:val="20"/>
              </w:rPr>
            </w:pPr>
            <w:r w:rsidRPr="00A16E3A">
              <w:rPr>
                <w:sz w:val="20"/>
                <w:szCs w:val="20"/>
              </w:rPr>
              <w:t>Hartmann</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A2D34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136</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490561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0.29–0.43</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043573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0.37–0.49</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76C9C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1.24–1.30</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27B2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1.25–1.25</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F6F4B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1.85–1.96</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162C9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1.89–2.09</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5B9E4E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124.3–126.2</w:t>
            </w:r>
          </w:p>
        </w:tc>
        <w:tc>
          <w:tcPr>
            <w:tcW w:w="125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78FBE1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0.914–0.928</w:t>
            </w:r>
          </w:p>
        </w:tc>
      </w:tr>
      <w:tr w:rsidR="003826A6" w:rsidRPr="00A16E3A" w14:paraId="349D3A24" w14:textId="77777777" w:rsidTr="00F266F6">
        <w:trPr>
          <w:trHeight w:val="277"/>
        </w:trPr>
        <w:tc>
          <w:tcPr>
            <w:tcW w:w="37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7BE775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rPr>
                <w:sz w:val="20"/>
                <w:szCs w:val="20"/>
              </w:rPr>
            </w:pPr>
            <w:r w:rsidRPr="00A16E3A">
              <w:rPr>
                <w:sz w:val="20"/>
                <w:szCs w:val="20"/>
              </w:rPr>
              <w:t>Protected resection-anastomosis</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0F55BC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204</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D00EA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0.06–0.14</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BCE2F0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0.11–0.20</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FEFC32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0.76–0.79</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C1EF9F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0.83–0.83</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B69A07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1.67–1.86</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3D3C7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2.00–2.10</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E44544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170.3–175.0</w:t>
            </w:r>
          </w:p>
        </w:tc>
        <w:tc>
          <w:tcPr>
            <w:tcW w:w="125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E62EFF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jc w:val="center"/>
              <w:rPr>
                <w:sz w:val="20"/>
                <w:szCs w:val="20"/>
              </w:rPr>
            </w:pPr>
            <w:r w:rsidRPr="00A16E3A">
              <w:rPr>
                <w:sz w:val="20"/>
                <w:szCs w:val="20"/>
              </w:rPr>
              <w:t>0.835–0.858</w:t>
            </w:r>
          </w:p>
        </w:tc>
      </w:tr>
      <w:tr w:rsidR="003826A6" w:rsidRPr="00A16E3A" w14:paraId="4B2748A2" w14:textId="77777777" w:rsidTr="00F266F6">
        <w:trPr>
          <w:trHeight w:val="464"/>
        </w:trPr>
        <w:tc>
          <w:tcPr>
            <w:tcW w:w="15081" w:type="dxa"/>
            <w:gridSpan w:val="10"/>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ECC355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0"/>
              <w:rPr>
                <w:rFonts w:eastAsia="Helvetica"/>
                <w:sz w:val="20"/>
                <w:szCs w:val="20"/>
              </w:rPr>
            </w:pPr>
            <w:r w:rsidRPr="00A16E3A">
              <w:rPr>
                <w:rFonts w:eastAsia="Helvetica"/>
                <w:sz w:val="20"/>
                <w:szCs w:val="20"/>
              </w:rPr>
              <w:t xml:space="preserve">Entries are ranges across 20 imputations. Weights were divided by their overall mean within each imputation, so the overall mean was 1 although group-specific means differ. ESS = (sum of </w:t>
            </w:r>
            <w:proofErr w:type="gramStart"/>
            <w:r w:rsidRPr="00A16E3A">
              <w:rPr>
                <w:rFonts w:eastAsia="Helvetica"/>
                <w:sz w:val="20"/>
                <w:szCs w:val="20"/>
              </w:rPr>
              <w:t>weights)²</w:t>
            </w:r>
            <w:proofErr w:type="gramEnd"/>
            <w:r w:rsidRPr="00A16E3A">
              <w:rPr>
                <w:rFonts w:eastAsia="Helvetica"/>
                <w:sz w:val="20"/>
                <w:szCs w:val="20"/>
              </w:rPr>
              <w:t>/sum of squared weights. ESS, ESS/n, and weight concentration were descriptive diagnostics; no canonical cutoff was applied.</w:t>
            </w:r>
          </w:p>
        </w:tc>
      </w:tr>
    </w:tbl>
    <w:p w14:paraId="3D1A5C9F" w14:textId="77777777" w:rsidR="003826A6" w:rsidRPr="00A16E3A" w:rsidRDefault="003826A6" w:rsidP="003826A6">
      <w:pPr>
        <w:spacing w:before="40" w:after="40" w:line="240" w:lineRule="auto"/>
      </w:pPr>
      <w:r w:rsidRPr="00A16E3A">
        <w:br w:type="page"/>
      </w:r>
    </w:p>
    <w:p w14:paraId="37601D93" w14:textId="77777777" w:rsidR="003826A6" w:rsidRPr="00A16E3A" w:rsidRDefault="003826A6" w:rsidP="003826A6">
      <w:pPr>
        <w:pStyle w:val="Titre1"/>
        <w:spacing w:before="40" w:after="40" w:line="240" w:lineRule="auto"/>
        <w:rPr>
          <w:rFonts w:ascii="Times New Roman" w:hAnsi="Times New Roman" w:cs="Times New Roman"/>
        </w:rPr>
      </w:pPr>
      <w:r w:rsidRPr="00A16E3A">
        <w:rPr>
          <w:rFonts w:ascii="Times New Roman" w:hAnsi="Times New Roman" w:cs="Times New Roman"/>
        </w:rPr>
        <w:lastRenderedPageBreak/>
        <w:t>Supplementary Table S4. Cumulative incidence of stoma closure at prespecified times</w:t>
      </w:r>
    </w:p>
    <w:tbl>
      <w:tblPr>
        <w:tblW w:w="0" w:type="auto"/>
        <w:tblLayout w:type="fixed"/>
        <w:tblLook w:val="0420" w:firstRow="1" w:lastRow="0" w:firstColumn="0" w:lastColumn="0" w:noHBand="0" w:noVBand="1"/>
      </w:tblPr>
      <w:tblGrid>
        <w:gridCol w:w="1154"/>
        <w:gridCol w:w="3544"/>
        <w:gridCol w:w="4533"/>
        <w:gridCol w:w="4533"/>
        <w:gridCol w:w="1320"/>
      </w:tblGrid>
      <w:tr w:rsidR="003826A6" w:rsidRPr="00A16E3A" w14:paraId="29507079" w14:textId="77777777" w:rsidTr="00F266F6">
        <w:trPr>
          <w:trHeight w:val="288"/>
          <w:tblHeader/>
        </w:trPr>
        <w:tc>
          <w:tcPr>
            <w:tcW w:w="115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D5B53C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Day</w:t>
            </w:r>
          </w:p>
        </w:tc>
        <w:tc>
          <w:tcPr>
            <w:tcW w:w="3544"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A944F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Lap. Hartmann, % (95% CI)</w:t>
            </w:r>
          </w:p>
        </w:tc>
        <w:tc>
          <w:tcPr>
            <w:tcW w:w="453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C8A65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Protected resection-anastomosis, % (95% CI)</w:t>
            </w:r>
          </w:p>
        </w:tc>
        <w:tc>
          <w:tcPr>
            <w:tcW w:w="453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FA2C1F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Absolute difference, percentage points (95% CI)</w:t>
            </w:r>
          </w:p>
        </w:tc>
        <w:tc>
          <w:tcPr>
            <w:tcW w:w="1318"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F89A9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P value</w:t>
            </w:r>
          </w:p>
        </w:tc>
      </w:tr>
      <w:tr w:rsidR="003826A6" w:rsidRPr="00A16E3A" w14:paraId="5DAC0705" w14:textId="77777777" w:rsidTr="00F266F6">
        <w:trPr>
          <w:trHeight w:val="288"/>
        </w:trPr>
        <w:tc>
          <w:tcPr>
            <w:tcW w:w="115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799F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90</w:t>
            </w:r>
          </w:p>
        </w:tc>
        <w:tc>
          <w:tcPr>
            <w:tcW w:w="3544"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DA618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9.1 (2.6–15.6)</w:t>
            </w:r>
          </w:p>
        </w:tc>
        <w:tc>
          <w:tcPr>
            <w:tcW w:w="453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ADD9A1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28.2 (15.3–41.1)</w:t>
            </w:r>
          </w:p>
        </w:tc>
        <w:tc>
          <w:tcPr>
            <w:tcW w:w="453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6C666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19.1 (4.7–33.4)</w:t>
            </w:r>
          </w:p>
        </w:tc>
        <w:tc>
          <w:tcPr>
            <w:tcW w:w="1318"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3A14A4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0.011</w:t>
            </w:r>
          </w:p>
        </w:tc>
      </w:tr>
      <w:tr w:rsidR="003826A6" w:rsidRPr="00A16E3A" w14:paraId="6981D81F" w14:textId="77777777" w:rsidTr="00F266F6">
        <w:trPr>
          <w:trHeight w:val="276"/>
        </w:trPr>
        <w:tc>
          <w:tcPr>
            <w:tcW w:w="11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63A9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180</w:t>
            </w:r>
          </w:p>
        </w:tc>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D534CD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54.1 (44.5–63.7)</w:t>
            </w:r>
          </w:p>
        </w:tc>
        <w:tc>
          <w:tcPr>
            <w:tcW w:w="4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FB68EB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71.3 (62.7–79.8)</w:t>
            </w:r>
          </w:p>
        </w:tc>
        <w:tc>
          <w:tcPr>
            <w:tcW w:w="4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8EFE4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17.2 (5.7–28.7)</w:t>
            </w:r>
          </w:p>
        </w:tc>
        <w:tc>
          <w:tcPr>
            <w:tcW w:w="1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BE52F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0.005</w:t>
            </w:r>
          </w:p>
        </w:tc>
      </w:tr>
      <w:tr w:rsidR="003826A6" w:rsidRPr="00A16E3A" w14:paraId="45064976" w14:textId="77777777" w:rsidTr="00F266F6">
        <w:trPr>
          <w:trHeight w:val="276"/>
        </w:trPr>
        <w:tc>
          <w:tcPr>
            <w:tcW w:w="115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54D09E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365</w:t>
            </w:r>
          </w:p>
        </w:tc>
        <w:tc>
          <w:tcPr>
            <w:tcW w:w="3544"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781F1A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71.7 (62.0–81.4)</w:t>
            </w:r>
          </w:p>
        </w:tc>
        <w:tc>
          <w:tcPr>
            <w:tcW w:w="4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2094D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91.5 (85.8–97.2)</w:t>
            </w:r>
          </w:p>
        </w:tc>
        <w:tc>
          <w:tcPr>
            <w:tcW w:w="453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FFB020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19.8 (10.3–29.4)</w:t>
            </w:r>
          </w:p>
        </w:tc>
        <w:tc>
          <w:tcPr>
            <w:tcW w:w="1318"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B88AA9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&lt;0.001</w:t>
            </w:r>
          </w:p>
        </w:tc>
      </w:tr>
      <w:tr w:rsidR="003826A6" w:rsidRPr="00A16E3A" w14:paraId="1EE0FFAB" w14:textId="77777777" w:rsidTr="00F266F6">
        <w:trPr>
          <w:trHeight w:val="288"/>
        </w:trPr>
        <w:tc>
          <w:tcPr>
            <w:tcW w:w="115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3D1A7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730</w:t>
            </w:r>
          </w:p>
        </w:tc>
        <w:tc>
          <w:tcPr>
            <w:tcW w:w="3544"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C2C547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77.9 (69.2–86.5)</w:t>
            </w:r>
          </w:p>
        </w:tc>
        <w:tc>
          <w:tcPr>
            <w:tcW w:w="453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BB0426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94.7 (90.0–99.3)</w:t>
            </w:r>
          </w:p>
        </w:tc>
        <w:tc>
          <w:tcPr>
            <w:tcW w:w="453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3F02A9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16.8 (8.1–25.4)</w:t>
            </w:r>
          </w:p>
        </w:tc>
        <w:tc>
          <w:tcPr>
            <w:tcW w:w="1318"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7F9F573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&lt;0.001</w:t>
            </w:r>
          </w:p>
        </w:tc>
      </w:tr>
      <w:tr w:rsidR="003826A6" w:rsidRPr="00A16E3A" w14:paraId="4715FD2E" w14:textId="77777777" w:rsidTr="00F266F6">
        <w:trPr>
          <w:trHeight w:val="439"/>
        </w:trPr>
        <w:tc>
          <w:tcPr>
            <w:tcW w:w="15084"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38BD092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rFonts w:eastAsia="Helvetica"/>
                <w:sz w:val="20"/>
                <w:szCs w:val="20"/>
              </w:rPr>
            </w:pPr>
            <w:r w:rsidRPr="00A16E3A">
              <w:rPr>
                <w:rFonts w:eastAsia="Helvetica"/>
                <w:sz w:val="20"/>
                <w:szCs w:val="20"/>
              </w:rPr>
              <w:t xml:space="preserve">Weighted Aalen–Johansen cumulative incidence with death before closure as a competing event. Difference = protected resection-anastomosis minus Hartmann. Variance combined center-bootstrap and multiple-imputation uncertainty. The 365-day difference was the primary </w:t>
            </w:r>
            <w:proofErr w:type="spellStart"/>
            <w:r w:rsidRPr="00A16E3A">
              <w:rPr>
                <w:rFonts w:eastAsia="Helvetica"/>
                <w:sz w:val="20"/>
                <w:szCs w:val="20"/>
              </w:rPr>
              <w:t>estimand</w:t>
            </w:r>
            <w:proofErr w:type="spellEnd"/>
            <w:r w:rsidRPr="00A16E3A">
              <w:rPr>
                <w:rFonts w:eastAsia="Helvetica"/>
                <w:sz w:val="20"/>
                <w:szCs w:val="20"/>
              </w:rPr>
              <w:t>.</w:t>
            </w:r>
          </w:p>
        </w:tc>
      </w:tr>
    </w:tbl>
    <w:p w14:paraId="319EB4E3" w14:textId="77777777" w:rsidR="003826A6" w:rsidRPr="00A16E3A" w:rsidRDefault="003826A6" w:rsidP="003826A6">
      <w:pPr>
        <w:spacing w:before="40" w:after="40" w:line="240" w:lineRule="auto"/>
      </w:pPr>
      <w:r w:rsidRPr="00A16E3A">
        <w:br w:type="page"/>
      </w:r>
    </w:p>
    <w:p w14:paraId="308E46E0" w14:textId="77777777" w:rsidR="003826A6" w:rsidRPr="00A16E3A" w:rsidRDefault="003826A6" w:rsidP="003826A6">
      <w:pPr>
        <w:pStyle w:val="Titre1"/>
        <w:spacing w:before="40" w:after="40" w:line="240" w:lineRule="auto"/>
        <w:rPr>
          <w:rFonts w:ascii="Times New Roman" w:hAnsi="Times New Roman" w:cs="Times New Roman"/>
        </w:rPr>
      </w:pPr>
      <w:r w:rsidRPr="00A16E3A">
        <w:rPr>
          <w:rFonts w:ascii="Times New Roman" w:hAnsi="Times New Roman" w:cs="Times New Roman"/>
        </w:rPr>
        <w:lastRenderedPageBreak/>
        <w:t>Supplementary Table S5. Other early postoperative descriptors</w:t>
      </w:r>
    </w:p>
    <w:tbl>
      <w:tblPr>
        <w:tblW w:w="0" w:type="auto"/>
        <w:tblLayout w:type="fixed"/>
        <w:tblLook w:val="0420" w:firstRow="1" w:lastRow="0" w:firstColumn="0" w:lastColumn="0" w:noHBand="0" w:noVBand="1"/>
      </w:tblPr>
      <w:tblGrid>
        <w:gridCol w:w="6963"/>
        <w:gridCol w:w="4061"/>
        <w:gridCol w:w="4063"/>
      </w:tblGrid>
      <w:tr w:rsidR="003826A6" w:rsidRPr="00A16E3A" w14:paraId="563923E3" w14:textId="77777777" w:rsidTr="00F266F6">
        <w:trPr>
          <w:trHeight w:val="319"/>
          <w:tblHeader/>
        </w:trPr>
        <w:tc>
          <w:tcPr>
            <w:tcW w:w="696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41D41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Early postoperative descriptor</w:t>
            </w:r>
          </w:p>
        </w:tc>
        <w:tc>
          <w:tcPr>
            <w:tcW w:w="40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1736D7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Lap. Hartmann OW</w:t>
            </w:r>
          </w:p>
        </w:tc>
        <w:tc>
          <w:tcPr>
            <w:tcW w:w="406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43A937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Protected resection-anastomosis OW</w:t>
            </w:r>
          </w:p>
        </w:tc>
      </w:tr>
      <w:tr w:rsidR="003826A6" w:rsidRPr="00A16E3A" w14:paraId="4CB50939" w14:textId="77777777" w:rsidTr="00F266F6">
        <w:trPr>
          <w:trHeight w:val="319"/>
        </w:trPr>
        <w:tc>
          <w:tcPr>
            <w:tcW w:w="696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922908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Postoperative packed red-cell units</w:t>
            </w:r>
          </w:p>
        </w:tc>
        <w:tc>
          <w:tcPr>
            <w:tcW w:w="40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E0EAB4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 [0.0, 0.0]</w:t>
            </w:r>
          </w:p>
        </w:tc>
        <w:tc>
          <w:tcPr>
            <w:tcW w:w="406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CDE41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0.0 [0.0, 0.0]</w:t>
            </w:r>
          </w:p>
        </w:tc>
      </w:tr>
      <w:tr w:rsidR="003826A6" w:rsidRPr="00A16E3A" w14:paraId="0D8F1B19" w14:textId="77777777" w:rsidTr="00F266F6">
        <w:trPr>
          <w:trHeight w:val="306"/>
        </w:trPr>
        <w:tc>
          <w:tcPr>
            <w:tcW w:w="696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82F9DA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 xml:space="preserve">Postoperative hospital </w:t>
            </w:r>
            <w:proofErr w:type="gramStart"/>
            <w:r w:rsidRPr="00A16E3A">
              <w:rPr>
                <w:sz w:val="20"/>
                <w:szCs w:val="20"/>
              </w:rPr>
              <w:t>stay</w:t>
            </w:r>
            <w:proofErr w:type="gramEnd"/>
            <w:r w:rsidRPr="00A16E3A">
              <w:rPr>
                <w:sz w:val="20"/>
                <w:szCs w:val="20"/>
              </w:rPr>
              <w:t>, days</w:t>
            </w:r>
          </w:p>
        </w:tc>
        <w:tc>
          <w:tcPr>
            <w:tcW w:w="40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5BF261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12.0 [8.0, 20.0]</w:t>
            </w:r>
          </w:p>
        </w:tc>
        <w:tc>
          <w:tcPr>
            <w:tcW w:w="406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125432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 [8.0, 16.0]</w:t>
            </w:r>
          </w:p>
        </w:tc>
      </w:tr>
      <w:tr w:rsidR="003826A6" w:rsidRPr="00A16E3A" w14:paraId="53A338FE" w14:textId="77777777" w:rsidTr="00F266F6">
        <w:trPr>
          <w:trHeight w:val="279"/>
        </w:trPr>
        <w:tc>
          <w:tcPr>
            <w:tcW w:w="15087" w:type="dxa"/>
            <w:gridSpan w:val="3"/>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60F4A5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rFonts w:eastAsia="Helvetica"/>
                <w:sz w:val="20"/>
                <w:szCs w:val="20"/>
              </w:rPr>
            </w:pPr>
            <w:r w:rsidRPr="00A16E3A">
              <w:rPr>
                <w:rFonts w:eastAsia="Helvetica"/>
                <w:sz w:val="20"/>
                <w:szCs w:val="20"/>
              </w:rPr>
              <w:t>Overlap-weighted descriptive estimates from the equally weighted stack of 20 imputed datasets. Continuous variables are median [IQR]. No hypothesis tests were performed for these post-treatment variables.</w:t>
            </w:r>
          </w:p>
        </w:tc>
      </w:tr>
    </w:tbl>
    <w:p w14:paraId="37CE3A8C" w14:textId="77777777" w:rsidR="003826A6" w:rsidRPr="00A16E3A" w:rsidRDefault="003826A6" w:rsidP="003826A6">
      <w:pPr>
        <w:spacing w:before="40" w:after="40" w:line="240" w:lineRule="auto"/>
      </w:pPr>
      <w:r w:rsidRPr="00A16E3A">
        <w:br w:type="page"/>
      </w:r>
    </w:p>
    <w:p w14:paraId="7DA8D144" w14:textId="77777777" w:rsidR="003826A6" w:rsidRPr="00A16E3A" w:rsidRDefault="003826A6" w:rsidP="003826A6">
      <w:pPr>
        <w:pStyle w:val="Titre1"/>
        <w:spacing w:before="40" w:after="40" w:line="240" w:lineRule="auto"/>
        <w:rPr>
          <w:rFonts w:ascii="Times New Roman" w:hAnsi="Times New Roman" w:cs="Times New Roman"/>
        </w:rPr>
      </w:pPr>
      <w:r w:rsidRPr="00A16E3A">
        <w:rPr>
          <w:rFonts w:ascii="Times New Roman" w:hAnsi="Times New Roman" w:cs="Times New Roman"/>
        </w:rPr>
        <w:lastRenderedPageBreak/>
        <w:t>Supplementary Table S6. Dual-strategy-center sensitivity</w:t>
      </w:r>
    </w:p>
    <w:tbl>
      <w:tblPr>
        <w:tblW w:w="0" w:type="auto"/>
        <w:tblLayout w:type="fixed"/>
        <w:tblLook w:val="0420" w:firstRow="1" w:lastRow="0" w:firstColumn="0" w:lastColumn="0" w:noHBand="0" w:noVBand="1"/>
      </w:tblPr>
      <w:tblGrid>
        <w:gridCol w:w="987"/>
        <w:gridCol w:w="3457"/>
        <w:gridCol w:w="3457"/>
        <w:gridCol w:w="4362"/>
        <w:gridCol w:w="2882"/>
      </w:tblGrid>
      <w:tr w:rsidR="003826A6" w:rsidRPr="00A16E3A" w14:paraId="2A93538E" w14:textId="77777777" w:rsidTr="00F266F6">
        <w:trPr>
          <w:trHeight w:val="274"/>
          <w:tblHeader/>
        </w:trPr>
        <w:tc>
          <w:tcPr>
            <w:tcW w:w="98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07117B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Day</w:t>
            </w:r>
          </w:p>
        </w:tc>
        <w:tc>
          <w:tcPr>
            <w:tcW w:w="34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A689B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Lap. Hartmann CIF, mean (range), %</w:t>
            </w:r>
          </w:p>
        </w:tc>
        <w:tc>
          <w:tcPr>
            <w:tcW w:w="3457"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FCFB1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Protected RA CIF, mean (range), %</w:t>
            </w:r>
          </w:p>
        </w:tc>
        <w:tc>
          <w:tcPr>
            <w:tcW w:w="436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3A104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Absolute difference, mean (range), percentage points</w:t>
            </w:r>
          </w:p>
        </w:tc>
        <w:tc>
          <w:tcPr>
            <w:tcW w:w="288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A903D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Conditional 95% CI for difference</w:t>
            </w:r>
          </w:p>
        </w:tc>
      </w:tr>
      <w:tr w:rsidR="003826A6" w:rsidRPr="00A16E3A" w14:paraId="15F410C1" w14:textId="77777777" w:rsidTr="00F266F6">
        <w:trPr>
          <w:trHeight w:val="274"/>
        </w:trPr>
        <w:tc>
          <w:tcPr>
            <w:tcW w:w="98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0F9271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90</w:t>
            </w:r>
          </w:p>
        </w:tc>
        <w:tc>
          <w:tcPr>
            <w:tcW w:w="345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5D28D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6.4 (5.2–6.9)</w:t>
            </w:r>
          </w:p>
        </w:tc>
        <w:tc>
          <w:tcPr>
            <w:tcW w:w="3457"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F3D23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24.8 (23.8–26.7)</w:t>
            </w:r>
          </w:p>
        </w:tc>
        <w:tc>
          <w:tcPr>
            <w:tcW w:w="436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D3435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18.5 (17.5–21.6)</w:t>
            </w:r>
          </w:p>
        </w:tc>
        <w:tc>
          <w:tcPr>
            <w:tcW w:w="288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CC556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Not estimated</w:t>
            </w:r>
          </w:p>
        </w:tc>
      </w:tr>
      <w:tr w:rsidR="003826A6" w:rsidRPr="00A16E3A" w14:paraId="3FDBC465" w14:textId="77777777" w:rsidTr="00F266F6">
        <w:trPr>
          <w:trHeight w:val="261"/>
        </w:trPr>
        <w:tc>
          <w:tcPr>
            <w:tcW w:w="9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337D8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180</w:t>
            </w: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636D7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53.4 (51.7–54.5)</w:t>
            </w: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26B951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71.4 (70.1–74.3)</w:t>
            </w:r>
          </w:p>
        </w:tc>
        <w:tc>
          <w:tcPr>
            <w:tcW w:w="4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43A74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18.0 (16.3–20.9)</w:t>
            </w:r>
          </w:p>
        </w:tc>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274A49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Not estimated</w:t>
            </w:r>
          </w:p>
        </w:tc>
      </w:tr>
      <w:tr w:rsidR="003826A6" w:rsidRPr="00A16E3A" w14:paraId="46324E30" w14:textId="77777777" w:rsidTr="00F266F6">
        <w:trPr>
          <w:trHeight w:val="274"/>
        </w:trPr>
        <w:tc>
          <w:tcPr>
            <w:tcW w:w="98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0A3AB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365</w:t>
            </w: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7B917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67.0 (65.4–67.9)</w:t>
            </w:r>
          </w:p>
        </w:tc>
        <w:tc>
          <w:tcPr>
            <w:tcW w:w="3457"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8950C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89.9 (89.1–91.2)</w:t>
            </w:r>
          </w:p>
        </w:tc>
        <w:tc>
          <w:tcPr>
            <w:tcW w:w="436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ED09D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22.9 (21.4–24.7)</w:t>
            </w:r>
          </w:p>
        </w:tc>
        <w:tc>
          <w:tcPr>
            <w:tcW w:w="288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99F0FE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10.4 to 35.4</w:t>
            </w:r>
          </w:p>
        </w:tc>
      </w:tr>
      <w:tr w:rsidR="003826A6" w:rsidRPr="00A16E3A" w14:paraId="24CAA228" w14:textId="77777777" w:rsidTr="00F266F6">
        <w:trPr>
          <w:trHeight w:val="261"/>
        </w:trPr>
        <w:tc>
          <w:tcPr>
            <w:tcW w:w="98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EE5A8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730</w:t>
            </w:r>
          </w:p>
        </w:tc>
        <w:tc>
          <w:tcPr>
            <w:tcW w:w="345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13FE1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79.5 (78.0–80.6)</w:t>
            </w:r>
          </w:p>
        </w:tc>
        <w:tc>
          <w:tcPr>
            <w:tcW w:w="3457"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3081E7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91.0 (90.0–92.1)</w:t>
            </w:r>
          </w:p>
        </w:tc>
        <w:tc>
          <w:tcPr>
            <w:tcW w:w="436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98567B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11.5 (10.2–13.2)</w:t>
            </w:r>
          </w:p>
        </w:tc>
        <w:tc>
          <w:tcPr>
            <w:tcW w:w="288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DE9937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Not estimated</w:t>
            </w:r>
          </w:p>
        </w:tc>
      </w:tr>
      <w:tr w:rsidR="003826A6" w:rsidRPr="00A16E3A" w14:paraId="16804627" w14:textId="77777777" w:rsidTr="00F266F6">
        <w:trPr>
          <w:trHeight w:val="436"/>
        </w:trPr>
        <w:tc>
          <w:tcPr>
            <w:tcW w:w="15145"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0CBBAA4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rFonts w:eastAsia="Helvetica"/>
                <w:sz w:val="20"/>
                <w:szCs w:val="20"/>
              </w:rPr>
            </w:pPr>
            <w:r w:rsidRPr="00A16E3A">
              <w:rPr>
                <w:rFonts w:eastAsia="Helvetica"/>
                <w:sz w:val="20"/>
                <w:szCs w:val="20"/>
              </w:rPr>
              <w:t>Restricted to 294 patients in 24 centers using both strategies (Hartmann n=106; protected RA n=188). The propensity model included clinical covariates, year, and fixed center indicators. Mean ESS: 62.1 and 78.2. The 365-day interval used the conditional patient bootstrap within observed center-by-treatment cells.</w:t>
            </w:r>
          </w:p>
        </w:tc>
      </w:tr>
    </w:tbl>
    <w:p w14:paraId="52101045" w14:textId="77777777" w:rsidR="003826A6" w:rsidRPr="00A16E3A" w:rsidRDefault="003826A6" w:rsidP="003826A6">
      <w:pPr>
        <w:spacing w:before="40" w:after="40" w:line="240" w:lineRule="auto"/>
      </w:pPr>
      <w:r w:rsidRPr="00A16E3A">
        <w:br w:type="page"/>
      </w:r>
    </w:p>
    <w:p w14:paraId="4D4D198E" w14:textId="77777777" w:rsidR="003826A6" w:rsidRPr="00A16E3A" w:rsidRDefault="003826A6" w:rsidP="003826A6">
      <w:pPr>
        <w:pStyle w:val="Titre1"/>
        <w:spacing w:before="40" w:after="40" w:line="240" w:lineRule="auto"/>
        <w:rPr>
          <w:rFonts w:ascii="Times New Roman" w:hAnsi="Times New Roman" w:cs="Times New Roman"/>
        </w:rPr>
      </w:pPr>
      <w:r w:rsidRPr="00A16E3A">
        <w:rPr>
          <w:rFonts w:ascii="Times New Roman" w:hAnsi="Times New Roman" w:cs="Times New Roman"/>
        </w:rPr>
        <w:lastRenderedPageBreak/>
        <w:t>Supplementary Table S7. Sensitivity restricted to procedures initiated laparoscopically</w:t>
      </w:r>
    </w:p>
    <w:tbl>
      <w:tblPr>
        <w:tblW w:w="0" w:type="auto"/>
        <w:tblLayout w:type="fixed"/>
        <w:tblLook w:val="0420" w:firstRow="1" w:lastRow="0" w:firstColumn="0" w:lastColumn="0" w:noHBand="0" w:noVBand="1"/>
      </w:tblPr>
      <w:tblGrid>
        <w:gridCol w:w="986"/>
        <w:gridCol w:w="3451"/>
        <w:gridCol w:w="3451"/>
        <w:gridCol w:w="4355"/>
        <w:gridCol w:w="2877"/>
      </w:tblGrid>
      <w:tr w:rsidR="003826A6" w:rsidRPr="00A16E3A" w14:paraId="4F4791B8" w14:textId="77777777" w:rsidTr="00F266F6">
        <w:trPr>
          <w:trHeight w:val="274"/>
          <w:tblHeader/>
        </w:trPr>
        <w:tc>
          <w:tcPr>
            <w:tcW w:w="98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1DA4B6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Day</w:t>
            </w:r>
          </w:p>
        </w:tc>
        <w:tc>
          <w:tcPr>
            <w:tcW w:w="345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8BA10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Lap. Hartmann CIF, mean (range), %</w:t>
            </w:r>
          </w:p>
        </w:tc>
        <w:tc>
          <w:tcPr>
            <w:tcW w:w="3451"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DAE92D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Protected RA CIF, mean (range), %</w:t>
            </w:r>
          </w:p>
        </w:tc>
        <w:tc>
          <w:tcPr>
            <w:tcW w:w="4355"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D442C8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Absolute difference, mean (range), percentage points</w:t>
            </w:r>
          </w:p>
        </w:tc>
        <w:tc>
          <w:tcPr>
            <w:tcW w:w="287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B6C280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Center-bootstrap 95% CI</w:t>
            </w:r>
          </w:p>
        </w:tc>
      </w:tr>
      <w:tr w:rsidR="003826A6" w:rsidRPr="00A16E3A" w14:paraId="4AC8E904" w14:textId="77777777" w:rsidTr="00F266F6">
        <w:trPr>
          <w:trHeight w:val="274"/>
        </w:trPr>
        <w:tc>
          <w:tcPr>
            <w:tcW w:w="98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AE142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90</w:t>
            </w:r>
          </w:p>
        </w:tc>
        <w:tc>
          <w:tcPr>
            <w:tcW w:w="345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C4769D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9.8 (9.4–10.6)</w:t>
            </w:r>
          </w:p>
        </w:tc>
        <w:tc>
          <w:tcPr>
            <w:tcW w:w="3451"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AB34E5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40.9 (39.8–42.5)</w:t>
            </w:r>
          </w:p>
        </w:tc>
        <w:tc>
          <w:tcPr>
            <w:tcW w:w="4355"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D2450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31.1 (29.5–32.8)</w:t>
            </w:r>
          </w:p>
        </w:tc>
        <w:tc>
          <w:tcPr>
            <w:tcW w:w="287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AE6E4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Not estimated</w:t>
            </w:r>
          </w:p>
        </w:tc>
      </w:tr>
      <w:tr w:rsidR="003826A6" w:rsidRPr="00A16E3A" w14:paraId="270E983B" w14:textId="77777777" w:rsidTr="00F266F6">
        <w:trPr>
          <w:trHeight w:val="261"/>
        </w:trPr>
        <w:tc>
          <w:tcPr>
            <w:tcW w:w="9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A00ED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180</w:t>
            </w:r>
          </w:p>
        </w:tc>
        <w:tc>
          <w:tcPr>
            <w:tcW w:w="34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F66973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58.9 (57.9–59.5)</w:t>
            </w:r>
          </w:p>
        </w:tc>
        <w:tc>
          <w:tcPr>
            <w:tcW w:w="34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DC3E08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74.5 (73.1–75.9)</w:t>
            </w:r>
          </w:p>
        </w:tc>
        <w:tc>
          <w:tcPr>
            <w:tcW w:w="4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89D38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15.6 (13.6–17.5)</w:t>
            </w:r>
          </w:p>
        </w:tc>
        <w:tc>
          <w:tcPr>
            <w:tcW w:w="28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84507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Not estimated</w:t>
            </w:r>
          </w:p>
        </w:tc>
      </w:tr>
      <w:tr w:rsidR="003826A6" w:rsidRPr="00A16E3A" w14:paraId="6E461B1A" w14:textId="77777777" w:rsidTr="00F266F6">
        <w:trPr>
          <w:trHeight w:val="274"/>
        </w:trPr>
        <w:tc>
          <w:tcPr>
            <w:tcW w:w="98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5F2C41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365</w:t>
            </w:r>
          </w:p>
        </w:tc>
        <w:tc>
          <w:tcPr>
            <w:tcW w:w="34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D5A343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76.1 (75.0–77.5)</w:t>
            </w:r>
          </w:p>
        </w:tc>
        <w:tc>
          <w:tcPr>
            <w:tcW w:w="3451"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893391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92.2 (90.7–93.7)</w:t>
            </w:r>
          </w:p>
        </w:tc>
        <w:tc>
          <w:tcPr>
            <w:tcW w:w="4355"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301157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16.1 (13.7–18.4)</w:t>
            </w:r>
          </w:p>
        </w:tc>
        <w:tc>
          <w:tcPr>
            <w:tcW w:w="28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A183B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3.9 to 28.2</w:t>
            </w:r>
          </w:p>
        </w:tc>
      </w:tr>
      <w:tr w:rsidR="003826A6" w:rsidRPr="00A16E3A" w14:paraId="2611B4E7" w14:textId="77777777" w:rsidTr="00F266F6">
        <w:trPr>
          <w:trHeight w:val="261"/>
        </w:trPr>
        <w:tc>
          <w:tcPr>
            <w:tcW w:w="98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28AB3A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730</w:t>
            </w:r>
          </w:p>
        </w:tc>
        <w:tc>
          <w:tcPr>
            <w:tcW w:w="345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E1BB7A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80.8 (79.9–81.8)</w:t>
            </w:r>
          </w:p>
        </w:tc>
        <w:tc>
          <w:tcPr>
            <w:tcW w:w="3451"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86190A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94.6 (93.4–95.8)</w:t>
            </w:r>
          </w:p>
        </w:tc>
        <w:tc>
          <w:tcPr>
            <w:tcW w:w="4355"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F6603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13.8 (12.2–15.6)</w:t>
            </w:r>
          </w:p>
        </w:tc>
        <w:tc>
          <w:tcPr>
            <w:tcW w:w="287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3D5A46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Not estimated</w:t>
            </w:r>
          </w:p>
        </w:tc>
      </w:tr>
      <w:tr w:rsidR="003826A6" w:rsidRPr="00A16E3A" w14:paraId="46447106" w14:textId="77777777" w:rsidTr="00F266F6">
        <w:trPr>
          <w:trHeight w:val="436"/>
        </w:trPr>
        <w:tc>
          <w:tcPr>
            <w:tcW w:w="15120"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1055CA7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rFonts w:eastAsia="Helvetica"/>
                <w:sz w:val="20"/>
                <w:szCs w:val="20"/>
              </w:rPr>
            </w:pPr>
            <w:r w:rsidRPr="00A16E3A">
              <w:rPr>
                <w:rFonts w:eastAsia="Helvetica"/>
                <w:sz w:val="20"/>
                <w:szCs w:val="20"/>
              </w:rPr>
              <w:t>Restricted to 195 patients in 34 centers, all initiated laparoscopically (Hartmann n=136; protected RA n=59). Conversions remained in the initial strategy. Mean ESS: 80.1 and 49.4. The center-bootstrap 95% CI is reported for the 365-day risk difference; numerical diagnostics are in Table S8.</w:t>
            </w:r>
          </w:p>
        </w:tc>
      </w:tr>
    </w:tbl>
    <w:p w14:paraId="4AB0C573" w14:textId="77777777" w:rsidR="003826A6" w:rsidRPr="00A16E3A" w:rsidRDefault="003826A6" w:rsidP="003826A6">
      <w:pPr>
        <w:spacing w:before="40" w:after="40" w:line="240" w:lineRule="auto"/>
      </w:pPr>
      <w:r w:rsidRPr="00A16E3A">
        <w:br w:type="page"/>
      </w:r>
    </w:p>
    <w:p w14:paraId="7A93B78C" w14:textId="77777777" w:rsidR="003826A6" w:rsidRPr="00A16E3A" w:rsidRDefault="003826A6" w:rsidP="003826A6">
      <w:pPr>
        <w:pStyle w:val="Titre1"/>
        <w:spacing w:before="40" w:after="40" w:line="240" w:lineRule="auto"/>
        <w:rPr>
          <w:rFonts w:ascii="Times New Roman" w:hAnsi="Times New Roman" w:cs="Times New Roman"/>
        </w:rPr>
      </w:pPr>
      <w:r w:rsidRPr="00A16E3A">
        <w:rPr>
          <w:rFonts w:ascii="Times New Roman" w:hAnsi="Times New Roman" w:cs="Times New Roman"/>
        </w:rPr>
        <w:lastRenderedPageBreak/>
        <w:t>Supplementary Table S8. Bootstrap completion and numerical diagnostics</w:t>
      </w:r>
    </w:p>
    <w:tbl>
      <w:tblPr>
        <w:tblW w:w="0" w:type="auto"/>
        <w:jc w:val="center"/>
        <w:tblLayout w:type="fixed"/>
        <w:tblLook w:val="0420" w:firstRow="1" w:lastRow="0" w:firstColumn="0" w:lastColumn="0" w:noHBand="0" w:noVBand="1"/>
      </w:tblPr>
      <w:tblGrid>
        <w:gridCol w:w="3672"/>
        <w:gridCol w:w="2376"/>
        <w:gridCol w:w="1512"/>
        <w:gridCol w:w="1512"/>
        <w:gridCol w:w="1512"/>
        <w:gridCol w:w="1512"/>
        <w:gridCol w:w="1512"/>
        <w:gridCol w:w="1512"/>
      </w:tblGrid>
      <w:tr w:rsidR="003826A6" w:rsidRPr="00A16E3A" w14:paraId="28790345" w14:textId="77777777" w:rsidTr="00F266F6">
        <w:trPr>
          <w:tblHeader/>
          <w:jc w:val="center"/>
        </w:trPr>
        <w:tc>
          <w:tcPr>
            <w:tcW w:w="367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FF56FD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Component</w:t>
            </w:r>
          </w:p>
        </w:tc>
        <w:tc>
          <w:tcPr>
            <w:tcW w:w="237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5D0803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Resampling unit</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D3BA8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Requested replications</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7A7091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Valid replications</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144E2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Completion, %</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C06509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Boundary PS refits</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4E42F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Minimum bootstrap ESS</w:t>
            </w:r>
          </w:p>
        </w:tc>
        <w:tc>
          <w:tcPr>
            <w:tcW w:w="1512"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2A6CBC1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Interval status</w:t>
            </w:r>
          </w:p>
        </w:tc>
      </w:tr>
      <w:tr w:rsidR="003826A6" w:rsidRPr="00A16E3A" w14:paraId="0A3D08BC" w14:textId="77777777" w:rsidTr="00F266F6">
        <w:trPr>
          <w:jc w:val="center"/>
        </w:trPr>
        <w:tc>
          <w:tcPr>
            <w:tcW w:w="367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57F2F0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90-day mortality</w:t>
            </w:r>
          </w:p>
        </w:tc>
        <w:tc>
          <w:tcPr>
            <w:tcW w:w="237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B3C0BE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Center</w:t>
            </w:r>
          </w:p>
        </w:tc>
        <w:tc>
          <w:tcPr>
            <w:tcW w:w="15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9A0F65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w:t>
            </w:r>
          </w:p>
        </w:tc>
        <w:tc>
          <w:tcPr>
            <w:tcW w:w="15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F16DFC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9990–9999</w:t>
            </w:r>
          </w:p>
        </w:tc>
        <w:tc>
          <w:tcPr>
            <w:tcW w:w="15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B950C9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99.90–99.99</w:t>
            </w:r>
          </w:p>
        </w:tc>
        <w:tc>
          <w:tcPr>
            <w:tcW w:w="15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1121E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5,796</w:t>
            </w:r>
          </w:p>
        </w:tc>
        <w:tc>
          <w:tcPr>
            <w:tcW w:w="15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C4F3A7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33.21</w:t>
            </w:r>
          </w:p>
        </w:tc>
        <w:tc>
          <w:tcPr>
            <w:tcW w:w="1512"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83D2D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Reported</w:t>
            </w:r>
          </w:p>
        </w:tc>
      </w:tr>
      <w:tr w:rsidR="003826A6" w:rsidRPr="00A16E3A" w14:paraId="50FCCA23" w14:textId="77777777" w:rsidTr="00F266F6">
        <w:trPr>
          <w:jc w:val="center"/>
        </w:trPr>
        <w:tc>
          <w:tcPr>
            <w:tcW w:w="3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284BA5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 xml:space="preserve">Competing-risk </w:t>
            </w:r>
            <w:proofErr w:type="spellStart"/>
            <w:r w:rsidRPr="00A16E3A">
              <w:rPr>
                <w:sz w:val="20"/>
                <w:szCs w:val="20"/>
              </w:rPr>
              <w:t>estimands</w:t>
            </w:r>
            <w:proofErr w:type="spellEnd"/>
          </w:p>
        </w:tc>
        <w:tc>
          <w:tcPr>
            <w:tcW w:w="23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8EE3FC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Center</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7108AE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ADBE2D"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9990–9999</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4657A4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99.90–99.99</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411870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5,796</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F770EE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33.21</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584C16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Reported</w:t>
            </w:r>
          </w:p>
        </w:tc>
      </w:tr>
      <w:tr w:rsidR="003826A6" w:rsidRPr="00A16E3A" w14:paraId="15E928A1" w14:textId="77777777" w:rsidTr="00F266F6">
        <w:trPr>
          <w:jc w:val="center"/>
        </w:trPr>
        <w:tc>
          <w:tcPr>
            <w:tcW w:w="3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CE3774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Dual-center sensitivity: conditional center-by-treatment bootstrap</w:t>
            </w:r>
          </w:p>
        </w:tc>
        <w:tc>
          <w:tcPr>
            <w:tcW w:w="23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D62F0F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Patient within center-by-treatment cell</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7C2692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849C773"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9999–10000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1757A6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99.99–100.00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2E5329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63,842</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DD2595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27.83</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9B9547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Reported at 365 days</w:t>
            </w:r>
          </w:p>
        </w:tc>
      </w:tr>
      <w:tr w:rsidR="003826A6" w:rsidRPr="00A16E3A" w14:paraId="57EDA9E7" w14:textId="77777777" w:rsidTr="00F266F6">
        <w:trPr>
          <w:jc w:val="center"/>
        </w:trPr>
        <w:tc>
          <w:tcPr>
            <w:tcW w:w="3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CC8571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Early binary outcomes</w:t>
            </w:r>
          </w:p>
        </w:tc>
        <w:tc>
          <w:tcPr>
            <w:tcW w:w="23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CC20CD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Center</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B7239E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824A23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9990–9999</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071155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99.90–99.99</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D4D7FC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5,796</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12AE95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33.21</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64609A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Reported</w:t>
            </w:r>
          </w:p>
        </w:tc>
      </w:tr>
      <w:tr w:rsidR="003826A6" w:rsidRPr="00A16E3A" w14:paraId="1D653135" w14:textId="77777777" w:rsidTr="00F266F6">
        <w:trPr>
          <w:jc w:val="center"/>
        </w:trPr>
        <w:tc>
          <w:tcPr>
            <w:tcW w:w="367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39BF96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Hartmann conversion prognosis: center bootstrap</w:t>
            </w:r>
          </w:p>
        </w:tc>
        <w:tc>
          <w:tcPr>
            <w:tcW w:w="237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1BADEC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Center</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9001D6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75C8D9"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5A6F60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100.00–100.00</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139A2D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B29F23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w:t>
            </w:r>
          </w:p>
        </w:tc>
        <w:tc>
          <w:tcPr>
            <w:tcW w:w="1512"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33D2FF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Reported at 365 days</w:t>
            </w:r>
          </w:p>
        </w:tc>
      </w:tr>
      <w:tr w:rsidR="003826A6" w:rsidRPr="00A16E3A" w14:paraId="16AB85C5" w14:textId="77777777" w:rsidTr="00F266F6">
        <w:trPr>
          <w:jc w:val="center"/>
        </w:trPr>
        <w:tc>
          <w:tcPr>
            <w:tcW w:w="367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E1D6D0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Initial-laparoscopy sensitivity: center bootstrap</w:t>
            </w:r>
          </w:p>
        </w:tc>
        <w:tc>
          <w:tcPr>
            <w:tcW w:w="237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59EBCCC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sz w:val="20"/>
                <w:szCs w:val="20"/>
              </w:rPr>
            </w:pPr>
            <w:r w:rsidRPr="00A16E3A">
              <w:rPr>
                <w:sz w:val="20"/>
                <w:szCs w:val="20"/>
              </w:rPr>
              <w:t>Center</w:t>
            </w:r>
          </w:p>
        </w:tc>
        <w:tc>
          <w:tcPr>
            <w:tcW w:w="15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61AD89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10,000</w:t>
            </w:r>
          </w:p>
        </w:tc>
        <w:tc>
          <w:tcPr>
            <w:tcW w:w="15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EF3CF7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9807–9852</w:t>
            </w:r>
          </w:p>
        </w:tc>
        <w:tc>
          <w:tcPr>
            <w:tcW w:w="15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A6B651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98.07–98.52</w:t>
            </w:r>
          </w:p>
        </w:tc>
        <w:tc>
          <w:tcPr>
            <w:tcW w:w="15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131C0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55,163</w:t>
            </w:r>
          </w:p>
        </w:tc>
        <w:tc>
          <w:tcPr>
            <w:tcW w:w="15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926C9C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4.83</w:t>
            </w:r>
          </w:p>
        </w:tc>
        <w:tc>
          <w:tcPr>
            <w:tcW w:w="1512"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17A89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jc w:val="center"/>
              <w:rPr>
                <w:sz w:val="20"/>
                <w:szCs w:val="20"/>
              </w:rPr>
            </w:pPr>
            <w:r w:rsidRPr="00A16E3A">
              <w:rPr>
                <w:sz w:val="20"/>
                <w:szCs w:val="20"/>
              </w:rPr>
              <w:t>Reported at 365 days</w:t>
            </w:r>
          </w:p>
        </w:tc>
      </w:tr>
      <w:tr w:rsidR="003826A6" w:rsidRPr="00A16E3A" w14:paraId="68108A26" w14:textId="77777777" w:rsidTr="00F266F6">
        <w:trPr>
          <w:jc w:val="center"/>
        </w:trPr>
        <w:tc>
          <w:tcPr>
            <w:tcW w:w="15120" w:type="dxa"/>
            <w:gridSpan w:val="8"/>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4D379308"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40" w:after="40" w:line="240" w:lineRule="auto"/>
              <w:ind w:left="100" w:right="100"/>
              <w:rPr>
                <w:rFonts w:eastAsia="Helvetica"/>
                <w:sz w:val="20"/>
                <w:szCs w:val="20"/>
              </w:rPr>
            </w:pPr>
            <w:r w:rsidRPr="00A16E3A">
              <w:rPr>
                <w:rFonts w:eastAsia="Helvetica"/>
                <w:sz w:val="20"/>
                <w:szCs w:val="20"/>
              </w:rPr>
              <w:t xml:space="preserve">Each component requested 10,000 replications per imputation for multiply imputed analyses; the post hoc conversion analysis requested one set of 10,000 replications. A valid replication required both relevant groups and all required propensity-score, weight, ESS, and outcome </w:t>
            </w:r>
            <w:proofErr w:type="gramStart"/>
            <w:r w:rsidRPr="00A16E3A">
              <w:rPr>
                <w:rFonts w:eastAsia="Helvetica"/>
                <w:sz w:val="20"/>
                <w:szCs w:val="20"/>
              </w:rPr>
              <w:t>estimates</w:t>
            </w:r>
            <w:proofErr w:type="gramEnd"/>
            <w:r w:rsidRPr="00A16E3A">
              <w:rPr>
                <w:rFonts w:eastAsia="Helvetica"/>
                <w:sz w:val="20"/>
                <w:szCs w:val="20"/>
              </w:rPr>
              <w:t xml:space="preserve"> to be finite and admissible. Propensity scores and weights were </w:t>
            </w:r>
            <w:proofErr w:type="spellStart"/>
            <w:r w:rsidRPr="00A16E3A">
              <w:rPr>
                <w:rFonts w:eastAsia="Helvetica"/>
                <w:sz w:val="20"/>
                <w:szCs w:val="20"/>
              </w:rPr>
              <w:t>reestimated</w:t>
            </w:r>
            <w:proofErr w:type="spellEnd"/>
            <w:r w:rsidRPr="00A16E3A">
              <w:rPr>
                <w:rFonts w:eastAsia="Helvetica"/>
                <w:sz w:val="20"/>
                <w:szCs w:val="20"/>
              </w:rPr>
              <w:t xml:space="preserve"> only for weighted analyses. Completion, boundary PS fits, and minimum ESS were reported as numerical diagnostics; no interval was withheld on a fixed completion, ESS, or normalized-weight cutoff alone.</w:t>
            </w:r>
          </w:p>
        </w:tc>
      </w:tr>
    </w:tbl>
    <w:p w14:paraId="5D90B163" w14:textId="77777777" w:rsidR="003826A6" w:rsidRPr="00A16E3A" w:rsidRDefault="003826A6" w:rsidP="003826A6">
      <w:r w:rsidRPr="00A16E3A">
        <w:br w:type="page"/>
      </w:r>
    </w:p>
    <w:p w14:paraId="12F21E26"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Table S9. Stoma-closure incidence according to conversion after a laparoscopy-first Hartmann strategy</w:t>
      </w:r>
    </w:p>
    <w:tbl>
      <w:tblPr>
        <w:tblW w:w="0" w:type="auto"/>
        <w:tblLayout w:type="fixed"/>
        <w:tblLook w:val="0420" w:firstRow="1" w:lastRow="0" w:firstColumn="0" w:lastColumn="0" w:noHBand="0" w:noVBand="1"/>
      </w:tblPr>
      <w:tblGrid>
        <w:gridCol w:w="950"/>
        <w:gridCol w:w="3406"/>
        <w:gridCol w:w="3406"/>
        <w:gridCol w:w="4040"/>
        <w:gridCol w:w="2776"/>
      </w:tblGrid>
      <w:tr w:rsidR="003826A6" w:rsidRPr="00A16E3A" w14:paraId="14F41D19" w14:textId="77777777" w:rsidTr="00F266F6">
        <w:trPr>
          <w:trHeight w:val="394"/>
          <w:tblHeader/>
        </w:trPr>
        <w:tc>
          <w:tcPr>
            <w:tcW w:w="95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6D7B62F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Day</w:t>
            </w:r>
          </w:p>
        </w:tc>
        <w:tc>
          <w:tcPr>
            <w:tcW w:w="34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19031F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Completed laparoscopically, CIF %</w:t>
            </w:r>
          </w:p>
        </w:tc>
        <w:tc>
          <w:tcPr>
            <w:tcW w:w="3406"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3D985DC"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Converted to laparotomy, CIF %</w:t>
            </w:r>
          </w:p>
        </w:tc>
        <w:tc>
          <w:tcPr>
            <w:tcW w:w="4040"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AF0F41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Converted minus completed, percentage points</w:t>
            </w:r>
          </w:p>
        </w:tc>
        <w:tc>
          <w:tcPr>
            <w:tcW w:w="2773" w:type="dxa"/>
            <w:tcBorders>
              <w:top w:val="single" w:sz="12" w:space="0" w:color="666666"/>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8D0951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Center-bootstrap 95% CI</w:t>
            </w:r>
          </w:p>
        </w:tc>
      </w:tr>
      <w:tr w:rsidR="003826A6" w:rsidRPr="00A16E3A" w14:paraId="6DBDED03" w14:textId="77777777" w:rsidTr="00F266F6">
        <w:trPr>
          <w:trHeight w:val="382"/>
        </w:trPr>
        <w:tc>
          <w:tcPr>
            <w:tcW w:w="95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40D131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90</w:t>
            </w:r>
          </w:p>
        </w:tc>
        <w:tc>
          <w:tcPr>
            <w:tcW w:w="34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34A2060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6.6</w:t>
            </w:r>
          </w:p>
        </w:tc>
        <w:tc>
          <w:tcPr>
            <w:tcW w:w="3406"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6CD84D2"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9.4</w:t>
            </w:r>
          </w:p>
        </w:tc>
        <w:tc>
          <w:tcPr>
            <w:tcW w:w="4040"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56D3D1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2.8</w:t>
            </w:r>
          </w:p>
        </w:tc>
        <w:tc>
          <w:tcPr>
            <w:tcW w:w="2773" w:type="dxa"/>
            <w:tcBorders>
              <w:top w:val="single" w:sz="12" w:space="0" w:color="666666"/>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ACC614F"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Not estimated</w:t>
            </w:r>
          </w:p>
        </w:tc>
      </w:tr>
      <w:tr w:rsidR="003826A6" w:rsidRPr="00A16E3A" w14:paraId="3E20F103" w14:textId="77777777" w:rsidTr="00F266F6">
        <w:trPr>
          <w:trHeight w:val="382"/>
        </w:trPr>
        <w:tc>
          <w:tcPr>
            <w:tcW w:w="9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A3A79B6"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180</w:t>
            </w:r>
          </w:p>
        </w:tc>
        <w:tc>
          <w:tcPr>
            <w:tcW w:w="34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205C0B1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49.3</w:t>
            </w:r>
          </w:p>
        </w:tc>
        <w:tc>
          <w:tcPr>
            <w:tcW w:w="34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06215DC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47.0</w:t>
            </w:r>
          </w:p>
        </w:tc>
        <w:tc>
          <w:tcPr>
            <w:tcW w:w="40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91648A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-2.3</w:t>
            </w:r>
          </w:p>
        </w:tc>
        <w:tc>
          <w:tcPr>
            <w:tcW w:w="27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76EEB19E"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Not estimated</w:t>
            </w:r>
          </w:p>
        </w:tc>
      </w:tr>
      <w:tr w:rsidR="003826A6" w:rsidRPr="00A16E3A" w14:paraId="30B0D06C" w14:textId="77777777" w:rsidTr="00F266F6">
        <w:trPr>
          <w:trHeight w:val="394"/>
        </w:trPr>
        <w:tc>
          <w:tcPr>
            <w:tcW w:w="95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10CAC840"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365</w:t>
            </w:r>
          </w:p>
        </w:tc>
        <w:tc>
          <w:tcPr>
            <w:tcW w:w="34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4E70EFA7"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65.3</w:t>
            </w:r>
          </w:p>
        </w:tc>
        <w:tc>
          <w:tcPr>
            <w:tcW w:w="3406"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DA6C08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66.3</w:t>
            </w:r>
          </w:p>
        </w:tc>
        <w:tc>
          <w:tcPr>
            <w:tcW w:w="4040"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61357D65"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1.0</w:t>
            </w:r>
          </w:p>
        </w:tc>
        <w:tc>
          <w:tcPr>
            <w:tcW w:w="2773" w:type="dxa"/>
            <w:tcBorders>
              <w:top w:val="none" w:sz="0" w:space="0" w:color="000000"/>
              <w:left w:val="none" w:sz="0" w:space="0" w:color="000000"/>
              <w:bottom w:val="none" w:sz="0" w:space="0" w:color="000000"/>
              <w:right w:val="none" w:sz="0" w:space="0" w:color="000000"/>
            </w:tcBorders>
            <w:shd w:val="clear" w:color="auto" w:fill="FFFFFF"/>
            <w:tcMar>
              <w:top w:w="0" w:type="dxa"/>
              <w:left w:w="0" w:type="dxa"/>
              <w:bottom w:w="0" w:type="dxa"/>
              <w:right w:w="0" w:type="dxa"/>
            </w:tcMar>
            <w:vAlign w:val="center"/>
          </w:tcPr>
          <w:p w14:paraId="5C1870EB"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-18.6 to 20.6</w:t>
            </w:r>
          </w:p>
        </w:tc>
      </w:tr>
      <w:tr w:rsidR="003826A6" w:rsidRPr="00A16E3A" w14:paraId="0C9425E1" w14:textId="77777777" w:rsidTr="00F266F6">
        <w:trPr>
          <w:trHeight w:val="382"/>
        </w:trPr>
        <w:tc>
          <w:tcPr>
            <w:tcW w:w="95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0A388C0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730</w:t>
            </w:r>
          </w:p>
        </w:tc>
        <w:tc>
          <w:tcPr>
            <w:tcW w:w="34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6611614"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68.8</w:t>
            </w:r>
          </w:p>
        </w:tc>
        <w:tc>
          <w:tcPr>
            <w:tcW w:w="3406"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4598CAD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76.6</w:t>
            </w:r>
          </w:p>
        </w:tc>
        <w:tc>
          <w:tcPr>
            <w:tcW w:w="4040"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11A98DB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7.8</w:t>
            </w:r>
          </w:p>
        </w:tc>
        <w:tc>
          <w:tcPr>
            <w:tcW w:w="2773" w:type="dxa"/>
            <w:tcBorders>
              <w:top w:val="none" w:sz="0" w:space="0" w:color="000000"/>
              <w:left w:val="none" w:sz="0" w:space="0" w:color="000000"/>
              <w:bottom w:val="single" w:sz="12" w:space="0" w:color="666666"/>
              <w:right w:val="none" w:sz="0" w:space="0" w:color="000000"/>
            </w:tcBorders>
            <w:shd w:val="clear" w:color="auto" w:fill="FFFFFF"/>
            <w:tcMar>
              <w:top w:w="0" w:type="dxa"/>
              <w:left w:w="0" w:type="dxa"/>
              <w:bottom w:w="0" w:type="dxa"/>
              <w:right w:w="0" w:type="dxa"/>
            </w:tcMar>
            <w:vAlign w:val="center"/>
          </w:tcPr>
          <w:p w14:paraId="30AD8A01"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jc w:val="center"/>
              <w:rPr>
                <w:sz w:val="20"/>
                <w:szCs w:val="20"/>
              </w:rPr>
            </w:pPr>
            <w:r w:rsidRPr="00A16E3A">
              <w:rPr>
                <w:sz w:val="20"/>
                <w:szCs w:val="20"/>
              </w:rPr>
              <w:t>Not estimated</w:t>
            </w:r>
          </w:p>
        </w:tc>
      </w:tr>
      <w:tr w:rsidR="003826A6" w:rsidRPr="00A16E3A" w14:paraId="37AA1058" w14:textId="77777777" w:rsidTr="00F266F6">
        <w:trPr>
          <w:trHeight w:val="554"/>
        </w:trPr>
        <w:tc>
          <w:tcPr>
            <w:tcW w:w="14578" w:type="dxa"/>
            <w:gridSpan w:val="5"/>
            <w:tcBorders>
              <w:top w:val="single" w:sz="12" w:space="0" w:color="666666"/>
              <w:left w:val="none" w:sz="0" w:space="0" w:color="FFFFFF"/>
              <w:bottom w:val="none" w:sz="0" w:space="0" w:color="FFFFFF"/>
              <w:right w:val="none" w:sz="0" w:space="0" w:color="FFFFFF"/>
            </w:tcBorders>
            <w:shd w:val="clear" w:color="auto" w:fill="FFFFFF"/>
            <w:tcMar>
              <w:top w:w="0" w:type="dxa"/>
              <w:left w:w="0" w:type="dxa"/>
              <w:bottom w:w="0" w:type="dxa"/>
              <w:right w:w="0" w:type="dxa"/>
            </w:tcMar>
            <w:vAlign w:val="center"/>
          </w:tcPr>
          <w:p w14:paraId="2A7DD03A" w14:textId="77777777" w:rsidR="003826A6" w:rsidRPr="00A16E3A" w:rsidRDefault="003826A6" w:rsidP="00F266F6">
            <w:pPr>
              <w:pBdr>
                <w:top w:val="none" w:sz="0" w:space="0" w:color="000000"/>
                <w:left w:val="none" w:sz="0" w:space="0" w:color="000000"/>
                <w:bottom w:val="none" w:sz="0" w:space="0" w:color="000000"/>
                <w:right w:val="none" w:sz="0" w:space="0" w:color="000000"/>
              </w:pBdr>
              <w:spacing w:before="100" w:after="100" w:line="240" w:lineRule="auto"/>
              <w:ind w:left="100" w:right="100"/>
              <w:rPr>
                <w:rFonts w:eastAsia="Helvetica"/>
                <w:sz w:val="20"/>
                <w:szCs w:val="20"/>
              </w:rPr>
            </w:pPr>
            <w:r w:rsidRPr="00A16E3A">
              <w:rPr>
                <w:rFonts w:eastAsia="Helvetica"/>
                <w:sz w:val="20"/>
                <w:szCs w:val="20"/>
              </w:rPr>
              <w:t>Post hoc unweighted descriptive analysis of 136 laparoscopy-first Hartmann procedures (68 completed laparoscopically; 68 converted). Time-to-event data were usable for 64 and 67 patients, respectively. Death before closure was a competing event. The 365-day difference is converted minus completed. Its 95% CI used 10,000 valid of 10,000 requested center-bootstrap replications. No P value was calculated.</w:t>
            </w:r>
          </w:p>
        </w:tc>
      </w:tr>
    </w:tbl>
    <w:p w14:paraId="1241E08E" w14:textId="77777777" w:rsidR="003826A6" w:rsidRPr="00A16E3A" w:rsidRDefault="003826A6" w:rsidP="003826A6">
      <w:r w:rsidRPr="00A16E3A">
        <w:br w:type="page"/>
      </w:r>
    </w:p>
    <w:p w14:paraId="0450603C"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Figure S1. MICE convergence diagnostics</w:t>
      </w:r>
    </w:p>
    <w:p w14:paraId="1A889D90" w14:textId="77777777" w:rsidR="003826A6" w:rsidRPr="00A16E3A" w:rsidRDefault="003826A6" w:rsidP="003826A6">
      <w:r w:rsidRPr="00A16E3A">
        <w:rPr>
          <w:noProof/>
        </w:rPr>
        <w:drawing>
          <wp:inline distT="0" distB="0" distL="0" distR="0" wp14:anchorId="779827E3" wp14:editId="7BF09010">
            <wp:extent cx="6010382" cy="4561726"/>
            <wp:effectExtent l="0" t="0" r="0" b="0"/>
            <wp:docPr id="44" name="Picture" descr="Chain means and variances across 15 MICE iterations and 20 imputations for body mass index, smoking, and the early postoperative outcome with the most missing observations. Stable mixing without a sustained trend supports convergence."/>
            <wp:cNvGraphicFramePr/>
            <a:graphic xmlns:a="http://schemas.openxmlformats.org/drawingml/2006/main">
              <a:graphicData uri="http://schemas.openxmlformats.org/drawingml/2006/picture">
                <pic:pic xmlns:pic="http://schemas.openxmlformats.org/drawingml/2006/picture">
                  <pic:nvPicPr>
                    <pic:cNvPr id="45" name="Picture" descr="outputs_hartmann_ra_article/supplementary_figure_S1_mice_convergence.png"/>
                    <pic:cNvPicPr>
                      <a:picLocks noChangeAspect="1" noChangeArrowheads="1"/>
                    </pic:cNvPicPr>
                  </pic:nvPicPr>
                  <pic:blipFill>
                    <a:blip r:embed="rId7"/>
                    <a:stretch>
                      <a:fillRect/>
                    </a:stretch>
                  </pic:blipFill>
                  <pic:spPr bwMode="auto">
                    <a:xfrm>
                      <a:off x="0" y="0"/>
                      <a:ext cx="6036387" cy="4581463"/>
                    </a:xfrm>
                    <a:prstGeom prst="rect">
                      <a:avLst/>
                    </a:prstGeom>
                    <a:noFill/>
                    <a:ln w="9525">
                      <a:noFill/>
                      <a:headEnd/>
                      <a:tailEnd/>
                    </a:ln>
                  </pic:spPr>
                </pic:pic>
              </a:graphicData>
            </a:graphic>
          </wp:inline>
        </w:drawing>
      </w:r>
    </w:p>
    <w:p w14:paraId="061166E5" w14:textId="77777777" w:rsidR="003826A6" w:rsidRPr="00A16E3A" w:rsidRDefault="003826A6" w:rsidP="003826A6">
      <w:r w:rsidRPr="00A16E3A">
        <w:t xml:space="preserve">Chain means and variances across 15 MICE iterations and 20 imputations for body mass index, smoking, and the early postoperative outcome with the most missing </w:t>
      </w:r>
      <w:proofErr w:type="gramStart"/>
      <w:r w:rsidRPr="00A16E3A">
        <w:t>observations..</w:t>
      </w:r>
      <w:proofErr w:type="gramEnd"/>
      <w:r w:rsidRPr="00A16E3A">
        <w:br w:type="page"/>
      </w:r>
    </w:p>
    <w:p w14:paraId="64A520E7"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Figure S2. Observed and imputed distributions</w:t>
      </w:r>
    </w:p>
    <w:p w14:paraId="2DEC2339" w14:textId="77777777" w:rsidR="003826A6" w:rsidRPr="00A16E3A" w:rsidRDefault="003826A6" w:rsidP="003826A6">
      <w:r w:rsidRPr="00A16E3A">
        <w:rPr>
          <w:noProof/>
        </w:rPr>
        <w:drawing>
          <wp:inline distT="0" distB="0" distL="0" distR="0" wp14:anchorId="49652CAE" wp14:editId="496FFDCE">
            <wp:extent cx="6668209" cy="4220307"/>
            <wp:effectExtent l="0" t="0" r="0" b="0"/>
            <wp:docPr id="48" name="Picture" descr="Observed and imputed distributions for body mass index, smoking, and the early postoperative outcome with the most missing observations. Observed values are compared with values generated in each of the 20 imputed datasets."/>
            <wp:cNvGraphicFramePr/>
            <a:graphic xmlns:a="http://schemas.openxmlformats.org/drawingml/2006/main">
              <a:graphicData uri="http://schemas.openxmlformats.org/drawingml/2006/picture">
                <pic:pic xmlns:pic="http://schemas.openxmlformats.org/drawingml/2006/picture">
                  <pic:nvPicPr>
                    <pic:cNvPr id="49" name="Picture" descr="outputs_hartmann_ra_article/supplementary_figure_S2_imputed_distributions.png"/>
                    <pic:cNvPicPr>
                      <a:picLocks noChangeAspect="1" noChangeArrowheads="1"/>
                    </pic:cNvPicPr>
                  </pic:nvPicPr>
                  <pic:blipFill>
                    <a:blip r:embed="rId8"/>
                    <a:stretch>
                      <a:fillRect/>
                    </a:stretch>
                  </pic:blipFill>
                  <pic:spPr bwMode="auto">
                    <a:xfrm>
                      <a:off x="0" y="0"/>
                      <a:ext cx="6694124" cy="4236708"/>
                    </a:xfrm>
                    <a:prstGeom prst="rect">
                      <a:avLst/>
                    </a:prstGeom>
                    <a:noFill/>
                    <a:ln w="9525">
                      <a:noFill/>
                      <a:headEnd/>
                      <a:tailEnd/>
                    </a:ln>
                  </pic:spPr>
                </pic:pic>
              </a:graphicData>
            </a:graphic>
          </wp:inline>
        </w:drawing>
      </w:r>
    </w:p>
    <w:p w14:paraId="57100B5C" w14:textId="77777777" w:rsidR="003826A6" w:rsidRPr="00A16E3A" w:rsidRDefault="003826A6" w:rsidP="003826A6">
      <w:r w:rsidRPr="00A16E3A">
        <w:t xml:space="preserve">Observed and imputed distributions for body mass index, smoking, and the early postoperative outcome with the most missing observations. </w:t>
      </w:r>
    </w:p>
    <w:p w14:paraId="1D90B778" w14:textId="77777777" w:rsidR="003826A6" w:rsidRPr="00A16E3A" w:rsidRDefault="003826A6" w:rsidP="003826A6">
      <w:r w:rsidRPr="00A16E3A">
        <w:br w:type="page"/>
      </w:r>
    </w:p>
    <w:p w14:paraId="53DB3169"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Figure S3. Covariate balance</w:t>
      </w:r>
    </w:p>
    <w:p w14:paraId="1B03798A" w14:textId="77777777" w:rsidR="003826A6" w:rsidRPr="00A16E3A" w:rsidRDefault="003826A6" w:rsidP="003826A6">
      <w:r w:rsidRPr="00A16E3A">
        <w:rPr>
          <w:noProof/>
        </w:rPr>
        <w:drawing>
          <wp:inline distT="0" distB="0" distL="0" distR="0" wp14:anchorId="6868A592" wp14:editId="11A4B4CC">
            <wp:extent cx="6741209" cy="3696676"/>
            <wp:effectExtent l="0" t="0" r="2540" b="0"/>
            <wp:docPr id="52" name="Picture" descr="Absolute standardized mean differences before and after overlap weighting. Continuous and binary covariates were standardized using the unweighted pooled standard deviation within each imputation, and each point summarizes the most extreme value across imputations. Weighted mean differences for terms included in the unpenalized logistic propensity model are expected to be zero by construction; the weighted standardized mean differences therefore serve as an integrity check, while distributional diagnostics are reported in Supplementary Table S2."/>
            <wp:cNvGraphicFramePr/>
            <a:graphic xmlns:a="http://schemas.openxmlformats.org/drawingml/2006/main">
              <a:graphicData uri="http://schemas.openxmlformats.org/drawingml/2006/picture">
                <pic:pic xmlns:pic="http://schemas.openxmlformats.org/drawingml/2006/picture">
                  <pic:nvPicPr>
                    <pic:cNvPr id="53" name="Picture" descr="outputs_hartmann_ra_article/supplementary_figure_S3_balance.png"/>
                    <pic:cNvPicPr>
                      <a:picLocks noChangeAspect="1" noChangeArrowheads="1"/>
                    </pic:cNvPicPr>
                  </pic:nvPicPr>
                  <pic:blipFill>
                    <a:blip r:embed="rId9"/>
                    <a:stretch>
                      <a:fillRect/>
                    </a:stretch>
                  </pic:blipFill>
                  <pic:spPr bwMode="auto">
                    <a:xfrm>
                      <a:off x="0" y="0"/>
                      <a:ext cx="6778543" cy="3717149"/>
                    </a:xfrm>
                    <a:prstGeom prst="rect">
                      <a:avLst/>
                    </a:prstGeom>
                    <a:noFill/>
                    <a:ln w="9525">
                      <a:noFill/>
                      <a:headEnd/>
                      <a:tailEnd/>
                    </a:ln>
                  </pic:spPr>
                </pic:pic>
              </a:graphicData>
            </a:graphic>
          </wp:inline>
        </w:drawing>
      </w:r>
    </w:p>
    <w:p w14:paraId="6F5A684A" w14:textId="77777777" w:rsidR="003826A6" w:rsidRPr="00A16E3A" w:rsidRDefault="003826A6" w:rsidP="003826A6">
      <w:r w:rsidRPr="00A16E3A">
        <w:t>Absolute standardized mean differences before and after overlap weighting. Continuous and binary covariates were standardized using the unweighted pooled standard deviation within each imputation, and each point summarizes the most extreme value across imputations. Weighted mean differences for terms included in the unpenalized logistic propensity model are expected to be zero by construction; the weighted standardized mean differences therefore serve as an integrity check, while distributional diagnostics are reported in Supplementary Table S2.</w:t>
      </w:r>
    </w:p>
    <w:p w14:paraId="7A5FD1D2" w14:textId="77777777" w:rsidR="003826A6" w:rsidRPr="00A16E3A" w:rsidRDefault="003826A6" w:rsidP="003826A6">
      <w:r w:rsidRPr="00A16E3A">
        <w:br w:type="page"/>
      </w:r>
    </w:p>
    <w:p w14:paraId="4901578E"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Figure S4. Propensity-score distributions and normalized weights</w:t>
      </w:r>
    </w:p>
    <w:p w14:paraId="5388BC93" w14:textId="77777777" w:rsidR="003826A6" w:rsidRPr="00A16E3A" w:rsidRDefault="003826A6" w:rsidP="003826A6">
      <w:r w:rsidRPr="00A16E3A">
        <w:rPr>
          <w:noProof/>
        </w:rPr>
        <w:drawing>
          <wp:inline distT="0" distB="0" distL="0" distR="0" wp14:anchorId="76B8B904" wp14:editId="279ED686">
            <wp:extent cx="8663940" cy="3341805"/>
            <wp:effectExtent l="0" t="0" r="0" b="0"/>
            <wp:docPr id="56" name="Picture" descr="Unweighted and weighted propensity-score distributions and normalized overlap-weight distributions in the first imputed dataset. The score included measured patient-level covariates and calendar year but not center; the figure therefore does not diagnose center-level positivity."/>
            <wp:cNvGraphicFramePr/>
            <a:graphic xmlns:a="http://schemas.openxmlformats.org/drawingml/2006/main">
              <a:graphicData uri="http://schemas.openxmlformats.org/drawingml/2006/picture">
                <pic:pic xmlns:pic="http://schemas.openxmlformats.org/drawingml/2006/picture">
                  <pic:nvPicPr>
                    <pic:cNvPr id="57" name="Picture" descr="outputs_hartmann_ra_article/supplementary_figure_S4_ps_weights.png"/>
                    <pic:cNvPicPr>
                      <a:picLocks noChangeAspect="1" noChangeArrowheads="1"/>
                    </pic:cNvPicPr>
                  </pic:nvPicPr>
                  <pic:blipFill>
                    <a:blip r:embed="rId10"/>
                    <a:stretch>
                      <a:fillRect/>
                    </a:stretch>
                  </pic:blipFill>
                  <pic:spPr bwMode="auto">
                    <a:xfrm>
                      <a:off x="0" y="0"/>
                      <a:ext cx="8663940" cy="3341805"/>
                    </a:xfrm>
                    <a:prstGeom prst="rect">
                      <a:avLst/>
                    </a:prstGeom>
                    <a:noFill/>
                    <a:ln w="9525">
                      <a:noFill/>
                      <a:headEnd/>
                      <a:tailEnd/>
                    </a:ln>
                  </pic:spPr>
                </pic:pic>
              </a:graphicData>
            </a:graphic>
          </wp:inline>
        </w:drawing>
      </w:r>
    </w:p>
    <w:p w14:paraId="3FB73303" w14:textId="77777777" w:rsidR="003826A6" w:rsidRPr="00A16E3A" w:rsidRDefault="003826A6" w:rsidP="003826A6">
      <w:r w:rsidRPr="00A16E3A">
        <w:t>Unweighted and weighted propensity-score distributions and normalized overlap-weight distributions in the first imputed dataset. The score included measured patient-level covariates and calendar year but not center; the figure therefore does not diagnose center-level positivity.</w:t>
      </w:r>
    </w:p>
    <w:p w14:paraId="722CCB3C" w14:textId="77777777" w:rsidR="003826A6" w:rsidRPr="00A16E3A" w:rsidRDefault="003826A6" w:rsidP="003826A6">
      <w:r w:rsidRPr="00A16E3A">
        <w:br w:type="page"/>
      </w:r>
    </w:p>
    <w:p w14:paraId="3B7DB223"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Figure S5. Primary analysis and both sensitivity analyses</w:t>
      </w:r>
    </w:p>
    <w:p w14:paraId="6027AD6C" w14:textId="77777777" w:rsidR="003826A6" w:rsidRPr="00A16E3A" w:rsidRDefault="003826A6" w:rsidP="003826A6">
      <w:r w:rsidRPr="00A16E3A">
        <w:rPr>
          <w:noProof/>
        </w:rPr>
        <w:drawing>
          <wp:inline distT="0" distB="0" distL="0" distR="0" wp14:anchorId="1398A720" wp14:editId="6250454C">
            <wp:extent cx="8663940" cy="3341805"/>
            <wp:effectExtent l="0" t="0" r="0" b="0"/>
            <wp:docPr id="60" name="Picture" descr="Overlap-weighted cumulative incidence of stoma closure in the primary analysis, the sensitivity restricted to dual-strategy centers, and the sensitivity restricted to procedures initiated laparoscopically in both groups. Conversions remain assigned to their initially selected strategy. Because each panel targets a different overlap population, differences between panels are descriptive and are not formal interaction tests."/>
            <wp:cNvGraphicFramePr/>
            <a:graphic xmlns:a="http://schemas.openxmlformats.org/drawingml/2006/main">
              <a:graphicData uri="http://schemas.openxmlformats.org/drawingml/2006/picture">
                <pic:pic xmlns:pic="http://schemas.openxmlformats.org/drawingml/2006/picture">
                  <pic:nvPicPr>
                    <pic:cNvPr id="61" name="Picture" descr="outputs_hartmann_ra_article/supplementary_figure_S5_primary_sensitivity.png"/>
                    <pic:cNvPicPr>
                      <a:picLocks noChangeAspect="1" noChangeArrowheads="1"/>
                    </pic:cNvPicPr>
                  </pic:nvPicPr>
                  <pic:blipFill>
                    <a:blip r:embed="rId11"/>
                    <a:stretch>
                      <a:fillRect/>
                    </a:stretch>
                  </pic:blipFill>
                  <pic:spPr bwMode="auto">
                    <a:xfrm>
                      <a:off x="0" y="0"/>
                      <a:ext cx="8663940" cy="3341805"/>
                    </a:xfrm>
                    <a:prstGeom prst="rect">
                      <a:avLst/>
                    </a:prstGeom>
                    <a:noFill/>
                    <a:ln w="9525">
                      <a:noFill/>
                      <a:headEnd/>
                      <a:tailEnd/>
                    </a:ln>
                  </pic:spPr>
                </pic:pic>
              </a:graphicData>
            </a:graphic>
          </wp:inline>
        </w:drawing>
      </w:r>
    </w:p>
    <w:p w14:paraId="6D34F7BA" w14:textId="77777777" w:rsidR="003826A6" w:rsidRPr="00A16E3A" w:rsidRDefault="003826A6" w:rsidP="003826A6">
      <w:r w:rsidRPr="00A16E3A">
        <w:t>Overlap-weighted cumulative incidence of stoma closure in the primary analysis, the sensitivity restricted to dual-strategy centers, and the sensitivity restricted to procedures initiated laparoscopically in both groups. Conversions remain assigned to their initially selected strategy. Because each panel targets a different overlap population, differences between panels are descriptive and are not formal interaction tests.</w:t>
      </w:r>
    </w:p>
    <w:p w14:paraId="24107F33" w14:textId="77777777" w:rsidR="003826A6" w:rsidRPr="00A16E3A" w:rsidRDefault="003826A6" w:rsidP="003826A6">
      <w:r w:rsidRPr="00A16E3A">
        <w:br w:type="page"/>
      </w:r>
    </w:p>
    <w:p w14:paraId="27EC9F45"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Figure S6. Stoma closure according to Hartmann conversion status</w:t>
      </w:r>
    </w:p>
    <w:p w14:paraId="3BA6E871" w14:textId="77777777" w:rsidR="003826A6" w:rsidRPr="00A16E3A" w:rsidRDefault="003826A6" w:rsidP="003826A6">
      <w:r w:rsidRPr="00A16E3A">
        <w:rPr>
          <w:noProof/>
        </w:rPr>
        <w:drawing>
          <wp:inline distT="0" distB="0" distL="0" distR="0" wp14:anchorId="3C7F6A2C" wp14:editId="7F18F398">
            <wp:extent cx="6991092" cy="3798276"/>
            <wp:effectExtent l="0" t="0" r="0" b="0"/>
            <wp:docPr id="64" name="Picture" descr="Post hoc unweighted Aalen–Johansen cumulative incidence of stoma closure after a laparoscopy-first Hartmann strategy, stratified by laparoscopic completion or conversion to laparotomy. Death before closure is a competing event. Numbers at risk refer to patients remaining alive without recorded closure. The curves are descriptive and do not estimate a causal effect of conversion."/>
            <wp:cNvGraphicFramePr/>
            <a:graphic xmlns:a="http://schemas.openxmlformats.org/drawingml/2006/main">
              <a:graphicData uri="http://schemas.openxmlformats.org/drawingml/2006/picture">
                <pic:pic xmlns:pic="http://schemas.openxmlformats.org/drawingml/2006/picture">
                  <pic:nvPicPr>
                    <pic:cNvPr id="65" name="Picture" descr="outputs_hartmann_ra_article/supplementary_figure_S6_conversion_prognosis.png"/>
                    <pic:cNvPicPr>
                      <a:picLocks noChangeAspect="1" noChangeArrowheads="1"/>
                    </pic:cNvPicPr>
                  </pic:nvPicPr>
                  <pic:blipFill>
                    <a:blip r:embed="rId12"/>
                    <a:stretch>
                      <a:fillRect/>
                    </a:stretch>
                  </pic:blipFill>
                  <pic:spPr bwMode="auto">
                    <a:xfrm>
                      <a:off x="0" y="0"/>
                      <a:ext cx="7014473" cy="3810979"/>
                    </a:xfrm>
                    <a:prstGeom prst="rect">
                      <a:avLst/>
                    </a:prstGeom>
                    <a:noFill/>
                    <a:ln w="9525">
                      <a:noFill/>
                      <a:headEnd/>
                      <a:tailEnd/>
                    </a:ln>
                  </pic:spPr>
                </pic:pic>
              </a:graphicData>
            </a:graphic>
          </wp:inline>
        </w:drawing>
      </w:r>
    </w:p>
    <w:p w14:paraId="0D3010BE" w14:textId="77777777" w:rsidR="003826A6" w:rsidRPr="00A16E3A" w:rsidRDefault="003826A6" w:rsidP="003826A6">
      <w:r w:rsidRPr="00A16E3A">
        <w:t xml:space="preserve">Post hoc unweighted Aalen–Johansen cumulative incidence of stoma closure after a laparoscopy-first Hartmann strategy, stratified by laparoscopic completion or conversion to laparotomy. Death before closure is a competing event. Numbers at risk refer to patients remaining alive without recorded closure. </w:t>
      </w:r>
    </w:p>
    <w:p w14:paraId="07FF0CC3" w14:textId="77777777" w:rsidR="003826A6" w:rsidRPr="00A16E3A" w:rsidRDefault="003826A6" w:rsidP="003826A6">
      <w:r w:rsidRPr="00A16E3A">
        <w:br w:type="page"/>
      </w:r>
    </w:p>
    <w:p w14:paraId="5E99501B" w14:textId="77777777" w:rsidR="003826A6" w:rsidRPr="00A16E3A" w:rsidRDefault="003826A6" w:rsidP="003826A6">
      <w:pPr>
        <w:pStyle w:val="Titre1"/>
        <w:rPr>
          <w:rFonts w:ascii="Times New Roman" w:hAnsi="Times New Roman" w:cs="Times New Roman"/>
        </w:rPr>
      </w:pPr>
      <w:r w:rsidRPr="00A16E3A">
        <w:rPr>
          <w:rFonts w:ascii="Times New Roman" w:hAnsi="Times New Roman" w:cs="Times New Roman"/>
        </w:rPr>
        <w:lastRenderedPageBreak/>
        <w:t>Supplementary Figure S7. Death before stoma closure</w:t>
      </w:r>
    </w:p>
    <w:p w14:paraId="3AA30FA6" w14:textId="77777777" w:rsidR="003826A6" w:rsidRPr="00A16E3A" w:rsidRDefault="003826A6" w:rsidP="003826A6">
      <w:r w:rsidRPr="00A16E3A">
        <w:rPr>
          <w:noProof/>
        </w:rPr>
        <w:drawing>
          <wp:inline distT="0" distB="0" distL="0" distR="0" wp14:anchorId="7B4617B5" wp14:editId="4B0886F2">
            <wp:extent cx="7510597" cy="4396447"/>
            <wp:effectExtent l="0" t="0" r="0" b="0"/>
            <wp:docPr id="68" name="Picture" descr="Overlap-weighted Aalen–Johansen cumulative incidence of death before recorded stoma closure in the primary analysis. Death is shown as the competing event for transparency and the stoma-closure curve is not repeated. Follow-up is displayed through the prespecified 365-day primary horizon."/>
            <wp:cNvGraphicFramePr/>
            <a:graphic xmlns:a="http://schemas.openxmlformats.org/drawingml/2006/main">
              <a:graphicData uri="http://schemas.openxmlformats.org/drawingml/2006/picture">
                <pic:pic xmlns:pic="http://schemas.openxmlformats.org/drawingml/2006/picture">
                  <pic:nvPicPr>
                    <pic:cNvPr id="69" name="Picture" descr="outputs_hartmann_ra_article/supplementary_figure_S7_death_before_closure.png"/>
                    <pic:cNvPicPr>
                      <a:picLocks noChangeAspect="1" noChangeArrowheads="1"/>
                    </pic:cNvPicPr>
                  </pic:nvPicPr>
                  <pic:blipFill>
                    <a:blip r:embed="rId13"/>
                    <a:stretch>
                      <a:fillRect/>
                    </a:stretch>
                  </pic:blipFill>
                  <pic:spPr bwMode="auto">
                    <a:xfrm>
                      <a:off x="0" y="0"/>
                      <a:ext cx="7510597" cy="4396447"/>
                    </a:xfrm>
                    <a:prstGeom prst="rect">
                      <a:avLst/>
                    </a:prstGeom>
                    <a:noFill/>
                    <a:ln w="9525">
                      <a:noFill/>
                      <a:headEnd/>
                      <a:tailEnd/>
                    </a:ln>
                  </pic:spPr>
                </pic:pic>
              </a:graphicData>
            </a:graphic>
          </wp:inline>
        </w:drawing>
      </w:r>
    </w:p>
    <w:p w14:paraId="1C9C261A" w14:textId="77777777" w:rsidR="003826A6" w:rsidRPr="00A16E3A" w:rsidRDefault="003826A6" w:rsidP="003826A6">
      <w:r w:rsidRPr="00A16E3A">
        <w:t>Overlap-weighted Aalen–Johansen cumulative incidence of death before recorded stoma closure in the primary analysis. Death is shown as the competing event for transparency and the stoma-closure curve is not repeated. Follow-up is displayed through the prespecified 365-day primary horizon.</w:t>
      </w:r>
    </w:p>
    <w:p w14:paraId="2D6E8245" w14:textId="77777777" w:rsidR="003826A6" w:rsidRPr="00A16E3A" w:rsidRDefault="003826A6" w:rsidP="003826A6">
      <w:r w:rsidRPr="00A16E3A">
        <w:br w:type="page"/>
      </w:r>
    </w:p>
    <w:p w14:paraId="03886E35" w14:textId="77777777" w:rsidR="003826A6" w:rsidRPr="00A16E3A" w:rsidRDefault="003826A6" w:rsidP="003826A6">
      <w:pPr>
        <w:pStyle w:val="Titre1"/>
        <w:rPr>
          <w:rFonts w:ascii="Times New Roman" w:hAnsi="Times New Roman" w:cs="Times New Roman"/>
        </w:rPr>
      </w:pPr>
      <w:bookmarkStart w:id="10" w:name="supplementary-references"/>
      <w:r w:rsidRPr="00A16E3A">
        <w:rPr>
          <w:rFonts w:ascii="Times New Roman" w:hAnsi="Times New Roman" w:cs="Times New Roman"/>
        </w:rPr>
        <w:lastRenderedPageBreak/>
        <w:t>Supplementary References</w:t>
      </w:r>
    </w:p>
    <w:bookmarkStart w:id="11" w:name="ref-rubin1987"/>
    <w:bookmarkStart w:id="12" w:name="refs"/>
    <w:p w14:paraId="65554ED6" w14:textId="77777777" w:rsidR="00FC7EA9" w:rsidRPr="00A16E3A" w:rsidRDefault="003826A6" w:rsidP="00FC7EA9">
      <w:pPr>
        <w:pStyle w:val="Bibliographie"/>
        <w:rPr>
          <w:rFonts w:eastAsiaTheme="minorEastAsia"/>
          <w:color w:val="auto"/>
          <w:lang w:val="fr-FR" w:eastAsia="zh-CN"/>
        </w:rPr>
      </w:pPr>
      <w:r w:rsidRPr="00A16E3A">
        <w:rPr>
          <w:lang w:val="en-US"/>
        </w:rPr>
        <w:fldChar w:fldCharType="begin"/>
      </w:r>
      <w:r w:rsidR="00FC7EA9" w:rsidRPr="00A16E3A">
        <w:rPr>
          <w:lang w:val="en-US"/>
        </w:rPr>
        <w:instrText xml:space="preserve"> ADDIN ZOTERO_BIBL {"uncited":[],"omitted":[],"custom":[]} CSL_BIBLIOGRAPHY </w:instrText>
      </w:r>
      <w:r w:rsidRPr="00A16E3A">
        <w:rPr>
          <w:lang w:val="en-US"/>
        </w:rPr>
        <w:fldChar w:fldCharType="separate"/>
      </w:r>
      <w:bookmarkStart w:id="13" w:name="ref-zhou2013"/>
      <w:bookmarkEnd w:id="11"/>
      <w:r w:rsidR="00FC7EA9" w:rsidRPr="00A16E3A">
        <w:rPr>
          <w:rFonts w:eastAsiaTheme="minorEastAsia"/>
          <w:color w:val="auto"/>
          <w:lang w:val="fr-FR" w:eastAsia="zh-CN"/>
        </w:rPr>
        <w:t>1.</w:t>
      </w:r>
      <w:r w:rsidR="00FC7EA9" w:rsidRPr="00A16E3A">
        <w:rPr>
          <w:rFonts w:eastAsiaTheme="minorEastAsia"/>
          <w:color w:val="auto"/>
          <w:lang w:val="fr-FR" w:eastAsia="zh-CN"/>
        </w:rPr>
        <w:tab/>
        <w:t xml:space="preserve">Rubin DB. Multiple imputation for nonresponse in surveys. New York: John Wiley &amp; Sons; 1987. </w:t>
      </w:r>
    </w:p>
    <w:p w14:paraId="14BE6374"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2.</w:t>
      </w:r>
      <w:r w:rsidRPr="00A16E3A">
        <w:rPr>
          <w:rFonts w:eastAsiaTheme="minorEastAsia"/>
          <w:color w:val="auto"/>
          <w:lang w:val="fr-FR" w:eastAsia="zh-CN"/>
        </w:rPr>
        <w:tab/>
        <w:t xml:space="preserve">van Buuren S, Groothuis-Oudshoorn K. mice: Multivariate imputation by chained equations in R. Journal of Statistical Software. 2011;45:1–67. </w:t>
      </w:r>
    </w:p>
    <w:p w14:paraId="66FA0858"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3.</w:t>
      </w:r>
      <w:r w:rsidRPr="00A16E3A">
        <w:rPr>
          <w:rFonts w:eastAsiaTheme="minorEastAsia"/>
          <w:color w:val="auto"/>
          <w:lang w:val="fr-FR" w:eastAsia="zh-CN"/>
        </w:rPr>
        <w:tab/>
        <w:t xml:space="preserve">White IR, Royston P, Wood AM. Multiple imputation using chained equations: Issues and guidance for practice. Statistics in Medicine. 2011;30:377–399. </w:t>
      </w:r>
    </w:p>
    <w:p w14:paraId="211F0272"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4.</w:t>
      </w:r>
      <w:r w:rsidRPr="00A16E3A">
        <w:rPr>
          <w:rFonts w:eastAsiaTheme="minorEastAsia"/>
          <w:color w:val="auto"/>
          <w:lang w:val="fr-FR" w:eastAsia="zh-CN"/>
        </w:rPr>
        <w:tab/>
        <w:t xml:space="preserve">White IR, Royston P. Imputing missing covariate values for the cox model. Statistics in Medicine. 2009;28:1982–1998. </w:t>
      </w:r>
    </w:p>
    <w:p w14:paraId="3DAD8729"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5.</w:t>
      </w:r>
      <w:r w:rsidRPr="00A16E3A">
        <w:rPr>
          <w:rFonts w:eastAsiaTheme="minorEastAsia"/>
          <w:color w:val="auto"/>
          <w:lang w:val="fr-FR" w:eastAsia="zh-CN"/>
        </w:rPr>
        <w:tab/>
        <w:t xml:space="preserve">Bartlett JW, Taylor JMG. Missing covariates in competing risks analysis. Biostatistics. 2016;17:751–763. </w:t>
      </w:r>
    </w:p>
    <w:p w14:paraId="45270F21"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6.</w:t>
      </w:r>
      <w:r w:rsidRPr="00A16E3A">
        <w:rPr>
          <w:rFonts w:eastAsiaTheme="minorEastAsia"/>
          <w:color w:val="auto"/>
          <w:lang w:val="fr-FR" w:eastAsia="zh-CN"/>
        </w:rPr>
        <w:tab/>
        <w:t xml:space="preserve">Leyrat C, Seaman SR, White IR, et al. Propensity score analysis with partially observed covariates: how should multiple imputation be used? Statistical Methods in Medical Research. 2019;28:3–19. </w:t>
      </w:r>
    </w:p>
    <w:p w14:paraId="067C39A9"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7.</w:t>
      </w:r>
      <w:r w:rsidRPr="00A16E3A">
        <w:rPr>
          <w:rFonts w:eastAsiaTheme="minorEastAsia"/>
          <w:color w:val="auto"/>
          <w:lang w:val="fr-FR" w:eastAsia="zh-CN"/>
        </w:rPr>
        <w:tab/>
        <w:t xml:space="preserve">Granger E, Sergeant JC, Lunt M. Avoiding pitfalls when combining multiple imputation and propensity scores. Stat Med. 2019;38:5120–5132. </w:t>
      </w:r>
    </w:p>
    <w:p w14:paraId="66BCC59C"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8.</w:t>
      </w:r>
      <w:r w:rsidRPr="00A16E3A">
        <w:rPr>
          <w:rFonts w:eastAsiaTheme="minorEastAsia"/>
          <w:color w:val="auto"/>
          <w:lang w:val="fr-FR" w:eastAsia="zh-CN"/>
        </w:rPr>
        <w:tab/>
        <w:t xml:space="preserve">Pishgar F, Greifer N, Leyrat C, et al. MatchThem:: Matching and Weighting after Multiple Imputation. The R Journal. 2021;13:292–305. </w:t>
      </w:r>
    </w:p>
    <w:p w14:paraId="72F5DADE"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9.</w:t>
      </w:r>
      <w:r w:rsidRPr="00A16E3A">
        <w:rPr>
          <w:rFonts w:eastAsiaTheme="minorEastAsia"/>
          <w:color w:val="auto"/>
          <w:lang w:val="fr-FR" w:eastAsia="zh-CN"/>
        </w:rPr>
        <w:tab/>
        <w:t xml:space="preserve">Rosenbaum PR, Rubin DB. The central role of the propensity score in observational studies for causal effects. Biometrika. 1983;70:41–55. </w:t>
      </w:r>
    </w:p>
    <w:p w14:paraId="5CDA77C0"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10.</w:t>
      </w:r>
      <w:r w:rsidRPr="00A16E3A">
        <w:rPr>
          <w:rFonts w:eastAsiaTheme="minorEastAsia"/>
          <w:color w:val="auto"/>
          <w:lang w:val="fr-FR" w:eastAsia="zh-CN"/>
        </w:rPr>
        <w:tab/>
        <w:t xml:space="preserve">Li F, Morgan KL, Zaslavsky AM. Balancing covariates via propensity score weighting. Journal of the American Statistical Association. 2018;113:390–400. </w:t>
      </w:r>
    </w:p>
    <w:p w14:paraId="4430D964"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11.</w:t>
      </w:r>
      <w:r w:rsidRPr="00A16E3A">
        <w:rPr>
          <w:rFonts w:eastAsiaTheme="minorEastAsia"/>
          <w:color w:val="auto"/>
          <w:lang w:val="fr-FR" w:eastAsia="zh-CN"/>
        </w:rPr>
        <w:tab/>
        <w:t xml:space="preserve">Li F, Thomas LE, Li F. Addressing extreme propensity scores via the overlap weights. American Journal of Epidemiology. 2019;188:250–257. </w:t>
      </w:r>
    </w:p>
    <w:p w14:paraId="2110A699"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12.</w:t>
      </w:r>
      <w:r w:rsidRPr="00A16E3A">
        <w:rPr>
          <w:rFonts w:eastAsiaTheme="minorEastAsia"/>
          <w:color w:val="auto"/>
          <w:lang w:val="fr-FR" w:eastAsia="zh-CN"/>
        </w:rPr>
        <w:tab/>
        <w:t xml:space="preserve">Thomas LE, Li F, Pencina MJ. Overlap weighting: A propensity score method that mimics attributes of a randomized clinical trial. JAMA. 2020;323:2417–2418. </w:t>
      </w:r>
    </w:p>
    <w:p w14:paraId="16D40A2F"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13.</w:t>
      </w:r>
      <w:r w:rsidRPr="00A16E3A">
        <w:rPr>
          <w:rFonts w:eastAsiaTheme="minorEastAsia"/>
          <w:color w:val="auto"/>
          <w:lang w:val="fr-FR" w:eastAsia="zh-CN"/>
        </w:rPr>
        <w:tab/>
        <w:t xml:space="preserve">Austin PC, Stuart EA. Moving towards best practice when using inverse probability of treatment weighting using the propensity score to estimate causal treatment effects in observational studies. Statistics in Medicine. 2015;34:3661–3679. </w:t>
      </w:r>
    </w:p>
    <w:p w14:paraId="5F97754E"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14.</w:t>
      </w:r>
      <w:r w:rsidRPr="00A16E3A">
        <w:rPr>
          <w:rFonts w:eastAsiaTheme="minorEastAsia"/>
          <w:color w:val="auto"/>
          <w:lang w:val="fr-FR" w:eastAsia="zh-CN"/>
        </w:rPr>
        <w:tab/>
        <w:t xml:space="preserve">Aalen OO, Johansen S. An Empirical Transition Matrix for Non-Homogeneous Markov Chains Based on Censored Observations. Scandinavian Journal of Statistics. 1978;5:141–150. </w:t>
      </w:r>
    </w:p>
    <w:p w14:paraId="507C0F12"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lastRenderedPageBreak/>
        <w:t>15.</w:t>
      </w:r>
      <w:r w:rsidRPr="00A16E3A">
        <w:rPr>
          <w:rFonts w:eastAsiaTheme="minorEastAsia"/>
          <w:color w:val="auto"/>
          <w:lang w:val="fr-FR" w:eastAsia="zh-CN"/>
        </w:rPr>
        <w:tab/>
        <w:t xml:space="preserve">Putter H, Fiocco M, Geskus RB. Tutorial in biostatistics: competing risks and multi-state models. Statistics in Medicine. 2007;26:2389–2430. </w:t>
      </w:r>
    </w:p>
    <w:p w14:paraId="425B084B"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16.</w:t>
      </w:r>
      <w:r w:rsidRPr="00A16E3A">
        <w:rPr>
          <w:rFonts w:eastAsiaTheme="minorEastAsia"/>
          <w:color w:val="auto"/>
          <w:lang w:val="fr-FR" w:eastAsia="zh-CN"/>
        </w:rPr>
        <w:tab/>
        <w:t xml:space="preserve">Austin PC. Variance estimation when using inverse probability of treatment weighting (IPTW) with survival analysis. Statistics in Medicine. 2016;35:5642–5655. </w:t>
      </w:r>
    </w:p>
    <w:p w14:paraId="395A0E85"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17.</w:t>
      </w:r>
      <w:r w:rsidRPr="00A16E3A">
        <w:rPr>
          <w:rFonts w:eastAsiaTheme="minorEastAsia"/>
          <w:color w:val="auto"/>
          <w:lang w:val="fr-FR" w:eastAsia="zh-CN"/>
        </w:rPr>
        <w:tab/>
        <w:t xml:space="preserve">Schomaker M, Heumann C. Bootstrap Inference When Using Multiple Imputation. Stat Med. 2018;37:2252–2266. </w:t>
      </w:r>
    </w:p>
    <w:p w14:paraId="4EEBE606"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18.</w:t>
      </w:r>
      <w:r w:rsidRPr="00A16E3A">
        <w:rPr>
          <w:rFonts w:eastAsiaTheme="minorEastAsia"/>
          <w:color w:val="auto"/>
          <w:lang w:val="fr-FR" w:eastAsia="zh-CN"/>
        </w:rPr>
        <w:tab/>
        <w:t xml:space="preserve">Barnard J, Rubin DB. Small-sample degrees of freedom with multiple imputation. Biometrika. 1999;86:948–955. </w:t>
      </w:r>
    </w:p>
    <w:p w14:paraId="4AE448A0"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19.</w:t>
      </w:r>
      <w:r w:rsidRPr="00A16E3A">
        <w:rPr>
          <w:rFonts w:eastAsiaTheme="minorEastAsia"/>
          <w:color w:val="auto"/>
          <w:lang w:val="fr-FR" w:eastAsia="zh-CN"/>
        </w:rPr>
        <w:tab/>
        <w:t xml:space="preserve">Bartlett JW, Hughes RA. Bootstrap inference for multiple imputation under uncongeniality and misspecification. Statistical Methods in Medical Research. 2020;29:3533–3546. </w:t>
      </w:r>
    </w:p>
    <w:p w14:paraId="32C2F0CD"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20.</w:t>
      </w:r>
      <w:r w:rsidRPr="00A16E3A">
        <w:rPr>
          <w:rFonts w:eastAsiaTheme="minorEastAsia"/>
          <w:color w:val="auto"/>
          <w:lang w:val="fr-FR" w:eastAsia="zh-CN"/>
        </w:rPr>
        <w:tab/>
        <w:t xml:space="preserve">Fine JP, Gray RJ. A proportional hazards model for the subdistribution of a competing risk. Journal of the American Statistical Association. 1999;94:496–509. </w:t>
      </w:r>
    </w:p>
    <w:p w14:paraId="7B9CB7AB" w14:textId="77777777" w:rsidR="00FC7EA9" w:rsidRPr="00A16E3A" w:rsidRDefault="00FC7EA9" w:rsidP="00FC7EA9">
      <w:pPr>
        <w:pStyle w:val="Bibliographie"/>
        <w:rPr>
          <w:rFonts w:eastAsiaTheme="minorEastAsia"/>
          <w:color w:val="auto"/>
          <w:lang w:val="fr-FR" w:eastAsia="zh-CN"/>
        </w:rPr>
      </w:pPr>
      <w:r w:rsidRPr="00A16E3A">
        <w:rPr>
          <w:rFonts w:eastAsiaTheme="minorEastAsia"/>
          <w:color w:val="auto"/>
          <w:lang w:val="fr-FR" w:eastAsia="zh-CN"/>
        </w:rPr>
        <w:t>21.</w:t>
      </w:r>
      <w:r w:rsidRPr="00A16E3A">
        <w:rPr>
          <w:rFonts w:eastAsiaTheme="minorEastAsia"/>
          <w:color w:val="auto"/>
          <w:lang w:val="fr-FR" w:eastAsia="zh-CN"/>
        </w:rPr>
        <w:tab/>
        <w:t xml:space="preserve">Zhou B, Fine J, Laird G. Goodness-of-fit test for proportional subdistribution hazards model. Statistics in Medicine. 2013;32:3804–3811. </w:t>
      </w:r>
    </w:p>
    <w:p w14:paraId="2A2DE058" w14:textId="335F16BB" w:rsidR="00996D35" w:rsidRPr="00A16E3A" w:rsidRDefault="003826A6" w:rsidP="00F67421">
      <w:pPr>
        <w:pStyle w:val="Bibliographie"/>
        <w:ind w:left="0" w:firstLine="0"/>
      </w:pPr>
      <w:r w:rsidRPr="00A16E3A">
        <w:rPr>
          <w:lang w:val="en-US"/>
        </w:rPr>
        <w:fldChar w:fldCharType="end"/>
      </w:r>
      <w:bookmarkEnd w:id="10"/>
      <w:bookmarkEnd w:id="12"/>
      <w:bookmarkEnd w:id="13"/>
    </w:p>
    <w:sectPr w:rsidR="00996D35" w:rsidRPr="00A16E3A" w:rsidSect="003826A6">
      <w:footerReference w:type="even" r:id="rId14"/>
      <w:footerReference w:type="default" r:id="rId15"/>
      <w:pgSz w:w="16838" w:h="11906" w:orient="landscape"/>
      <w:pgMar w:top="835" w:right="835" w:bottom="835" w:left="83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36AB101F" w14:textId="77777777" w:rsidR="006A54EE" w:rsidRDefault="006A54EE">
      <w:pPr>
        <w:spacing w:line="240" w:lineRule="auto"/>
      </w:pPr>
      <w:r>
        <w:separator/>
      </w:r>
    </w:p>
  </w:endnote>
  <w:endnote w:type="continuationSeparator" w:id="0">
    <w:p w14:paraId="2D20EFC1" w14:textId="77777777" w:rsidR="006A54EE" w:rsidRDefault="006A54EE">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w:panose1 w:val="020B0004020202020204"/>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Aptos Display">
    <w:panose1 w:val="020B0004020202020204"/>
    <w:charset w:val="00"/>
    <w:family w:val="swiss"/>
    <w:pitch w:val="variable"/>
    <w:sig w:usb0="20000287" w:usb1="00000003" w:usb2="00000000" w:usb3="00000000" w:csb0="0000019F" w:csb1="00000000"/>
  </w:font>
  <w:font w:name="DengXian Light">
    <w:altName w:val="等线 Light"/>
    <w:panose1 w:val="02010600030101010101"/>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urier">
    <w:panose1 w:val="02070309020205020404"/>
    <w:charset w:val="00"/>
    <w:family w:val="modern"/>
    <w:pitch w:val="fixed"/>
    <w:sig w:usb0="E0002A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Helvetica">
    <w:panose1 w:val="00000000000000000000"/>
    <w:charset w:val="00"/>
    <w:family w:val="auto"/>
    <w:pitch w:val="variable"/>
    <w:sig w:usb0="E00002FF" w:usb1="5000785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581766740"/>
      <w:docPartObj>
        <w:docPartGallery w:val="Page Numbers (Bottom of Page)"/>
        <w:docPartUnique/>
      </w:docPartObj>
    </w:sdtPr>
    <w:sdtContent>
      <w:p w14:paraId="3F41028F" w14:textId="77777777" w:rsidR="003826A6" w:rsidRDefault="003826A6" w:rsidP="008437C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rPr>
          <w:fldChar w:fldCharType="end"/>
        </w:r>
      </w:p>
    </w:sdtContent>
  </w:sdt>
  <w:p w14:paraId="3C0BF474" w14:textId="77777777" w:rsidR="003826A6" w:rsidRDefault="003826A6" w:rsidP="000E4E15">
    <w:pPr>
      <w:pStyle w:val="Pieddepag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Numrodepage"/>
      </w:rPr>
      <w:id w:val="731348212"/>
      <w:docPartObj>
        <w:docPartGallery w:val="Page Numbers (Bottom of Page)"/>
        <w:docPartUnique/>
      </w:docPartObj>
    </w:sdtPr>
    <w:sdtContent>
      <w:p w14:paraId="735475EF" w14:textId="77777777" w:rsidR="003826A6" w:rsidRDefault="003826A6" w:rsidP="008437CC">
        <w:pPr>
          <w:pStyle w:val="Pieddepage"/>
          <w:framePr w:wrap="none" w:vAnchor="text" w:hAnchor="margin" w:xAlign="right" w:y="1"/>
          <w:rPr>
            <w:rStyle w:val="Numrodepage"/>
          </w:rPr>
        </w:pPr>
        <w:r>
          <w:rPr>
            <w:rStyle w:val="Numrodepage"/>
          </w:rPr>
          <w:fldChar w:fldCharType="begin"/>
        </w:r>
        <w:r>
          <w:rPr>
            <w:rStyle w:val="Numrodepage"/>
          </w:rPr>
          <w:instrText xml:space="preserve"> PAGE </w:instrText>
        </w:r>
        <w:r>
          <w:rPr>
            <w:rStyle w:val="Numrodepage"/>
          </w:rPr>
          <w:fldChar w:fldCharType="separate"/>
        </w:r>
        <w:r>
          <w:rPr>
            <w:rStyle w:val="Numrodepage"/>
            <w:noProof/>
          </w:rPr>
          <w:t>1</w:t>
        </w:r>
        <w:r>
          <w:rPr>
            <w:rStyle w:val="Numrodepage"/>
          </w:rPr>
          <w:fldChar w:fldCharType="end"/>
        </w:r>
      </w:p>
    </w:sdtContent>
  </w:sdt>
  <w:p w14:paraId="0A3D5075" w14:textId="77777777" w:rsidR="003826A6" w:rsidRDefault="003826A6" w:rsidP="000E4E15">
    <w:pPr>
      <w:pStyle w:val="Pieddepage"/>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CDC81DC" w14:textId="77777777" w:rsidR="006A54EE" w:rsidRDefault="006A54EE">
      <w:pPr>
        <w:spacing w:line="240" w:lineRule="auto"/>
      </w:pPr>
      <w:r>
        <w:separator/>
      </w:r>
    </w:p>
  </w:footnote>
  <w:footnote w:type="continuationSeparator" w:id="0">
    <w:p w14:paraId="5EE4F5F6" w14:textId="77777777" w:rsidR="006A54EE" w:rsidRDefault="006A54EE">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enumros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enumros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epuces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epuces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enumros"/>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epuces"/>
      <w:lvlText w:val=""/>
      <w:lvlJc w:val="left"/>
      <w:pPr>
        <w:tabs>
          <w:tab w:val="num" w:pos="360"/>
        </w:tabs>
        <w:ind w:left="360" w:hanging="360"/>
      </w:pPr>
      <w:rPr>
        <w:rFonts w:ascii="Symbol" w:hAnsi="Symbol" w:hint="default"/>
      </w:rPr>
    </w:lvl>
  </w:abstractNum>
  <w:abstractNum w:abstractNumId="9" w15:restartNumberingAfterBreak="0">
    <w:nsid w:val="0000A990"/>
    <w:multiLevelType w:val="multilevel"/>
    <w:tmpl w:val="B73057FE"/>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10" w15:restartNumberingAfterBreak="0">
    <w:nsid w:val="10C058EE"/>
    <w:multiLevelType w:val="multilevel"/>
    <w:tmpl w:val="C966C36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32405B6"/>
    <w:multiLevelType w:val="hybridMultilevel"/>
    <w:tmpl w:val="CB96ED8C"/>
    <w:lvl w:ilvl="0" w:tplc="754EC6C4">
      <w:start w:val="2"/>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6086077"/>
    <w:multiLevelType w:val="multilevel"/>
    <w:tmpl w:val="E1E0F14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A555F59"/>
    <w:multiLevelType w:val="multilevel"/>
    <w:tmpl w:val="3F9A51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326130B"/>
    <w:multiLevelType w:val="hybridMultilevel"/>
    <w:tmpl w:val="323CA0D8"/>
    <w:lvl w:ilvl="0" w:tplc="C810AD9E">
      <w:start w:val="1"/>
      <w:numFmt w:val="decimal"/>
      <w:lvlText w:val="%1."/>
      <w:lvlJc w:val="left"/>
      <w:pPr>
        <w:ind w:left="720" w:hanging="360"/>
      </w:pPr>
      <w:rPr>
        <w:rFonts w:eastAsia="Times New Roman" w:hint="default"/>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5" w15:restartNumberingAfterBreak="0">
    <w:nsid w:val="59AA1D23"/>
    <w:multiLevelType w:val="hybridMultilevel"/>
    <w:tmpl w:val="5590DC44"/>
    <w:lvl w:ilvl="0" w:tplc="F424A578">
      <w:start w:val="2"/>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76F979AD"/>
    <w:multiLevelType w:val="hybridMultilevel"/>
    <w:tmpl w:val="94F63F86"/>
    <w:lvl w:ilvl="0" w:tplc="051C590C">
      <w:numFmt w:val="bullet"/>
      <w:lvlText w:val="-"/>
      <w:lvlJc w:val="left"/>
      <w:pPr>
        <w:ind w:left="720" w:hanging="360"/>
      </w:pPr>
      <w:rPr>
        <w:rFonts w:ascii="Times New Roman" w:eastAsia="Times New Roman" w:hAnsi="Times New Roman" w:cs="Times New Roman"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DC958C6"/>
    <w:multiLevelType w:val="hybridMultilevel"/>
    <w:tmpl w:val="07967EC0"/>
    <w:lvl w:ilvl="0" w:tplc="AF5A9D82">
      <w:start w:val="1"/>
      <w:numFmt w:val="bullet"/>
      <w:lvlText w:val="-"/>
      <w:lvlJc w:val="left"/>
      <w:pPr>
        <w:ind w:left="720" w:hanging="360"/>
      </w:pPr>
      <w:rPr>
        <w:rFonts w:ascii="Times New Roman" w:eastAsia="Times New Roman" w:hAnsi="Times New Roman" w:cs="Times New Roman"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5954723">
    <w:abstractNumId w:val="12"/>
  </w:num>
  <w:num w:numId="2" w16cid:durableId="689331786">
    <w:abstractNumId w:val="10"/>
  </w:num>
  <w:num w:numId="3" w16cid:durableId="824398369">
    <w:abstractNumId w:val="15"/>
  </w:num>
  <w:num w:numId="4" w16cid:durableId="576212580">
    <w:abstractNumId w:val="13"/>
  </w:num>
  <w:num w:numId="5" w16cid:durableId="1048602172">
    <w:abstractNumId w:val="17"/>
  </w:num>
  <w:num w:numId="6" w16cid:durableId="585113299">
    <w:abstractNumId w:val="11"/>
  </w:num>
  <w:num w:numId="7" w16cid:durableId="2006130248">
    <w:abstractNumId w:val="14"/>
  </w:num>
  <w:num w:numId="8" w16cid:durableId="1347557699">
    <w:abstractNumId w:val="9"/>
  </w:num>
  <w:num w:numId="9" w16cid:durableId="1113787912">
    <w:abstractNumId w:val="16"/>
  </w:num>
  <w:num w:numId="10" w16cid:durableId="959259002">
    <w:abstractNumId w:val="8"/>
  </w:num>
  <w:num w:numId="11" w16cid:durableId="1584219827">
    <w:abstractNumId w:val="6"/>
  </w:num>
  <w:num w:numId="12" w16cid:durableId="1769963146">
    <w:abstractNumId w:val="5"/>
  </w:num>
  <w:num w:numId="13" w16cid:durableId="1539390899">
    <w:abstractNumId w:val="4"/>
  </w:num>
  <w:num w:numId="14" w16cid:durableId="1129595379">
    <w:abstractNumId w:val="7"/>
  </w:num>
  <w:num w:numId="15" w16cid:durableId="998387596">
    <w:abstractNumId w:val="3"/>
  </w:num>
  <w:num w:numId="16" w16cid:durableId="1043138276">
    <w:abstractNumId w:val="2"/>
  </w:num>
  <w:num w:numId="17" w16cid:durableId="1319774241">
    <w:abstractNumId w:val="1"/>
  </w:num>
  <w:num w:numId="18" w16cid:durableId="14567575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02"/>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826A6"/>
    <w:rsid w:val="001447B6"/>
    <w:rsid w:val="00187A64"/>
    <w:rsid w:val="003826A6"/>
    <w:rsid w:val="00422DC6"/>
    <w:rsid w:val="00471581"/>
    <w:rsid w:val="00572C21"/>
    <w:rsid w:val="006A54EE"/>
    <w:rsid w:val="0075111D"/>
    <w:rsid w:val="00866B39"/>
    <w:rsid w:val="008B5761"/>
    <w:rsid w:val="008D29F2"/>
    <w:rsid w:val="00952B8B"/>
    <w:rsid w:val="00996D35"/>
    <w:rsid w:val="009F08D8"/>
    <w:rsid w:val="00A16E3A"/>
    <w:rsid w:val="00A90ADE"/>
    <w:rsid w:val="00B278AA"/>
    <w:rsid w:val="00C47D67"/>
    <w:rsid w:val="00CB084A"/>
    <w:rsid w:val="00D301E1"/>
    <w:rsid w:val="00D3532F"/>
    <w:rsid w:val="00D62537"/>
    <w:rsid w:val="00E20E4B"/>
    <w:rsid w:val="00F67421"/>
    <w:rsid w:val="00FC7EA9"/>
  </w:rsids>
  <m:mathPr>
    <m:mathFont m:val="Cambria Math"/>
    <m:brkBin m:val="before"/>
    <m:brkBinSub m:val="--"/>
    <m:smallFrac m:val="0"/>
    <m:dispDef/>
    <m:lMargin m:val="0"/>
    <m:rMargin m:val="0"/>
    <m:defJc m:val="centerGroup"/>
    <m:wrapIndent m:val="1440"/>
    <m:intLim m:val="subSup"/>
    <m:naryLim m:val="undOvr"/>
  </m:mathPr>
  <w:themeFontLang w:val="fr-FR"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3FF193F4"/>
  <w15:chartTrackingRefBased/>
  <w15:docId w15:val="{F7818528-0723-DE44-AECA-7F3E7952B7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4"/>
        <w:lang w:val="fr-FR"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0"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826A6"/>
    <w:pPr>
      <w:spacing w:after="0" w:line="480" w:lineRule="auto"/>
      <w:ind w:right="419"/>
    </w:pPr>
    <w:rPr>
      <w:rFonts w:ascii="Times New Roman" w:eastAsia="Times New Roman" w:hAnsi="Times New Roman" w:cs="Times New Roman"/>
      <w:bCs/>
      <w:iCs/>
      <w:color w:val="000000"/>
      <w:kern w:val="0"/>
      <w:lang w:val="en" w:eastAsia="fr-FR"/>
      <w14:ligatures w14:val="none"/>
    </w:rPr>
  </w:style>
  <w:style w:type="paragraph" w:styleId="Titre1">
    <w:name w:val="heading 1"/>
    <w:basedOn w:val="Normal"/>
    <w:next w:val="Normal"/>
    <w:link w:val="Titre1Car"/>
    <w:uiPriority w:val="9"/>
    <w:qFormat/>
    <w:rsid w:val="003826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unhideWhenUsed/>
    <w:qFormat/>
    <w:rsid w:val="003826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unhideWhenUsed/>
    <w:qFormat/>
    <w:rsid w:val="003826A6"/>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unhideWhenUsed/>
    <w:qFormat/>
    <w:rsid w:val="003826A6"/>
    <w:pPr>
      <w:keepNext/>
      <w:keepLines/>
      <w:spacing w:before="80" w:after="40"/>
      <w:outlineLvl w:val="3"/>
    </w:pPr>
    <w:rPr>
      <w:rFonts w:eastAsiaTheme="majorEastAsia" w:cstheme="majorBidi"/>
      <w:i/>
      <w:iCs w:val="0"/>
      <w:color w:val="0F4761" w:themeColor="accent1" w:themeShade="BF"/>
    </w:rPr>
  </w:style>
  <w:style w:type="paragraph" w:styleId="Titre5">
    <w:name w:val="heading 5"/>
    <w:basedOn w:val="Normal"/>
    <w:next w:val="Normal"/>
    <w:link w:val="Titre5Car"/>
    <w:uiPriority w:val="9"/>
    <w:unhideWhenUsed/>
    <w:qFormat/>
    <w:rsid w:val="003826A6"/>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3826A6"/>
    <w:pPr>
      <w:keepNext/>
      <w:keepLines/>
      <w:spacing w:before="40"/>
      <w:outlineLvl w:val="5"/>
    </w:pPr>
    <w:rPr>
      <w:rFonts w:eastAsiaTheme="majorEastAsia" w:cstheme="majorBidi"/>
      <w:i/>
      <w:iCs w:val="0"/>
      <w:color w:val="595959" w:themeColor="text1" w:themeTint="A6"/>
    </w:rPr>
  </w:style>
  <w:style w:type="paragraph" w:styleId="Titre7">
    <w:name w:val="heading 7"/>
    <w:basedOn w:val="Normal"/>
    <w:next w:val="Normal"/>
    <w:link w:val="Titre7Car"/>
    <w:uiPriority w:val="9"/>
    <w:semiHidden/>
    <w:unhideWhenUsed/>
    <w:qFormat/>
    <w:rsid w:val="003826A6"/>
    <w:pPr>
      <w:keepNext/>
      <w:keepLines/>
      <w:spacing w:before="4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3826A6"/>
    <w:pPr>
      <w:keepNext/>
      <w:keepLines/>
      <w:outlineLvl w:val="7"/>
    </w:pPr>
    <w:rPr>
      <w:rFonts w:eastAsiaTheme="majorEastAsia" w:cstheme="majorBidi"/>
      <w:i/>
      <w:iCs w:val="0"/>
      <w:color w:val="272727" w:themeColor="text1" w:themeTint="D8"/>
    </w:rPr>
  </w:style>
  <w:style w:type="paragraph" w:styleId="Titre9">
    <w:name w:val="heading 9"/>
    <w:basedOn w:val="Normal"/>
    <w:next w:val="Normal"/>
    <w:link w:val="Titre9Car"/>
    <w:uiPriority w:val="9"/>
    <w:semiHidden/>
    <w:unhideWhenUsed/>
    <w:qFormat/>
    <w:rsid w:val="003826A6"/>
    <w:pPr>
      <w:keepNext/>
      <w:keepLines/>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table" w:styleId="Grilledetableauclaire">
    <w:name w:val="Grid Table Light"/>
    <w:basedOn w:val="TableauNormal"/>
    <w:uiPriority w:val="40"/>
    <w:rsid w:val="0075111D"/>
    <w:pPr>
      <w:spacing w:after="0" w:line="240" w:lineRule="auto"/>
    </w:pPr>
    <w:rPr>
      <w:rFonts w:ascii="Times New Roman" w:eastAsia="Times New Roman" w:hAnsi="Times New Roman" w:cs="Times New Roman"/>
      <w:kern w:val="0"/>
      <w:lang w:val="en-US" w:eastAsia="fr-FR"/>
      <w14:ligatures w14:val="none"/>
    </w:r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customStyle="1" w:styleId="Titre1Car">
    <w:name w:val="Titre 1 Car"/>
    <w:basedOn w:val="Policepardfaut"/>
    <w:link w:val="Titre1"/>
    <w:uiPriority w:val="9"/>
    <w:rsid w:val="003826A6"/>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rsid w:val="003826A6"/>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rsid w:val="003826A6"/>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rsid w:val="003826A6"/>
    <w:rPr>
      <w:rFonts w:eastAsiaTheme="majorEastAsia" w:cstheme="majorBidi"/>
      <w:i/>
      <w:iCs/>
      <w:color w:val="0F4761" w:themeColor="accent1" w:themeShade="BF"/>
    </w:rPr>
  </w:style>
  <w:style w:type="character" w:customStyle="1" w:styleId="Titre5Car">
    <w:name w:val="Titre 5 Car"/>
    <w:basedOn w:val="Policepardfaut"/>
    <w:link w:val="Titre5"/>
    <w:uiPriority w:val="9"/>
    <w:rsid w:val="003826A6"/>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3826A6"/>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3826A6"/>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3826A6"/>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3826A6"/>
    <w:rPr>
      <w:rFonts w:eastAsiaTheme="majorEastAsia" w:cstheme="majorBidi"/>
      <w:color w:val="272727" w:themeColor="text1" w:themeTint="D8"/>
    </w:rPr>
  </w:style>
  <w:style w:type="paragraph" w:styleId="Titre">
    <w:name w:val="Title"/>
    <w:basedOn w:val="Normal"/>
    <w:next w:val="Normal"/>
    <w:link w:val="TitreCar"/>
    <w:uiPriority w:val="10"/>
    <w:qFormat/>
    <w:rsid w:val="003826A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3826A6"/>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3826A6"/>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3826A6"/>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3826A6"/>
    <w:pPr>
      <w:spacing w:before="160"/>
      <w:jc w:val="center"/>
    </w:pPr>
    <w:rPr>
      <w:i/>
      <w:iCs w:val="0"/>
      <w:color w:val="404040" w:themeColor="text1" w:themeTint="BF"/>
    </w:rPr>
  </w:style>
  <w:style w:type="character" w:customStyle="1" w:styleId="CitationCar">
    <w:name w:val="Citation Car"/>
    <w:basedOn w:val="Policepardfaut"/>
    <w:link w:val="Citation"/>
    <w:uiPriority w:val="29"/>
    <w:rsid w:val="003826A6"/>
    <w:rPr>
      <w:i/>
      <w:iCs/>
      <w:color w:val="404040" w:themeColor="text1" w:themeTint="BF"/>
    </w:rPr>
  </w:style>
  <w:style w:type="paragraph" w:styleId="Paragraphedeliste">
    <w:name w:val="List Paragraph"/>
    <w:basedOn w:val="Normal"/>
    <w:uiPriority w:val="34"/>
    <w:qFormat/>
    <w:rsid w:val="003826A6"/>
    <w:pPr>
      <w:ind w:left="720"/>
      <w:contextualSpacing/>
    </w:pPr>
  </w:style>
  <w:style w:type="character" w:styleId="Accentuationintense">
    <w:name w:val="Intense Emphasis"/>
    <w:basedOn w:val="Policepardfaut"/>
    <w:uiPriority w:val="21"/>
    <w:qFormat/>
    <w:rsid w:val="003826A6"/>
    <w:rPr>
      <w:i/>
      <w:iCs/>
      <w:color w:val="0F4761" w:themeColor="accent1" w:themeShade="BF"/>
    </w:rPr>
  </w:style>
  <w:style w:type="paragraph" w:styleId="Citationintense">
    <w:name w:val="Intense Quote"/>
    <w:basedOn w:val="Normal"/>
    <w:next w:val="Normal"/>
    <w:link w:val="CitationintenseCar"/>
    <w:uiPriority w:val="30"/>
    <w:qFormat/>
    <w:rsid w:val="003826A6"/>
    <w:pPr>
      <w:pBdr>
        <w:top w:val="single" w:sz="4" w:space="10" w:color="0F4761" w:themeColor="accent1" w:themeShade="BF"/>
        <w:bottom w:val="single" w:sz="4" w:space="10" w:color="0F4761" w:themeColor="accent1" w:themeShade="BF"/>
      </w:pBdr>
      <w:spacing w:before="360" w:after="360"/>
      <w:ind w:left="864" w:right="864"/>
      <w:jc w:val="center"/>
    </w:pPr>
    <w:rPr>
      <w:i/>
      <w:iCs w:val="0"/>
      <w:color w:val="0F4761" w:themeColor="accent1" w:themeShade="BF"/>
    </w:rPr>
  </w:style>
  <w:style w:type="character" w:customStyle="1" w:styleId="CitationintenseCar">
    <w:name w:val="Citation intense Car"/>
    <w:basedOn w:val="Policepardfaut"/>
    <w:link w:val="Citationintense"/>
    <w:uiPriority w:val="30"/>
    <w:rsid w:val="003826A6"/>
    <w:rPr>
      <w:i/>
      <w:iCs/>
      <w:color w:val="0F4761" w:themeColor="accent1" w:themeShade="BF"/>
    </w:rPr>
  </w:style>
  <w:style w:type="character" w:styleId="Rfrenceintense">
    <w:name w:val="Intense Reference"/>
    <w:basedOn w:val="Policepardfaut"/>
    <w:uiPriority w:val="32"/>
    <w:qFormat/>
    <w:rsid w:val="003826A6"/>
    <w:rPr>
      <w:b/>
      <w:bCs/>
      <w:smallCaps/>
      <w:color w:val="0F4761" w:themeColor="accent1" w:themeShade="BF"/>
      <w:spacing w:val="5"/>
    </w:rPr>
  </w:style>
  <w:style w:type="table" w:customStyle="1" w:styleId="TableNormal1">
    <w:name w:val="Table Normal1"/>
    <w:rsid w:val="003826A6"/>
    <w:pPr>
      <w:spacing w:after="0" w:line="240" w:lineRule="auto"/>
    </w:pPr>
    <w:rPr>
      <w:rFonts w:ascii="Times New Roman" w:eastAsia="Times New Roman" w:hAnsi="Times New Roman" w:cs="Times New Roman"/>
      <w:kern w:val="0"/>
      <w:lang w:val="en" w:eastAsia="fr-FR"/>
      <w14:ligatures w14:val="none"/>
    </w:rPr>
    <w:tblPr>
      <w:tblCellMar>
        <w:top w:w="0" w:type="dxa"/>
        <w:left w:w="0" w:type="dxa"/>
        <w:bottom w:w="0" w:type="dxa"/>
        <w:right w:w="0" w:type="dxa"/>
      </w:tblCellMar>
    </w:tblPr>
  </w:style>
  <w:style w:type="paragraph" w:styleId="NormalWeb">
    <w:name w:val="Normal (Web)"/>
    <w:basedOn w:val="Normal"/>
    <w:uiPriority w:val="99"/>
    <w:unhideWhenUsed/>
    <w:rsid w:val="003826A6"/>
    <w:pPr>
      <w:spacing w:beforeAutospacing="1" w:afterAutospacing="1"/>
    </w:pPr>
  </w:style>
  <w:style w:type="character" w:styleId="lev">
    <w:name w:val="Strong"/>
    <w:basedOn w:val="Policepardfaut"/>
    <w:uiPriority w:val="22"/>
    <w:qFormat/>
    <w:rsid w:val="003826A6"/>
    <w:rPr>
      <w:b/>
      <w:bCs/>
    </w:rPr>
  </w:style>
  <w:style w:type="table" w:customStyle="1" w:styleId="3">
    <w:name w:val="3"/>
    <w:basedOn w:val="TableNormal1"/>
    <w:rsid w:val="003826A6"/>
    <w:tblPr>
      <w:tblStyleRowBandSize w:val="1"/>
      <w:tblStyleColBandSize w:val="1"/>
      <w:tblCellMar>
        <w:top w:w="100" w:type="dxa"/>
        <w:left w:w="100" w:type="dxa"/>
        <w:bottom w:w="100" w:type="dxa"/>
        <w:right w:w="100" w:type="dxa"/>
      </w:tblCellMar>
    </w:tblPr>
  </w:style>
  <w:style w:type="table" w:customStyle="1" w:styleId="2">
    <w:name w:val="2"/>
    <w:basedOn w:val="TableNormal1"/>
    <w:rsid w:val="003826A6"/>
    <w:tblPr>
      <w:tblStyleRowBandSize w:val="1"/>
      <w:tblStyleColBandSize w:val="1"/>
      <w:tblCellMar>
        <w:top w:w="100" w:type="dxa"/>
        <w:left w:w="100" w:type="dxa"/>
        <w:bottom w:w="100" w:type="dxa"/>
        <w:right w:w="100" w:type="dxa"/>
      </w:tblCellMar>
    </w:tblPr>
  </w:style>
  <w:style w:type="table" w:customStyle="1" w:styleId="1">
    <w:name w:val="1"/>
    <w:basedOn w:val="TableNormal1"/>
    <w:rsid w:val="003826A6"/>
    <w:tblPr>
      <w:tblStyleRowBandSize w:val="1"/>
      <w:tblStyleColBandSize w:val="1"/>
      <w:tblCellMar>
        <w:top w:w="100" w:type="dxa"/>
        <w:left w:w="100" w:type="dxa"/>
        <w:bottom w:w="100" w:type="dxa"/>
        <w:right w:w="100" w:type="dxa"/>
      </w:tblCellMar>
    </w:tblPr>
  </w:style>
  <w:style w:type="paragraph" w:customStyle="1" w:styleId="Bibliographie1">
    <w:name w:val="Bibliographie1"/>
    <w:basedOn w:val="Normal"/>
    <w:link w:val="BibliographyCar"/>
    <w:rsid w:val="003826A6"/>
    <w:pPr>
      <w:pBdr>
        <w:top w:val="nil"/>
        <w:left w:val="nil"/>
        <w:bottom w:val="nil"/>
        <w:right w:val="nil"/>
        <w:between w:val="nil"/>
      </w:pBdr>
      <w:tabs>
        <w:tab w:val="left" w:pos="260"/>
      </w:tabs>
      <w:spacing w:after="240"/>
      <w:ind w:left="264" w:hanging="264"/>
    </w:pPr>
  </w:style>
  <w:style w:type="character" w:customStyle="1" w:styleId="BibliographyCar">
    <w:name w:val="Bibliography Car"/>
    <w:basedOn w:val="Policepardfaut"/>
    <w:link w:val="Bibliographie1"/>
    <w:rsid w:val="003826A6"/>
    <w:rPr>
      <w:rFonts w:ascii="Times New Roman" w:eastAsia="Times New Roman" w:hAnsi="Times New Roman" w:cs="Times New Roman"/>
      <w:bCs/>
      <w:iCs/>
      <w:color w:val="000000"/>
      <w:kern w:val="0"/>
      <w:lang w:val="en" w:eastAsia="fr-FR"/>
      <w14:ligatures w14:val="none"/>
    </w:rPr>
  </w:style>
  <w:style w:type="character" w:styleId="Lienhypertexte">
    <w:name w:val="Hyperlink"/>
    <w:basedOn w:val="Policepardfaut"/>
    <w:unhideWhenUsed/>
    <w:rsid w:val="003826A6"/>
    <w:rPr>
      <w:color w:val="0000FF"/>
      <w:u w:val="single"/>
    </w:rPr>
  </w:style>
  <w:style w:type="character" w:styleId="Lienhypertextesuivivisit">
    <w:name w:val="FollowedHyperlink"/>
    <w:basedOn w:val="Policepardfaut"/>
    <w:uiPriority w:val="99"/>
    <w:semiHidden/>
    <w:unhideWhenUsed/>
    <w:rsid w:val="003826A6"/>
    <w:rPr>
      <w:color w:val="96607D" w:themeColor="followedHyperlink"/>
      <w:u w:val="single"/>
    </w:rPr>
  </w:style>
  <w:style w:type="character" w:customStyle="1" w:styleId="ml-1">
    <w:name w:val="ml-1"/>
    <w:basedOn w:val="Policepardfaut"/>
    <w:rsid w:val="003826A6"/>
  </w:style>
  <w:style w:type="table" w:styleId="Grilledutableau">
    <w:name w:val="Table Grid"/>
    <w:basedOn w:val="TableauNormal"/>
    <w:uiPriority w:val="59"/>
    <w:rsid w:val="003826A6"/>
    <w:pPr>
      <w:spacing w:after="0" w:line="240" w:lineRule="auto"/>
    </w:pPr>
    <w:rPr>
      <w:rFonts w:ascii="Times New Roman" w:eastAsia="Times New Roman" w:hAnsi="Times New Roman" w:cs="Times New Roman"/>
      <w:kern w:val="0"/>
      <w:lang w:val="en" w:eastAsia="fr-FR"/>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Marquedecommentaire">
    <w:name w:val="annotation reference"/>
    <w:basedOn w:val="Policepardfaut"/>
    <w:uiPriority w:val="99"/>
    <w:semiHidden/>
    <w:unhideWhenUsed/>
    <w:rsid w:val="003826A6"/>
    <w:rPr>
      <w:sz w:val="16"/>
      <w:szCs w:val="16"/>
    </w:rPr>
  </w:style>
  <w:style w:type="paragraph" w:styleId="Commentaire">
    <w:name w:val="annotation text"/>
    <w:basedOn w:val="Normal"/>
    <w:link w:val="CommentaireCar"/>
    <w:uiPriority w:val="99"/>
    <w:semiHidden/>
    <w:unhideWhenUsed/>
    <w:rsid w:val="003826A6"/>
    <w:rPr>
      <w:sz w:val="20"/>
      <w:szCs w:val="20"/>
    </w:rPr>
  </w:style>
  <w:style w:type="character" w:customStyle="1" w:styleId="CommentaireCar">
    <w:name w:val="Commentaire Car"/>
    <w:basedOn w:val="Policepardfaut"/>
    <w:link w:val="Commentaire"/>
    <w:uiPriority w:val="99"/>
    <w:semiHidden/>
    <w:rsid w:val="003826A6"/>
    <w:rPr>
      <w:rFonts w:ascii="Times New Roman" w:eastAsia="Times New Roman" w:hAnsi="Times New Roman" w:cs="Times New Roman"/>
      <w:bCs/>
      <w:iCs/>
      <w:color w:val="000000"/>
      <w:kern w:val="0"/>
      <w:sz w:val="20"/>
      <w:szCs w:val="20"/>
      <w:lang w:val="en" w:eastAsia="fr-FR"/>
      <w14:ligatures w14:val="none"/>
    </w:rPr>
  </w:style>
  <w:style w:type="paragraph" w:styleId="Objetducommentaire">
    <w:name w:val="annotation subject"/>
    <w:basedOn w:val="Commentaire"/>
    <w:next w:val="Commentaire"/>
    <w:link w:val="ObjetducommentaireCar"/>
    <w:uiPriority w:val="99"/>
    <w:semiHidden/>
    <w:unhideWhenUsed/>
    <w:rsid w:val="003826A6"/>
    <w:rPr>
      <w:b/>
      <w:bCs w:val="0"/>
    </w:rPr>
  </w:style>
  <w:style w:type="character" w:customStyle="1" w:styleId="ObjetducommentaireCar">
    <w:name w:val="Objet du commentaire Car"/>
    <w:basedOn w:val="CommentaireCar"/>
    <w:link w:val="Objetducommentaire"/>
    <w:uiPriority w:val="99"/>
    <w:semiHidden/>
    <w:rsid w:val="003826A6"/>
    <w:rPr>
      <w:rFonts w:ascii="Times New Roman" w:eastAsia="Times New Roman" w:hAnsi="Times New Roman" w:cs="Times New Roman"/>
      <w:b/>
      <w:bCs w:val="0"/>
      <w:iCs/>
      <w:color w:val="000000"/>
      <w:kern w:val="0"/>
      <w:sz w:val="20"/>
      <w:szCs w:val="20"/>
      <w:lang w:val="en" w:eastAsia="fr-FR"/>
      <w14:ligatures w14:val="none"/>
    </w:rPr>
  </w:style>
  <w:style w:type="paragraph" w:styleId="En-tte">
    <w:name w:val="header"/>
    <w:basedOn w:val="Normal"/>
    <w:link w:val="En-tteCar"/>
    <w:uiPriority w:val="99"/>
    <w:unhideWhenUsed/>
    <w:rsid w:val="003826A6"/>
    <w:pPr>
      <w:tabs>
        <w:tab w:val="center" w:pos="4536"/>
        <w:tab w:val="right" w:pos="9072"/>
      </w:tabs>
    </w:pPr>
  </w:style>
  <w:style w:type="character" w:customStyle="1" w:styleId="En-tteCar">
    <w:name w:val="En-tête Car"/>
    <w:basedOn w:val="Policepardfaut"/>
    <w:link w:val="En-tte"/>
    <w:uiPriority w:val="99"/>
    <w:rsid w:val="003826A6"/>
    <w:rPr>
      <w:rFonts w:ascii="Times New Roman" w:eastAsia="Times New Roman" w:hAnsi="Times New Roman" w:cs="Times New Roman"/>
      <w:bCs/>
      <w:iCs/>
      <w:color w:val="000000"/>
      <w:kern w:val="0"/>
      <w:lang w:val="en" w:eastAsia="fr-FR"/>
      <w14:ligatures w14:val="none"/>
    </w:rPr>
  </w:style>
  <w:style w:type="paragraph" w:styleId="Pieddepage">
    <w:name w:val="footer"/>
    <w:basedOn w:val="Normal"/>
    <w:link w:val="PieddepageCar"/>
    <w:uiPriority w:val="99"/>
    <w:unhideWhenUsed/>
    <w:rsid w:val="003826A6"/>
    <w:pPr>
      <w:tabs>
        <w:tab w:val="center" w:pos="4536"/>
        <w:tab w:val="right" w:pos="9072"/>
      </w:tabs>
    </w:pPr>
  </w:style>
  <w:style w:type="character" w:customStyle="1" w:styleId="PieddepageCar">
    <w:name w:val="Pied de page Car"/>
    <w:basedOn w:val="Policepardfaut"/>
    <w:link w:val="Pieddepage"/>
    <w:uiPriority w:val="99"/>
    <w:rsid w:val="003826A6"/>
    <w:rPr>
      <w:rFonts w:ascii="Times New Roman" w:eastAsia="Times New Roman" w:hAnsi="Times New Roman" w:cs="Times New Roman"/>
      <w:bCs/>
      <w:iCs/>
      <w:color w:val="000000"/>
      <w:kern w:val="0"/>
      <w:lang w:val="en" w:eastAsia="fr-FR"/>
      <w14:ligatures w14:val="none"/>
    </w:rPr>
  </w:style>
  <w:style w:type="paragraph" w:styleId="Textedebulles">
    <w:name w:val="Balloon Text"/>
    <w:basedOn w:val="Normal"/>
    <w:link w:val="TextedebullesCar"/>
    <w:uiPriority w:val="99"/>
    <w:semiHidden/>
    <w:unhideWhenUsed/>
    <w:rsid w:val="003826A6"/>
    <w:rPr>
      <w:rFonts w:ascii="Segoe UI" w:hAnsi="Segoe UI" w:cs="Segoe UI"/>
      <w:sz w:val="18"/>
      <w:szCs w:val="18"/>
    </w:rPr>
  </w:style>
  <w:style w:type="character" w:customStyle="1" w:styleId="TextedebullesCar">
    <w:name w:val="Texte de bulles Car"/>
    <w:basedOn w:val="Policepardfaut"/>
    <w:link w:val="Textedebulles"/>
    <w:uiPriority w:val="99"/>
    <w:semiHidden/>
    <w:rsid w:val="003826A6"/>
    <w:rPr>
      <w:rFonts w:ascii="Segoe UI" w:eastAsia="Times New Roman" w:hAnsi="Segoe UI" w:cs="Segoe UI"/>
      <w:bCs/>
      <w:iCs/>
      <w:color w:val="000000"/>
      <w:kern w:val="0"/>
      <w:sz w:val="18"/>
      <w:szCs w:val="18"/>
      <w:lang w:val="en" w:eastAsia="fr-FR"/>
      <w14:ligatures w14:val="none"/>
    </w:rPr>
  </w:style>
  <w:style w:type="paragraph" w:styleId="Rvision">
    <w:name w:val="Revision"/>
    <w:hidden/>
    <w:uiPriority w:val="99"/>
    <w:semiHidden/>
    <w:rsid w:val="003826A6"/>
    <w:pPr>
      <w:spacing w:after="0" w:line="240" w:lineRule="auto"/>
    </w:pPr>
    <w:rPr>
      <w:rFonts w:ascii="Times New Roman" w:eastAsia="Times New Roman" w:hAnsi="Times New Roman" w:cs="Times New Roman"/>
      <w:color w:val="000000"/>
      <w:kern w:val="0"/>
      <w:lang w:val="en" w:eastAsia="fr-FR"/>
      <w14:ligatures w14:val="none"/>
    </w:rPr>
  </w:style>
  <w:style w:type="paragraph" w:customStyle="1" w:styleId="FirstParagraph">
    <w:name w:val="First Paragraph"/>
    <w:basedOn w:val="Corpsdetexte"/>
    <w:next w:val="Corpsdetexte"/>
    <w:qFormat/>
    <w:rsid w:val="003826A6"/>
    <w:rPr>
      <w:rFonts w:asciiTheme="minorHAnsi" w:eastAsiaTheme="minorHAnsi" w:hAnsiTheme="minorHAnsi" w:cstheme="minorBidi"/>
      <w:lang w:eastAsia="en-US"/>
    </w:rPr>
  </w:style>
  <w:style w:type="paragraph" w:styleId="Corpsdetexte">
    <w:name w:val="Body Text"/>
    <w:basedOn w:val="Normal"/>
    <w:link w:val="CorpsdetexteCar"/>
    <w:uiPriority w:val="99"/>
    <w:unhideWhenUsed/>
    <w:rsid w:val="003826A6"/>
  </w:style>
  <w:style w:type="character" w:customStyle="1" w:styleId="CorpsdetexteCar">
    <w:name w:val="Corps de texte Car"/>
    <w:basedOn w:val="Policepardfaut"/>
    <w:link w:val="Corpsdetexte"/>
    <w:uiPriority w:val="99"/>
    <w:rsid w:val="003826A6"/>
    <w:rPr>
      <w:rFonts w:ascii="Times New Roman" w:eastAsia="Times New Roman" w:hAnsi="Times New Roman" w:cs="Times New Roman"/>
      <w:bCs/>
      <w:iCs/>
      <w:color w:val="000000"/>
      <w:kern w:val="0"/>
      <w:lang w:val="en" w:eastAsia="fr-FR"/>
      <w14:ligatures w14:val="none"/>
    </w:rPr>
  </w:style>
  <w:style w:type="paragraph" w:styleId="Bibliographie">
    <w:name w:val="Bibliography"/>
    <w:basedOn w:val="Normal"/>
    <w:next w:val="Normal"/>
    <w:unhideWhenUsed/>
    <w:rsid w:val="003826A6"/>
    <w:pPr>
      <w:tabs>
        <w:tab w:val="left" w:pos="380"/>
      </w:tabs>
      <w:spacing w:after="240" w:line="240" w:lineRule="auto"/>
      <w:ind w:left="384" w:hanging="384"/>
    </w:pPr>
  </w:style>
  <w:style w:type="paragraph" w:customStyle="1" w:styleId="p1">
    <w:name w:val="p1"/>
    <w:basedOn w:val="Normal"/>
    <w:rsid w:val="003826A6"/>
    <w:pPr>
      <w:spacing w:before="100" w:beforeAutospacing="1" w:after="100" w:afterAutospacing="1"/>
    </w:pPr>
    <w:rPr>
      <w:lang w:eastAsia="en-GB"/>
    </w:rPr>
  </w:style>
  <w:style w:type="paragraph" w:customStyle="1" w:styleId="ArticlesETC">
    <w:name w:val="Articles ETC"/>
    <w:basedOn w:val="Normal"/>
    <w:autoRedefine/>
    <w:qFormat/>
    <w:rsid w:val="003826A6"/>
    <w:pPr>
      <w:pBdr>
        <w:top w:val="nil"/>
        <w:left w:val="nil"/>
        <w:bottom w:val="nil"/>
        <w:right w:val="nil"/>
        <w:between w:val="nil"/>
      </w:pBdr>
    </w:pPr>
  </w:style>
  <w:style w:type="character" w:styleId="Mentionnonrsolue">
    <w:name w:val="Unresolved Mention"/>
    <w:basedOn w:val="Policepardfaut"/>
    <w:uiPriority w:val="99"/>
    <w:semiHidden/>
    <w:unhideWhenUsed/>
    <w:rsid w:val="003826A6"/>
    <w:rPr>
      <w:color w:val="605E5C"/>
      <w:shd w:val="clear" w:color="auto" w:fill="E1DFDD"/>
    </w:rPr>
  </w:style>
  <w:style w:type="character" w:customStyle="1" w:styleId="s1">
    <w:name w:val="s1"/>
    <w:basedOn w:val="Policepardfaut"/>
    <w:rsid w:val="003826A6"/>
  </w:style>
  <w:style w:type="character" w:customStyle="1" w:styleId="apple-converted-space">
    <w:name w:val="apple-converted-space"/>
    <w:basedOn w:val="Policepardfaut"/>
    <w:rsid w:val="003826A6"/>
  </w:style>
  <w:style w:type="paragraph" w:customStyle="1" w:styleId="p2">
    <w:name w:val="p2"/>
    <w:basedOn w:val="Normal"/>
    <w:rsid w:val="003826A6"/>
    <w:pPr>
      <w:spacing w:before="100" w:beforeAutospacing="1" w:after="100" w:afterAutospacing="1"/>
    </w:pPr>
    <w:rPr>
      <w:lang w:eastAsia="en-GB"/>
    </w:rPr>
  </w:style>
  <w:style w:type="paragraph" w:styleId="En-ttedetabledesmatires">
    <w:name w:val="TOC Heading"/>
    <w:basedOn w:val="Titre1"/>
    <w:next w:val="Normal"/>
    <w:uiPriority w:val="39"/>
    <w:unhideWhenUsed/>
    <w:qFormat/>
    <w:rsid w:val="003826A6"/>
    <w:pPr>
      <w:spacing w:before="480" w:after="0" w:line="276" w:lineRule="auto"/>
      <w:outlineLvl w:val="9"/>
    </w:pPr>
    <w:rPr>
      <w:b/>
      <w:iCs w:val="0"/>
      <w:color w:val="000000"/>
      <w:sz w:val="28"/>
      <w:szCs w:val="28"/>
      <w:lang w:eastAsia="en-US"/>
    </w:rPr>
  </w:style>
  <w:style w:type="paragraph" w:styleId="TM1">
    <w:name w:val="toc 1"/>
    <w:basedOn w:val="Normal"/>
    <w:next w:val="Normal"/>
    <w:autoRedefine/>
    <w:uiPriority w:val="39"/>
    <w:unhideWhenUsed/>
    <w:rsid w:val="003826A6"/>
    <w:pPr>
      <w:spacing w:before="120"/>
    </w:pPr>
    <w:rPr>
      <w:rFonts w:cstheme="minorHAnsi"/>
      <w:b/>
    </w:rPr>
  </w:style>
  <w:style w:type="paragraph" w:styleId="TM2">
    <w:name w:val="toc 2"/>
    <w:basedOn w:val="Normal"/>
    <w:next w:val="Normal"/>
    <w:autoRedefine/>
    <w:uiPriority w:val="39"/>
    <w:unhideWhenUsed/>
    <w:rsid w:val="003826A6"/>
    <w:pPr>
      <w:spacing w:before="120"/>
      <w:ind w:left="240"/>
    </w:pPr>
    <w:rPr>
      <w:rFonts w:asciiTheme="minorHAnsi" w:hAnsiTheme="minorHAnsi" w:cstheme="minorHAnsi"/>
      <w:b/>
      <w:iCs w:val="0"/>
      <w:sz w:val="22"/>
      <w:szCs w:val="22"/>
    </w:rPr>
  </w:style>
  <w:style w:type="paragraph" w:styleId="TM3">
    <w:name w:val="toc 3"/>
    <w:basedOn w:val="Normal"/>
    <w:next w:val="Normal"/>
    <w:autoRedefine/>
    <w:uiPriority w:val="39"/>
    <w:unhideWhenUsed/>
    <w:rsid w:val="003826A6"/>
    <w:pPr>
      <w:ind w:left="480"/>
    </w:pPr>
    <w:rPr>
      <w:rFonts w:asciiTheme="minorHAnsi" w:hAnsiTheme="minorHAnsi" w:cstheme="minorHAnsi"/>
      <w:bCs w:val="0"/>
      <w:iCs w:val="0"/>
      <w:sz w:val="20"/>
      <w:szCs w:val="20"/>
    </w:rPr>
  </w:style>
  <w:style w:type="paragraph" w:styleId="TM4">
    <w:name w:val="toc 4"/>
    <w:basedOn w:val="Normal"/>
    <w:next w:val="Normal"/>
    <w:autoRedefine/>
    <w:uiPriority w:val="39"/>
    <w:semiHidden/>
    <w:unhideWhenUsed/>
    <w:rsid w:val="003826A6"/>
    <w:pPr>
      <w:ind w:left="720"/>
    </w:pPr>
    <w:rPr>
      <w:rFonts w:asciiTheme="minorHAnsi" w:hAnsiTheme="minorHAnsi" w:cstheme="minorHAnsi"/>
      <w:bCs w:val="0"/>
      <w:iCs w:val="0"/>
      <w:sz w:val="20"/>
      <w:szCs w:val="20"/>
    </w:rPr>
  </w:style>
  <w:style w:type="paragraph" w:styleId="TM5">
    <w:name w:val="toc 5"/>
    <w:basedOn w:val="Normal"/>
    <w:next w:val="Normal"/>
    <w:autoRedefine/>
    <w:uiPriority w:val="39"/>
    <w:semiHidden/>
    <w:unhideWhenUsed/>
    <w:rsid w:val="003826A6"/>
    <w:pPr>
      <w:ind w:left="960"/>
    </w:pPr>
    <w:rPr>
      <w:rFonts w:asciiTheme="minorHAnsi" w:hAnsiTheme="minorHAnsi" w:cstheme="minorHAnsi"/>
      <w:bCs w:val="0"/>
      <w:iCs w:val="0"/>
      <w:sz w:val="20"/>
      <w:szCs w:val="20"/>
    </w:rPr>
  </w:style>
  <w:style w:type="paragraph" w:styleId="TM6">
    <w:name w:val="toc 6"/>
    <w:basedOn w:val="Normal"/>
    <w:next w:val="Normal"/>
    <w:autoRedefine/>
    <w:uiPriority w:val="39"/>
    <w:semiHidden/>
    <w:unhideWhenUsed/>
    <w:rsid w:val="003826A6"/>
    <w:pPr>
      <w:ind w:left="1200"/>
    </w:pPr>
    <w:rPr>
      <w:rFonts w:asciiTheme="minorHAnsi" w:hAnsiTheme="minorHAnsi" w:cstheme="minorHAnsi"/>
      <w:bCs w:val="0"/>
      <w:iCs w:val="0"/>
      <w:sz w:val="20"/>
      <w:szCs w:val="20"/>
    </w:rPr>
  </w:style>
  <w:style w:type="paragraph" w:styleId="TM7">
    <w:name w:val="toc 7"/>
    <w:basedOn w:val="Normal"/>
    <w:next w:val="Normal"/>
    <w:autoRedefine/>
    <w:uiPriority w:val="39"/>
    <w:semiHidden/>
    <w:unhideWhenUsed/>
    <w:rsid w:val="003826A6"/>
    <w:pPr>
      <w:ind w:left="1440"/>
    </w:pPr>
    <w:rPr>
      <w:rFonts w:asciiTheme="minorHAnsi" w:hAnsiTheme="minorHAnsi" w:cstheme="minorHAnsi"/>
      <w:bCs w:val="0"/>
      <w:iCs w:val="0"/>
      <w:sz w:val="20"/>
      <w:szCs w:val="20"/>
    </w:rPr>
  </w:style>
  <w:style w:type="paragraph" w:styleId="TM8">
    <w:name w:val="toc 8"/>
    <w:basedOn w:val="Normal"/>
    <w:next w:val="Normal"/>
    <w:autoRedefine/>
    <w:uiPriority w:val="39"/>
    <w:semiHidden/>
    <w:unhideWhenUsed/>
    <w:rsid w:val="003826A6"/>
    <w:pPr>
      <w:ind w:left="1680"/>
    </w:pPr>
    <w:rPr>
      <w:rFonts w:asciiTheme="minorHAnsi" w:hAnsiTheme="minorHAnsi" w:cstheme="minorHAnsi"/>
      <w:bCs w:val="0"/>
      <w:iCs w:val="0"/>
      <w:sz w:val="20"/>
      <w:szCs w:val="20"/>
    </w:rPr>
  </w:style>
  <w:style w:type="paragraph" w:styleId="TM9">
    <w:name w:val="toc 9"/>
    <w:basedOn w:val="Normal"/>
    <w:next w:val="Normal"/>
    <w:autoRedefine/>
    <w:uiPriority w:val="39"/>
    <w:semiHidden/>
    <w:unhideWhenUsed/>
    <w:rsid w:val="003826A6"/>
    <w:pPr>
      <w:ind w:left="1920"/>
    </w:pPr>
    <w:rPr>
      <w:rFonts w:asciiTheme="minorHAnsi" w:hAnsiTheme="minorHAnsi" w:cstheme="minorHAnsi"/>
      <w:bCs w:val="0"/>
      <w:iCs w:val="0"/>
      <w:sz w:val="20"/>
      <w:szCs w:val="20"/>
    </w:rPr>
  </w:style>
  <w:style w:type="paragraph" w:styleId="Sansinterligne">
    <w:name w:val="No Spacing"/>
    <w:uiPriority w:val="1"/>
    <w:qFormat/>
    <w:rsid w:val="003826A6"/>
    <w:pPr>
      <w:spacing w:after="0" w:line="240" w:lineRule="auto"/>
    </w:pPr>
    <w:rPr>
      <w:rFonts w:ascii="Times New Roman" w:eastAsia="Times New Roman" w:hAnsi="Times New Roman" w:cs="Times New Roman"/>
      <w:color w:val="000000"/>
      <w:kern w:val="0"/>
      <w:lang w:val="en" w:eastAsia="fr-FR"/>
      <w14:ligatures w14:val="none"/>
    </w:rPr>
  </w:style>
  <w:style w:type="character" w:styleId="Numrodepage">
    <w:name w:val="page number"/>
    <w:basedOn w:val="Policepardfaut"/>
    <w:uiPriority w:val="99"/>
    <w:semiHidden/>
    <w:unhideWhenUsed/>
    <w:rsid w:val="003826A6"/>
  </w:style>
  <w:style w:type="paragraph" w:customStyle="1" w:styleId="SourceCode">
    <w:name w:val="Source Code"/>
    <w:basedOn w:val="Normal"/>
    <w:rsid w:val="003826A6"/>
    <w:pPr>
      <w:shd w:val="clear" w:color="auto" w:fill="F1F3F5"/>
      <w:wordWrap w:val="0"/>
    </w:pPr>
  </w:style>
  <w:style w:type="character" w:customStyle="1" w:styleId="KeywordTok">
    <w:name w:val="KeywordTok"/>
    <w:rsid w:val="003826A6"/>
    <w:rPr>
      <w:b/>
      <w:color w:val="003B4F"/>
      <w:shd w:val="clear" w:color="auto" w:fill="F1F3F5"/>
    </w:rPr>
  </w:style>
  <w:style w:type="character" w:customStyle="1" w:styleId="DataTypeTok">
    <w:name w:val="DataTypeTok"/>
    <w:rsid w:val="003826A6"/>
    <w:rPr>
      <w:color w:val="AD0000"/>
      <w:shd w:val="clear" w:color="auto" w:fill="F1F3F5"/>
    </w:rPr>
  </w:style>
  <w:style w:type="character" w:customStyle="1" w:styleId="DecValTok">
    <w:name w:val="DecValTok"/>
    <w:rsid w:val="003826A6"/>
    <w:rPr>
      <w:color w:val="AD0000"/>
      <w:shd w:val="clear" w:color="auto" w:fill="F1F3F5"/>
    </w:rPr>
  </w:style>
  <w:style w:type="character" w:customStyle="1" w:styleId="BaseNTok">
    <w:name w:val="BaseNTok"/>
    <w:rsid w:val="003826A6"/>
    <w:rPr>
      <w:color w:val="AD0000"/>
      <w:shd w:val="clear" w:color="auto" w:fill="F1F3F5"/>
    </w:rPr>
  </w:style>
  <w:style w:type="character" w:customStyle="1" w:styleId="FloatTok">
    <w:name w:val="FloatTok"/>
    <w:rsid w:val="003826A6"/>
    <w:rPr>
      <w:color w:val="AD0000"/>
      <w:shd w:val="clear" w:color="auto" w:fill="F1F3F5"/>
    </w:rPr>
  </w:style>
  <w:style w:type="character" w:customStyle="1" w:styleId="ConstantTok">
    <w:name w:val="ConstantTok"/>
    <w:rsid w:val="003826A6"/>
    <w:rPr>
      <w:color w:val="8F5902"/>
      <w:shd w:val="clear" w:color="auto" w:fill="F1F3F5"/>
    </w:rPr>
  </w:style>
  <w:style w:type="character" w:customStyle="1" w:styleId="CharTok">
    <w:name w:val="CharTok"/>
    <w:rsid w:val="003826A6"/>
    <w:rPr>
      <w:color w:val="20794D"/>
      <w:shd w:val="clear" w:color="auto" w:fill="F1F3F5"/>
    </w:rPr>
  </w:style>
  <w:style w:type="character" w:customStyle="1" w:styleId="SpecialCharTok">
    <w:name w:val="SpecialCharTok"/>
    <w:rsid w:val="003826A6"/>
    <w:rPr>
      <w:color w:val="5E5E5E"/>
      <w:shd w:val="clear" w:color="auto" w:fill="F1F3F5"/>
    </w:rPr>
  </w:style>
  <w:style w:type="character" w:customStyle="1" w:styleId="StringTok">
    <w:name w:val="StringTok"/>
    <w:rsid w:val="003826A6"/>
    <w:rPr>
      <w:color w:val="20794D"/>
      <w:shd w:val="clear" w:color="auto" w:fill="F1F3F5"/>
    </w:rPr>
  </w:style>
  <w:style w:type="character" w:customStyle="1" w:styleId="VerbatimStringTok">
    <w:name w:val="VerbatimStringTok"/>
    <w:rsid w:val="003826A6"/>
    <w:rPr>
      <w:color w:val="20794D"/>
      <w:shd w:val="clear" w:color="auto" w:fill="F1F3F5"/>
    </w:rPr>
  </w:style>
  <w:style w:type="character" w:customStyle="1" w:styleId="SpecialStringTok">
    <w:name w:val="SpecialStringTok"/>
    <w:rsid w:val="003826A6"/>
    <w:rPr>
      <w:color w:val="20794D"/>
      <w:shd w:val="clear" w:color="auto" w:fill="F1F3F5"/>
    </w:rPr>
  </w:style>
  <w:style w:type="character" w:customStyle="1" w:styleId="ImportTok">
    <w:name w:val="ImportTok"/>
    <w:rsid w:val="003826A6"/>
    <w:rPr>
      <w:color w:val="00769E"/>
      <w:shd w:val="clear" w:color="auto" w:fill="F1F3F5"/>
    </w:rPr>
  </w:style>
  <w:style w:type="character" w:customStyle="1" w:styleId="CommentTok">
    <w:name w:val="CommentTok"/>
    <w:rsid w:val="003826A6"/>
    <w:rPr>
      <w:color w:val="5E5E5E"/>
      <w:shd w:val="clear" w:color="auto" w:fill="F1F3F5"/>
    </w:rPr>
  </w:style>
  <w:style w:type="character" w:customStyle="1" w:styleId="DocumentationTok">
    <w:name w:val="DocumentationTok"/>
    <w:rsid w:val="003826A6"/>
    <w:rPr>
      <w:i/>
      <w:color w:val="5E5E5E"/>
      <w:shd w:val="clear" w:color="auto" w:fill="F1F3F5"/>
    </w:rPr>
  </w:style>
  <w:style w:type="character" w:customStyle="1" w:styleId="AnnotationTok">
    <w:name w:val="AnnotationTok"/>
    <w:rsid w:val="003826A6"/>
    <w:rPr>
      <w:color w:val="5E5E5E"/>
      <w:shd w:val="clear" w:color="auto" w:fill="F1F3F5"/>
    </w:rPr>
  </w:style>
  <w:style w:type="character" w:customStyle="1" w:styleId="CommentVarTok">
    <w:name w:val="CommentVarTok"/>
    <w:rsid w:val="003826A6"/>
    <w:rPr>
      <w:i/>
      <w:color w:val="5E5E5E"/>
      <w:shd w:val="clear" w:color="auto" w:fill="F1F3F5"/>
    </w:rPr>
  </w:style>
  <w:style w:type="character" w:customStyle="1" w:styleId="OtherTok">
    <w:name w:val="OtherTok"/>
    <w:rsid w:val="003826A6"/>
    <w:rPr>
      <w:color w:val="003B4F"/>
      <w:shd w:val="clear" w:color="auto" w:fill="F1F3F5"/>
    </w:rPr>
  </w:style>
  <w:style w:type="character" w:customStyle="1" w:styleId="FunctionTok">
    <w:name w:val="FunctionTok"/>
    <w:rsid w:val="003826A6"/>
    <w:rPr>
      <w:color w:val="4758AB"/>
      <w:shd w:val="clear" w:color="auto" w:fill="F1F3F5"/>
    </w:rPr>
  </w:style>
  <w:style w:type="character" w:customStyle="1" w:styleId="VariableTok">
    <w:name w:val="VariableTok"/>
    <w:rsid w:val="003826A6"/>
    <w:rPr>
      <w:color w:val="111111"/>
      <w:shd w:val="clear" w:color="auto" w:fill="F1F3F5"/>
    </w:rPr>
  </w:style>
  <w:style w:type="character" w:customStyle="1" w:styleId="ControlFlowTok">
    <w:name w:val="ControlFlowTok"/>
    <w:rsid w:val="003826A6"/>
    <w:rPr>
      <w:b/>
      <w:color w:val="003B4F"/>
      <w:shd w:val="clear" w:color="auto" w:fill="F1F3F5"/>
    </w:rPr>
  </w:style>
  <w:style w:type="character" w:customStyle="1" w:styleId="OperatorTok">
    <w:name w:val="OperatorTok"/>
    <w:rsid w:val="003826A6"/>
    <w:rPr>
      <w:color w:val="5E5E5E"/>
      <w:shd w:val="clear" w:color="auto" w:fill="F1F3F5"/>
    </w:rPr>
  </w:style>
  <w:style w:type="character" w:customStyle="1" w:styleId="BuiltInTok">
    <w:name w:val="BuiltInTok"/>
    <w:rsid w:val="003826A6"/>
    <w:rPr>
      <w:color w:val="003B4F"/>
      <w:shd w:val="clear" w:color="auto" w:fill="F1F3F5"/>
    </w:rPr>
  </w:style>
  <w:style w:type="character" w:customStyle="1" w:styleId="ExtensionTok">
    <w:name w:val="ExtensionTok"/>
    <w:rsid w:val="003826A6"/>
    <w:rPr>
      <w:color w:val="003B4F"/>
      <w:shd w:val="clear" w:color="auto" w:fill="F1F3F5"/>
    </w:rPr>
  </w:style>
  <w:style w:type="character" w:customStyle="1" w:styleId="PreprocessorTok">
    <w:name w:val="PreprocessorTok"/>
    <w:rsid w:val="003826A6"/>
    <w:rPr>
      <w:color w:val="AD0000"/>
      <w:shd w:val="clear" w:color="auto" w:fill="F1F3F5"/>
    </w:rPr>
  </w:style>
  <w:style w:type="character" w:customStyle="1" w:styleId="AttributeTok">
    <w:name w:val="AttributeTok"/>
    <w:rsid w:val="003826A6"/>
    <w:rPr>
      <w:color w:val="657422"/>
      <w:shd w:val="clear" w:color="auto" w:fill="F1F3F5"/>
    </w:rPr>
  </w:style>
  <w:style w:type="character" w:customStyle="1" w:styleId="RegionMarkerTok">
    <w:name w:val="RegionMarkerTok"/>
    <w:rsid w:val="003826A6"/>
    <w:rPr>
      <w:color w:val="003B4F"/>
      <w:shd w:val="clear" w:color="auto" w:fill="F1F3F5"/>
    </w:rPr>
  </w:style>
  <w:style w:type="character" w:customStyle="1" w:styleId="InformationTok">
    <w:name w:val="InformationTok"/>
    <w:rsid w:val="003826A6"/>
    <w:rPr>
      <w:color w:val="5E5E5E"/>
      <w:shd w:val="clear" w:color="auto" w:fill="F1F3F5"/>
    </w:rPr>
  </w:style>
  <w:style w:type="character" w:customStyle="1" w:styleId="WarningTok">
    <w:name w:val="WarningTok"/>
    <w:rsid w:val="003826A6"/>
    <w:rPr>
      <w:i/>
      <w:color w:val="5E5E5E"/>
      <w:shd w:val="clear" w:color="auto" w:fill="F1F3F5"/>
    </w:rPr>
  </w:style>
  <w:style w:type="character" w:customStyle="1" w:styleId="AlertTok">
    <w:name w:val="AlertTok"/>
    <w:rsid w:val="003826A6"/>
    <w:rPr>
      <w:color w:val="AD0000"/>
      <w:shd w:val="clear" w:color="auto" w:fill="F1F3F5"/>
    </w:rPr>
  </w:style>
  <w:style w:type="character" w:customStyle="1" w:styleId="ErrorTok">
    <w:name w:val="ErrorTok"/>
    <w:rsid w:val="003826A6"/>
    <w:rPr>
      <w:color w:val="AD0000"/>
      <w:shd w:val="clear" w:color="auto" w:fill="F1F3F5"/>
    </w:rPr>
  </w:style>
  <w:style w:type="character" w:customStyle="1" w:styleId="NormalTok">
    <w:name w:val="NormalTok"/>
    <w:rsid w:val="003826A6"/>
    <w:rPr>
      <w:color w:val="003B4F"/>
      <w:shd w:val="clear" w:color="auto" w:fill="F1F3F5"/>
    </w:rPr>
  </w:style>
  <w:style w:type="character" w:styleId="Numrodeligne">
    <w:name w:val="line number"/>
    <w:basedOn w:val="Policepardfaut"/>
    <w:uiPriority w:val="99"/>
    <w:semiHidden/>
    <w:unhideWhenUsed/>
    <w:rsid w:val="003826A6"/>
  </w:style>
  <w:style w:type="paragraph" w:styleId="Corpsdetexte2">
    <w:name w:val="Body Text 2"/>
    <w:basedOn w:val="Normal"/>
    <w:link w:val="Corpsdetexte2Car"/>
    <w:uiPriority w:val="99"/>
    <w:unhideWhenUsed/>
    <w:rsid w:val="003826A6"/>
    <w:pPr>
      <w:spacing w:after="120"/>
      <w:ind w:right="0"/>
    </w:pPr>
    <w:rPr>
      <w:bCs w:val="0"/>
      <w:iCs w:val="0"/>
      <w:sz w:val="20"/>
      <w:szCs w:val="22"/>
      <w:lang w:eastAsia="en-US"/>
    </w:rPr>
  </w:style>
  <w:style w:type="character" w:customStyle="1" w:styleId="Corpsdetexte2Car">
    <w:name w:val="Corps de texte 2 Car"/>
    <w:basedOn w:val="Policepardfaut"/>
    <w:link w:val="Corpsdetexte2"/>
    <w:uiPriority w:val="99"/>
    <w:rsid w:val="003826A6"/>
    <w:rPr>
      <w:rFonts w:ascii="Times New Roman" w:eastAsia="Times New Roman" w:hAnsi="Times New Roman" w:cs="Times New Roman"/>
      <w:color w:val="000000"/>
      <w:kern w:val="0"/>
      <w:sz w:val="20"/>
      <w:szCs w:val="22"/>
      <w:lang w:val="en" w:eastAsia="en-US"/>
      <w14:ligatures w14:val="none"/>
    </w:rPr>
  </w:style>
  <w:style w:type="paragraph" w:styleId="Corpsdetexte3">
    <w:name w:val="Body Text 3"/>
    <w:basedOn w:val="Normal"/>
    <w:link w:val="Corpsdetexte3Car"/>
    <w:uiPriority w:val="99"/>
    <w:unhideWhenUsed/>
    <w:rsid w:val="003826A6"/>
    <w:pPr>
      <w:spacing w:after="120" w:line="252" w:lineRule="auto"/>
      <w:ind w:right="0"/>
    </w:pPr>
    <w:rPr>
      <w:bCs w:val="0"/>
      <w:iCs w:val="0"/>
      <w:sz w:val="16"/>
      <w:szCs w:val="16"/>
      <w:lang w:eastAsia="en-US"/>
    </w:rPr>
  </w:style>
  <w:style w:type="character" w:customStyle="1" w:styleId="Corpsdetexte3Car">
    <w:name w:val="Corps de texte 3 Car"/>
    <w:basedOn w:val="Policepardfaut"/>
    <w:link w:val="Corpsdetexte3"/>
    <w:uiPriority w:val="99"/>
    <w:rsid w:val="003826A6"/>
    <w:rPr>
      <w:rFonts w:ascii="Times New Roman" w:eastAsia="Times New Roman" w:hAnsi="Times New Roman" w:cs="Times New Roman"/>
      <w:color w:val="000000"/>
      <w:kern w:val="0"/>
      <w:sz w:val="16"/>
      <w:szCs w:val="16"/>
      <w:lang w:val="en" w:eastAsia="en-US"/>
      <w14:ligatures w14:val="none"/>
    </w:rPr>
  </w:style>
  <w:style w:type="paragraph" w:styleId="Liste">
    <w:name w:val="List"/>
    <w:basedOn w:val="Normal"/>
    <w:uiPriority w:val="99"/>
    <w:unhideWhenUsed/>
    <w:rsid w:val="003826A6"/>
    <w:pPr>
      <w:spacing w:after="80" w:line="252" w:lineRule="auto"/>
      <w:ind w:left="360" w:right="0" w:hanging="360"/>
      <w:contextualSpacing/>
    </w:pPr>
    <w:rPr>
      <w:bCs w:val="0"/>
      <w:iCs w:val="0"/>
      <w:sz w:val="20"/>
      <w:szCs w:val="22"/>
      <w:lang w:eastAsia="en-US"/>
    </w:rPr>
  </w:style>
  <w:style w:type="paragraph" w:styleId="Liste2">
    <w:name w:val="List 2"/>
    <w:basedOn w:val="Normal"/>
    <w:uiPriority w:val="99"/>
    <w:unhideWhenUsed/>
    <w:rsid w:val="003826A6"/>
    <w:pPr>
      <w:spacing w:after="80" w:line="252" w:lineRule="auto"/>
      <w:ind w:left="720" w:right="0" w:hanging="360"/>
      <w:contextualSpacing/>
    </w:pPr>
    <w:rPr>
      <w:bCs w:val="0"/>
      <w:iCs w:val="0"/>
      <w:sz w:val="20"/>
      <w:szCs w:val="22"/>
      <w:lang w:eastAsia="en-US"/>
    </w:rPr>
  </w:style>
  <w:style w:type="paragraph" w:styleId="Liste3">
    <w:name w:val="List 3"/>
    <w:basedOn w:val="Normal"/>
    <w:uiPriority w:val="99"/>
    <w:unhideWhenUsed/>
    <w:rsid w:val="003826A6"/>
    <w:pPr>
      <w:spacing w:after="80" w:line="252" w:lineRule="auto"/>
      <w:ind w:left="1080" w:right="0" w:hanging="360"/>
      <w:contextualSpacing/>
    </w:pPr>
    <w:rPr>
      <w:bCs w:val="0"/>
      <w:iCs w:val="0"/>
      <w:sz w:val="20"/>
      <w:szCs w:val="22"/>
      <w:lang w:eastAsia="en-US"/>
    </w:rPr>
  </w:style>
  <w:style w:type="paragraph" w:styleId="Listepuces">
    <w:name w:val="List Bullet"/>
    <w:basedOn w:val="Normal"/>
    <w:uiPriority w:val="99"/>
    <w:unhideWhenUsed/>
    <w:rsid w:val="003826A6"/>
    <w:pPr>
      <w:numPr>
        <w:numId w:val="10"/>
      </w:numPr>
      <w:tabs>
        <w:tab w:val="clear" w:pos="360"/>
      </w:tabs>
      <w:spacing w:after="80" w:line="252" w:lineRule="auto"/>
      <w:ind w:left="0" w:right="0" w:firstLine="0"/>
      <w:contextualSpacing/>
    </w:pPr>
    <w:rPr>
      <w:bCs w:val="0"/>
      <w:iCs w:val="0"/>
      <w:sz w:val="20"/>
      <w:szCs w:val="22"/>
      <w:lang w:eastAsia="en-US"/>
    </w:rPr>
  </w:style>
  <w:style w:type="paragraph" w:styleId="Listepuces2">
    <w:name w:val="List Bullet 2"/>
    <w:basedOn w:val="Normal"/>
    <w:uiPriority w:val="99"/>
    <w:unhideWhenUsed/>
    <w:rsid w:val="003826A6"/>
    <w:pPr>
      <w:numPr>
        <w:numId w:val="11"/>
      </w:numPr>
      <w:tabs>
        <w:tab w:val="clear" w:pos="720"/>
      </w:tabs>
      <w:spacing w:after="80" w:line="252" w:lineRule="auto"/>
      <w:ind w:left="0" w:right="0" w:firstLine="0"/>
      <w:contextualSpacing/>
    </w:pPr>
    <w:rPr>
      <w:bCs w:val="0"/>
      <w:iCs w:val="0"/>
      <w:sz w:val="20"/>
      <w:szCs w:val="22"/>
      <w:lang w:eastAsia="en-US"/>
    </w:rPr>
  </w:style>
  <w:style w:type="paragraph" w:styleId="Listepuces3">
    <w:name w:val="List Bullet 3"/>
    <w:basedOn w:val="Normal"/>
    <w:uiPriority w:val="99"/>
    <w:unhideWhenUsed/>
    <w:rsid w:val="003826A6"/>
    <w:pPr>
      <w:numPr>
        <w:numId w:val="12"/>
      </w:numPr>
      <w:tabs>
        <w:tab w:val="clear" w:pos="1080"/>
      </w:tabs>
      <w:spacing w:after="80" w:line="252" w:lineRule="auto"/>
      <w:ind w:left="0" w:right="0" w:firstLine="0"/>
      <w:contextualSpacing/>
    </w:pPr>
    <w:rPr>
      <w:bCs w:val="0"/>
      <w:iCs w:val="0"/>
      <w:sz w:val="20"/>
      <w:szCs w:val="22"/>
      <w:lang w:eastAsia="en-US"/>
    </w:rPr>
  </w:style>
  <w:style w:type="paragraph" w:styleId="Listenumros">
    <w:name w:val="List Number"/>
    <w:basedOn w:val="Normal"/>
    <w:uiPriority w:val="99"/>
    <w:unhideWhenUsed/>
    <w:rsid w:val="003826A6"/>
    <w:pPr>
      <w:numPr>
        <w:numId w:val="14"/>
      </w:numPr>
      <w:tabs>
        <w:tab w:val="clear" w:pos="360"/>
      </w:tabs>
      <w:spacing w:after="80" w:line="252" w:lineRule="auto"/>
      <w:ind w:left="0" w:right="0" w:firstLine="0"/>
      <w:contextualSpacing/>
    </w:pPr>
    <w:rPr>
      <w:bCs w:val="0"/>
      <w:iCs w:val="0"/>
      <w:sz w:val="20"/>
      <w:szCs w:val="22"/>
      <w:lang w:eastAsia="en-US"/>
    </w:rPr>
  </w:style>
  <w:style w:type="paragraph" w:styleId="Listenumros2">
    <w:name w:val="List Number 2"/>
    <w:basedOn w:val="Normal"/>
    <w:uiPriority w:val="99"/>
    <w:unhideWhenUsed/>
    <w:rsid w:val="003826A6"/>
    <w:pPr>
      <w:numPr>
        <w:numId w:val="15"/>
      </w:numPr>
      <w:tabs>
        <w:tab w:val="clear" w:pos="720"/>
      </w:tabs>
      <w:spacing w:after="80" w:line="252" w:lineRule="auto"/>
      <w:ind w:left="0" w:right="0" w:firstLine="0"/>
      <w:contextualSpacing/>
    </w:pPr>
    <w:rPr>
      <w:bCs w:val="0"/>
      <w:iCs w:val="0"/>
      <w:sz w:val="20"/>
      <w:szCs w:val="22"/>
      <w:lang w:eastAsia="en-US"/>
    </w:rPr>
  </w:style>
  <w:style w:type="paragraph" w:styleId="Listenumros3">
    <w:name w:val="List Number 3"/>
    <w:basedOn w:val="Normal"/>
    <w:uiPriority w:val="99"/>
    <w:unhideWhenUsed/>
    <w:rsid w:val="003826A6"/>
    <w:pPr>
      <w:numPr>
        <w:numId w:val="16"/>
      </w:numPr>
      <w:tabs>
        <w:tab w:val="clear" w:pos="1080"/>
      </w:tabs>
      <w:spacing w:after="80" w:line="252" w:lineRule="auto"/>
      <w:ind w:left="0" w:right="0" w:firstLine="0"/>
      <w:contextualSpacing/>
    </w:pPr>
    <w:rPr>
      <w:bCs w:val="0"/>
      <w:iCs w:val="0"/>
      <w:sz w:val="20"/>
      <w:szCs w:val="22"/>
      <w:lang w:eastAsia="en-US"/>
    </w:rPr>
  </w:style>
  <w:style w:type="paragraph" w:styleId="Listecontinue">
    <w:name w:val="List Continue"/>
    <w:basedOn w:val="Normal"/>
    <w:uiPriority w:val="99"/>
    <w:unhideWhenUsed/>
    <w:rsid w:val="003826A6"/>
    <w:pPr>
      <w:spacing w:after="120" w:line="252" w:lineRule="auto"/>
      <w:ind w:left="360" w:right="0"/>
      <w:contextualSpacing/>
    </w:pPr>
    <w:rPr>
      <w:bCs w:val="0"/>
      <w:iCs w:val="0"/>
      <w:sz w:val="20"/>
      <w:szCs w:val="22"/>
      <w:lang w:eastAsia="en-US"/>
    </w:rPr>
  </w:style>
  <w:style w:type="paragraph" w:styleId="Listecontinue2">
    <w:name w:val="List Continue 2"/>
    <w:basedOn w:val="Normal"/>
    <w:uiPriority w:val="99"/>
    <w:unhideWhenUsed/>
    <w:rsid w:val="003826A6"/>
    <w:pPr>
      <w:spacing w:after="120" w:line="252" w:lineRule="auto"/>
      <w:ind w:left="720" w:right="0"/>
      <w:contextualSpacing/>
    </w:pPr>
    <w:rPr>
      <w:bCs w:val="0"/>
      <w:iCs w:val="0"/>
      <w:sz w:val="20"/>
      <w:szCs w:val="22"/>
      <w:lang w:eastAsia="en-US"/>
    </w:rPr>
  </w:style>
  <w:style w:type="paragraph" w:styleId="Listecontinue3">
    <w:name w:val="List Continue 3"/>
    <w:basedOn w:val="Normal"/>
    <w:uiPriority w:val="99"/>
    <w:unhideWhenUsed/>
    <w:rsid w:val="003826A6"/>
    <w:pPr>
      <w:spacing w:after="120" w:line="252" w:lineRule="auto"/>
      <w:ind w:left="1080" w:right="0"/>
      <w:contextualSpacing/>
    </w:pPr>
    <w:rPr>
      <w:bCs w:val="0"/>
      <w:iCs w:val="0"/>
      <w:sz w:val="20"/>
      <w:szCs w:val="22"/>
      <w:lang w:eastAsia="en-US"/>
    </w:rPr>
  </w:style>
  <w:style w:type="paragraph" w:styleId="Textedemacro">
    <w:name w:val="macro"/>
    <w:link w:val="TextedemacroCar"/>
    <w:uiPriority w:val="99"/>
    <w:unhideWhenUsed/>
    <w:rsid w:val="003826A6"/>
    <w:pPr>
      <w:tabs>
        <w:tab w:val="left" w:pos="576"/>
        <w:tab w:val="left" w:pos="1152"/>
        <w:tab w:val="left" w:pos="1728"/>
        <w:tab w:val="left" w:pos="2304"/>
        <w:tab w:val="left" w:pos="2880"/>
        <w:tab w:val="left" w:pos="3456"/>
        <w:tab w:val="left" w:pos="4032"/>
      </w:tabs>
      <w:spacing w:after="200" w:line="276" w:lineRule="auto"/>
    </w:pPr>
    <w:rPr>
      <w:rFonts w:ascii="Courier" w:hAnsi="Courier"/>
      <w:kern w:val="0"/>
      <w:sz w:val="20"/>
      <w:szCs w:val="20"/>
      <w:lang w:val="en" w:eastAsia="en-US"/>
      <w14:ligatures w14:val="none"/>
    </w:rPr>
  </w:style>
  <w:style w:type="character" w:customStyle="1" w:styleId="TextedemacroCar">
    <w:name w:val="Texte de macro Car"/>
    <w:basedOn w:val="Policepardfaut"/>
    <w:link w:val="Textedemacro"/>
    <w:uiPriority w:val="99"/>
    <w:rsid w:val="003826A6"/>
    <w:rPr>
      <w:rFonts w:ascii="Courier" w:hAnsi="Courier"/>
      <w:kern w:val="0"/>
      <w:sz w:val="20"/>
      <w:szCs w:val="20"/>
      <w:lang w:val="en" w:eastAsia="en-US"/>
      <w14:ligatures w14:val="none"/>
    </w:rPr>
  </w:style>
  <w:style w:type="paragraph" w:styleId="Lgende">
    <w:name w:val="caption"/>
    <w:basedOn w:val="Normal"/>
    <w:next w:val="Normal"/>
    <w:uiPriority w:val="35"/>
    <w:semiHidden/>
    <w:unhideWhenUsed/>
    <w:qFormat/>
    <w:rsid w:val="003826A6"/>
    <w:pPr>
      <w:spacing w:after="80" w:line="240" w:lineRule="auto"/>
      <w:ind w:right="0"/>
    </w:pPr>
    <w:rPr>
      <w:iCs w:val="0"/>
      <w:sz w:val="18"/>
      <w:szCs w:val="18"/>
      <w:lang w:eastAsia="en-US"/>
    </w:rPr>
  </w:style>
  <w:style w:type="character" w:styleId="Accentuation">
    <w:name w:val="Emphasis"/>
    <w:basedOn w:val="Policepardfaut"/>
    <w:uiPriority w:val="20"/>
    <w:qFormat/>
    <w:rsid w:val="003826A6"/>
    <w:rPr>
      <w:i/>
      <w:iCs/>
    </w:rPr>
  </w:style>
  <w:style w:type="character" w:styleId="Accentuationlgre">
    <w:name w:val="Subtle Emphasis"/>
    <w:basedOn w:val="Policepardfaut"/>
    <w:uiPriority w:val="19"/>
    <w:qFormat/>
    <w:rsid w:val="003826A6"/>
    <w:rPr>
      <w:i/>
      <w:iCs/>
      <w:color w:val="808080" w:themeColor="text1" w:themeTint="7F"/>
    </w:rPr>
  </w:style>
  <w:style w:type="character" w:styleId="Rfrencelgre">
    <w:name w:val="Subtle Reference"/>
    <w:basedOn w:val="Policepardfaut"/>
    <w:uiPriority w:val="31"/>
    <w:qFormat/>
    <w:rsid w:val="003826A6"/>
    <w:rPr>
      <w:smallCaps/>
      <w:color w:val="E97132" w:themeColor="accent2"/>
      <w:u w:val="single"/>
    </w:rPr>
  </w:style>
  <w:style w:type="character" w:styleId="Titredulivre">
    <w:name w:val="Book Title"/>
    <w:basedOn w:val="Policepardfaut"/>
    <w:uiPriority w:val="33"/>
    <w:qFormat/>
    <w:rsid w:val="003826A6"/>
    <w:rPr>
      <w:b/>
      <w:bCs/>
      <w:smallCaps/>
      <w:spacing w:val="5"/>
    </w:rPr>
  </w:style>
  <w:style w:type="table" w:styleId="Ombrageclair">
    <w:name w:val="Light Shading"/>
    <w:basedOn w:val="TableauNormal"/>
    <w:uiPriority w:val="60"/>
    <w:rsid w:val="003826A6"/>
    <w:pPr>
      <w:spacing w:after="0" w:line="240" w:lineRule="auto"/>
    </w:pPr>
    <w:rPr>
      <w:color w:val="000000" w:themeColor="text1" w:themeShade="BF"/>
      <w:kern w:val="0"/>
      <w:sz w:val="22"/>
      <w:szCs w:val="22"/>
      <w:lang w:val="en"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Trameclaire-Accent1">
    <w:name w:val="Light Shading Accent 1"/>
    <w:basedOn w:val="TableauNormal"/>
    <w:uiPriority w:val="60"/>
    <w:rsid w:val="003826A6"/>
    <w:pPr>
      <w:spacing w:after="0" w:line="240" w:lineRule="auto"/>
    </w:pPr>
    <w:rPr>
      <w:color w:val="0F4761" w:themeColor="accent1" w:themeShade="BF"/>
      <w:kern w:val="0"/>
      <w:sz w:val="22"/>
      <w:szCs w:val="22"/>
      <w:lang w:val="en" w:eastAsia="en-US"/>
      <w14:ligatures w14:val="none"/>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Trameclaire-Accent2">
    <w:name w:val="Light Shading Accent 2"/>
    <w:basedOn w:val="TableauNormal"/>
    <w:uiPriority w:val="60"/>
    <w:rsid w:val="003826A6"/>
    <w:pPr>
      <w:spacing w:after="0" w:line="240" w:lineRule="auto"/>
    </w:pPr>
    <w:rPr>
      <w:color w:val="BF4E14" w:themeColor="accent2" w:themeShade="BF"/>
      <w:kern w:val="0"/>
      <w:sz w:val="22"/>
      <w:szCs w:val="22"/>
      <w:lang w:val="en" w:eastAsia="en-US"/>
      <w14:ligatures w14:val="none"/>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Trameclaire-Accent3">
    <w:name w:val="Light Shading Accent 3"/>
    <w:basedOn w:val="TableauNormal"/>
    <w:uiPriority w:val="60"/>
    <w:rsid w:val="003826A6"/>
    <w:pPr>
      <w:spacing w:after="0" w:line="240" w:lineRule="auto"/>
    </w:pPr>
    <w:rPr>
      <w:color w:val="124F1A" w:themeColor="accent3" w:themeShade="BF"/>
      <w:kern w:val="0"/>
      <w:sz w:val="22"/>
      <w:szCs w:val="22"/>
      <w:lang w:val="en" w:eastAsia="en-US"/>
      <w14:ligatures w14:val="none"/>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Trameclaire-Accent4">
    <w:name w:val="Light Shading Accent 4"/>
    <w:basedOn w:val="TableauNormal"/>
    <w:uiPriority w:val="60"/>
    <w:rsid w:val="003826A6"/>
    <w:pPr>
      <w:spacing w:after="0" w:line="240" w:lineRule="auto"/>
    </w:pPr>
    <w:rPr>
      <w:color w:val="0B769F" w:themeColor="accent4" w:themeShade="BF"/>
      <w:kern w:val="0"/>
      <w:sz w:val="22"/>
      <w:szCs w:val="22"/>
      <w:lang w:val="en" w:eastAsia="en-US"/>
      <w14:ligatures w14:val="none"/>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Trameclaire-Accent5">
    <w:name w:val="Light Shading Accent 5"/>
    <w:basedOn w:val="TableauNormal"/>
    <w:uiPriority w:val="60"/>
    <w:rsid w:val="003826A6"/>
    <w:pPr>
      <w:spacing w:after="0" w:line="240" w:lineRule="auto"/>
    </w:pPr>
    <w:rPr>
      <w:color w:val="77206D" w:themeColor="accent5" w:themeShade="BF"/>
      <w:kern w:val="0"/>
      <w:sz w:val="22"/>
      <w:szCs w:val="22"/>
      <w:lang w:val="en" w:eastAsia="en-US"/>
      <w14:ligatures w14:val="none"/>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Trameclaire-Accent6">
    <w:name w:val="Light Shading Accent 6"/>
    <w:basedOn w:val="TableauNormal"/>
    <w:uiPriority w:val="60"/>
    <w:rsid w:val="003826A6"/>
    <w:pPr>
      <w:spacing w:after="0" w:line="240" w:lineRule="auto"/>
    </w:pPr>
    <w:rPr>
      <w:color w:val="3A7C22" w:themeColor="accent6" w:themeShade="BF"/>
      <w:kern w:val="0"/>
      <w:sz w:val="22"/>
      <w:szCs w:val="22"/>
      <w:lang w:val="en" w:eastAsia="en-US"/>
      <w14:ligatures w14:val="none"/>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steclaire">
    <w:name w:val="Light List"/>
    <w:basedOn w:val="TableauNormal"/>
    <w:uiPriority w:val="61"/>
    <w:rsid w:val="003826A6"/>
    <w:pPr>
      <w:spacing w:after="0" w:line="240" w:lineRule="auto"/>
    </w:pPr>
    <w:rPr>
      <w:kern w:val="0"/>
      <w:sz w:val="22"/>
      <w:szCs w:val="22"/>
      <w:lang w:val="en"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steclaire-Accent1">
    <w:name w:val="Light List Accent 1"/>
    <w:basedOn w:val="TableauNormal"/>
    <w:uiPriority w:val="61"/>
    <w:rsid w:val="003826A6"/>
    <w:pPr>
      <w:spacing w:after="0" w:line="240" w:lineRule="auto"/>
    </w:pPr>
    <w:rPr>
      <w:kern w:val="0"/>
      <w:sz w:val="22"/>
      <w:szCs w:val="22"/>
      <w:lang w:val="en"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steclaire-Accent2">
    <w:name w:val="Light List Accent 2"/>
    <w:basedOn w:val="TableauNormal"/>
    <w:uiPriority w:val="61"/>
    <w:rsid w:val="003826A6"/>
    <w:pPr>
      <w:spacing w:after="0" w:line="240" w:lineRule="auto"/>
    </w:pPr>
    <w:rPr>
      <w:kern w:val="0"/>
      <w:sz w:val="22"/>
      <w:szCs w:val="22"/>
      <w:lang w:val="en"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steclaire-Accent3">
    <w:name w:val="Light List Accent 3"/>
    <w:basedOn w:val="TableauNormal"/>
    <w:uiPriority w:val="61"/>
    <w:rsid w:val="003826A6"/>
    <w:pPr>
      <w:spacing w:after="0" w:line="240" w:lineRule="auto"/>
    </w:pPr>
    <w:rPr>
      <w:kern w:val="0"/>
      <w:sz w:val="22"/>
      <w:szCs w:val="22"/>
      <w:lang w:val="en"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steclaire-Accent4">
    <w:name w:val="Light List Accent 4"/>
    <w:basedOn w:val="TableauNormal"/>
    <w:uiPriority w:val="61"/>
    <w:rsid w:val="003826A6"/>
    <w:pPr>
      <w:spacing w:after="0" w:line="240" w:lineRule="auto"/>
    </w:pPr>
    <w:rPr>
      <w:kern w:val="0"/>
      <w:sz w:val="22"/>
      <w:szCs w:val="22"/>
      <w:lang w:val="en"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steclaire-Accent5">
    <w:name w:val="Light List Accent 5"/>
    <w:basedOn w:val="TableauNormal"/>
    <w:uiPriority w:val="61"/>
    <w:rsid w:val="003826A6"/>
    <w:pPr>
      <w:spacing w:after="0" w:line="240" w:lineRule="auto"/>
    </w:pPr>
    <w:rPr>
      <w:kern w:val="0"/>
      <w:sz w:val="22"/>
      <w:szCs w:val="22"/>
      <w:lang w:val="en"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steclaire-Accent6">
    <w:name w:val="Light List Accent 6"/>
    <w:basedOn w:val="TableauNormal"/>
    <w:uiPriority w:val="61"/>
    <w:rsid w:val="003826A6"/>
    <w:pPr>
      <w:spacing w:after="0" w:line="240" w:lineRule="auto"/>
    </w:pPr>
    <w:rPr>
      <w:kern w:val="0"/>
      <w:sz w:val="22"/>
      <w:szCs w:val="22"/>
      <w:lang w:val="en"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Grilleclaire">
    <w:name w:val="Light Grid"/>
    <w:basedOn w:val="TableauNormal"/>
    <w:uiPriority w:val="62"/>
    <w:rsid w:val="003826A6"/>
    <w:pPr>
      <w:spacing w:after="0" w:line="240" w:lineRule="auto"/>
    </w:pPr>
    <w:rPr>
      <w:kern w:val="0"/>
      <w:sz w:val="22"/>
      <w:szCs w:val="22"/>
      <w:lang w:val="en"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Grilleclaire-Accent1">
    <w:name w:val="Light Grid Accent 1"/>
    <w:basedOn w:val="TableauNormal"/>
    <w:uiPriority w:val="62"/>
    <w:rsid w:val="003826A6"/>
    <w:pPr>
      <w:spacing w:after="0" w:line="240" w:lineRule="auto"/>
    </w:pPr>
    <w:rPr>
      <w:kern w:val="0"/>
      <w:sz w:val="22"/>
      <w:szCs w:val="22"/>
      <w:lang w:val="en"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Grilleclaire-Accent2">
    <w:name w:val="Light Grid Accent 2"/>
    <w:basedOn w:val="TableauNormal"/>
    <w:uiPriority w:val="62"/>
    <w:rsid w:val="003826A6"/>
    <w:pPr>
      <w:spacing w:after="0" w:line="240" w:lineRule="auto"/>
    </w:pPr>
    <w:rPr>
      <w:kern w:val="0"/>
      <w:sz w:val="22"/>
      <w:szCs w:val="22"/>
      <w:lang w:val="en"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Grilleclaire-Accent3">
    <w:name w:val="Light Grid Accent 3"/>
    <w:basedOn w:val="TableauNormal"/>
    <w:uiPriority w:val="62"/>
    <w:rsid w:val="003826A6"/>
    <w:pPr>
      <w:spacing w:after="0" w:line="240" w:lineRule="auto"/>
    </w:pPr>
    <w:rPr>
      <w:kern w:val="0"/>
      <w:sz w:val="22"/>
      <w:szCs w:val="22"/>
      <w:lang w:val="en"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Grilleclaire-Accent4">
    <w:name w:val="Light Grid Accent 4"/>
    <w:basedOn w:val="TableauNormal"/>
    <w:uiPriority w:val="62"/>
    <w:rsid w:val="003826A6"/>
    <w:pPr>
      <w:spacing w:after="0" w:line="240" w:lineRule="auto"/>
    </w:pPr>
    <w:rPr>
      <w:kern w:val="0"/>
      <w:sz w:val="22"/>
      <w:szCs w:val="22"/>
      <w:lang w:val="en"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Grilleclaire-Accent5">
    <w:name w:val="Light Grid Accent 5"/>
    <w:basedOn w:val="TableauNormal"/>
    <w:uiPriority w:val="62"/>
    <w:rsid w:val="003826A6"/>
    <w:pPr>
      <w:spacing w:after="0" w:line="240" w:lineRule="auto"/>
    </w:pPr>
    <w:rPr>
      <w:kern w:val="0"/>
      <w:sz w:val="22"/>
      <w:szCs w:val="22"/>
      <w:lang w:val="en"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Grilleclaire-Accent6">
    <w:name w:val="Light Grid Accent 6"/>
    <w:basedOn w:val="TableauNormal"/>
    <w:uiPriority w:val="62"/>
    <w:rsid w:val="003826A6"/>
    <w:pPr>
      <w:spacing w:after="0" w:line="240" w:lineRule="auto"/>
    </w:pPr>
    <w:rPr>
      <w:kern w:val="0"/>
      <w:sz w:val="22"/>
      <w:szCs w:val="22"/>
      <w:lang w:val="en"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Tramemoyenne1">
    <w:name w:val="Medium Shading 1"/>
    <w:basedOn w:val="TableauNormal"/>
    <w:uiPriority w:val="63"/>
    <w:rsid w:val="003826A6"/>
    <w:pPr>
      <w:spacing w:after="0" w:line="240" w:lineRule="auto"/>
    </w:pPr>
    <w:rPr>
      <w:kern w:val="0"/>
      <w:sz w:val="22"/>
      <w:szCs w:val="22"/>
      <w:lang w:val="en" w:eastAsia="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Tramemoyenne1-Accent1">
    <w:name w:val="Medium Shading 1 Accent 1"/>
    <w:basedOn w:val="TableauNormal"/>
    <w:uiPriority w:val="63"/>
    <w:rsid w:val="003826A6"/>
    <w:pPr>
      <w:spacing w:after="0" w:line="240" w:lineRule="auto"/>
    </w:pPr>
    <w:rPr>
      <w:kern w:val="0"/>
      <w:sz w:val="22"/>
      <w:szCs w:val="22"/>
      <w:lang w:val="en" w:eastAsia="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Tramemoyenne1-Accent2">
    <w:name w:val="Medium Shading 1 Accent 2"/>
    <w:basedOn w:val="TableauNormal"/>
    <w:uiPriority w:val="63"/>
    <w:rsid w:val="003826A6"/>
    <w:pPr>
      <w:spacing w:after="0" w:line="240" w:lineRule="auto"/>
    </w:pPr>
    <w:rPr>
      <w:kern w:val="0"/>
      <w:sz w:val="22"/>
      <w:szCs w:val="22"/>
      <w:lang w:val="en" w:eastAsia="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Tramemoyenne1-Accent3">
    <w:name w:val="Medium Shading 1 Accent 3"/>
    <w:basedOn w:val="TableauNormal"/>
    <w:uiPriority w:val="63"/>
    <w:rsid w:val="003826A6"/>
    <w:pPr>
      <w:spacing w:after="0" w:line="240" w:lineRule="auto"/>
    </w:pPr>
    <w:rPr>
      <w:kern w:val="0"/>
      <w:sz w:val="22"/>
      <w:szCs w:val="22"/>
      <w:lang w:val="en" w:eastAsia="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Tramemoyenne1-Accent4">
    <w:name w:val="Medium Shading 1 Accent 4"/>
    <w:basedOn w:val="TableauNormal"/>
    <w:uiPriority w:val="63"/>
    <w:rsid w:val="003826A6"/>
    <w:pPr>
      <w:spacing w:after="0" w:line="240" w:lineRule="auto"/>
    </w:pPr>
    <w:rPr>
      <w:kern w:val="0"/>
      <w:sz w:val="22"/>
      <w:szCs w:val="22"/>
      <w:lang w:val="en" w:eastAsia="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Tramemoyenne1-Accent5">
    <w:name w:val="Medium Shading 1 Accent 5"/>
    <w:basedOn w:val="TableauNormal"/>
    <w:uiPriority w:val="63"/>
    <w:rsid w:val="003826A6"/>
    <w:pPr>
      <w:spacing w:after="0" w:line="240" w:lineRule="auto"/>
    </w:pPr>
    <w:rPr>
      <w:kern w:val="0"/>
      <w:sz w:val="22"/>
      <w:szCs w:val="22"/>
      <w:lang w:val="en" w:eastAsia="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Tramemoyenne1-Accent6">
    <w:name w:val="Medium Shading 1 Accent 6"/>
    <w:basedOn w:val="TableauNormal"/>
    <w:uiPriority w:val="63"/>
    <w:rsid w:val="003826A6"/>
    <w:pPr>
      <w:spacing w:after="0" w:line="240" w:lineRule="auto"/>
    </w:pPr>
    <w:rPr>
      <w:kern w:val="0"/>
      <w:sz w:val="22"/>
      <w:szCs w:val="22"/>
      <w:lang w:val="en" w:eastAsia="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Tramemoyenne2">
    <w:name w:val="Medium Shading 2"/>
    <w:basedOn w:val="TableauNormal"/>
    <w:uiPriority w:val="64"/>
    <w:rsid w:val="003826A6"/>
    <w:pPr>
      <w:spacing w:after="0" w:line="240" w:lineRule="auto"/>
    </w:pPr>
    <w:rPr>
      <w:kern w:val="0"/>
      <w:sz w:val="22"/>
      <w:szCs w:val="22"/>
      <w:lang w:val="en"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1">
    <w:name w:val="Medium Shading 2 Accent 1"/>
    <w:basedOn w:val="TableauNormal"/>
    <w:uiPriority w:val="64"/>
    <w:rsid w:val="003826A6"/>
    <w:pPr>
      <w:spacing w:after="0" w:line="240" w:lineRule="auto"/>
    </w:pPr>
    <w:rPr>
      <w:kern w:val="0"/>
      <w:sz w:val="22"/>
      <w:szCs w:val="22"/>
      <w:lang w:val="en"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2">
    <w:name w:val="Medium Shading 2 Accent 2"/>
    <w:basedOn w:val="TableauNormal"/>
    <w:uiPriority w:val="64"/>
    <w:rsid w:val="003826A6"/>
    <w:pPr>
      <w:spacing w:after="0" w:line="240" w:lineRule="auto"/>
    </w:pPr>
    <w:rPr>
      <w:kern w:val="0"/>
      <w:sz w:val="22"/>
      <w:szCs w:val="22"/>
      <w:lang w:val="en"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3">
    <w:name w:val="Medium Shading 2 Accent 3"/>
    <w:basedOn w:val="TableauNormal"/>
    <w:uiPriority w:val="64"/>
    <w:rsid w:val="003826A6"/>
    <w:pPr>
      <w:spacing w:after="0" w:line="240" w:lineRule="auto"/>
    </w:pPr>
    <w:rPr>
      <w:kern w:val="0"/>
      <w:sz w:val="22"/>
      <w:szCs w:val="22"/>
      <w:lang w:val="en"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4">
    <w:name w:val="Medium Shading 2 Accent 4"/>
    <w:basedOn w:val="TableauNormal"/>
    <w:uiPriority w:val="64"/>
    <w:rsid w:val="003826A6"/>
    <w:pPr>
      <w:spacing w:after="0" w:line="240" w:lineRule="auto"/>
    </w:pPr>
    <w:rPr>
      <w:kern w:val="0"/>
      <w:sz w:val="22"/>
      <w:szCs w:val="22"/>
      <w:lang w:val="en"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5">
    <w:name w:val="Medium Shading 2 Accent 5"/>
    <w:basedOn w:val="TableauNormal"/>
    <w:uiPriority w:val="64"/>
    <w:rsid w:val="003826A6"/>
    <w:pPr>
      <w:spacing w:after="0" w:line="240" w:lineRule="auto"/>
    </w:pPr>
    <w:rPr>
      <w:kern w:val="0"/>
      <w:sz w:val="22"/>
      <w:szCs w:val="22"/>
      <w:lang w:val="en"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Tramemoyenne2-Accent6">
    <w:name w:val="Medium Shading 2 Accent 6"/>
    <w:basedOn w:val="TableauNormal"/>
    <w:uiPriority w:val="64"/>
    <w:rsid w:val="003826A6"/>
    <w:pPr>
      <w:spacing w:after="0" w:line="240" w:lineRule="auto"/>
    </w:pPr>
    <w:rPr>
      <w:kern w:val="0"/>
      <w:sz w:val="22"/>
      <w:szCs w:val="22"/>
      <w:lang w:val="en" w:eastAsia="en-US"/>
      <w14:ligatures w14:val="none"/>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Listemoyenne1">
    <w:name w:val="Medium List 1"/>
    <w:basedOn w:val="TableauNormal"/>
    <w:uiPriority w:val="65"/>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Listemoyenne1-Accent1">
    <w:name w:val="Medium List 1 Accent 1"/>
    <w:basedOn w:val="TableauNormal"/>
    <w:uiPriority w:val="65"/>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Listemoyenne1-Accent2">
    <w:name w:val="Medium List 1 Accent 2"/>
    <w:basedOn w:val="TableauNormal"/>
    <w:uiPriority w:val="65"/>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Listemoyenne1-Accent3">
    <w:name w:val="Medium List 1 Accent 3"/>
    <w:basedOn w:val="TableauNormal"/>
    <w:uiPriority w:val="65"/>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Listemoyenne1-Accent4">
    <w:name w:val="Medium List 1 Accent 4"/>
    <w:basedOn w:val="TableauNormal"/>
    <w:uiPriority w:val="65"/>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Listemoyenne1-Accent5">
    <w:name w:val="Medium List 1 Accent 5"/>
    <w:basedOn w:val="TableauNormal"/>
    <w:uiPriority w:val="65"/>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Listemoyenne1-Accent6">
    <w:name w:val="Medium List 1 Accent 6"/>
    <w:basedOn w:val="TableauNormal"/>
    <w:uiPriority w:val="65"/>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Listemoyenne2">
    <w:name w:val="Medium List 2"/>
    <w:basedOn w:val="TableauNormal"/>
    <w:uiPriority w:val="66"/>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1">
    <w:name w:val="Medium List 2 Accent 1"/>
    <w:basedOn w:val="TableauNormal"/>
    <w:uiPriority w:val="66"/>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2">
    <w:name w:val="Medium List 2 Accent 2"/>
    <w:basedOn w:val="TableauNormal"/>
    <w:uiPriority w:val="66"/>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3">
    <w:name w:val="Medium List 2 Accent 3"/>
    <w:basedOn w:val="TableauNormal"/>
    <w:uiPriority w:val="66"/>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4">
    <w:name w:val="Medium List 2 Accent 4"/>
    <w:basedOn w:val="TableauNormal"/>
    <w:uiPriority w:val="66"/>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5">
    <w:name w:val="Medium List 2 Accent 5"/>
    <w:basedOn w:val="TableauNormal"/>
    <w:uiPriority w:val="66"/>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Listemoyenne2-Accent6">
    <w:name w:val="Medium List 2 Accent 6"/>
    <w:basedOn w:val="TableauNormal"/>
    <w:uiPriority w:val="66"/>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Grillemoyenne1">
    <w:name w:val="Medium Grid 1"/>
    <w:basedOn w:val="TableauNormal"/>
    <w:uiPriority w:val="67"/>
    <w:rsid w:val="003826A6"/>
    <w:pPr>
      <w:spacing w:after="0" w:line="240" w:lineRule="auto"/>
    </w:pPr>
    <w:rPr>
      <w:kern w:val="0"/>
      <w:sz w:val="22"/>
      <w:szCs w:val="22"/>
      <w:lang w:val="en" w:eastAsia="en-US"/>
      <w14:ligatures w14:val="none"/>
    </w:r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moyenne1-Accent1">
    <w:name w:val="Medium Grid 1 Accent 1"/>
    <w:basedOn w:val="TableauNormal"/>
    <w:uiPriority w:val="67"/>
    <w:rsid w:val="003826A6"/>
    <w:pPr>
      <w:spacing w:after="0" w:line="240" w:lineRule="auto"/>
    </w:pPr>
    <w:rPr>
      <w:kern w:val="0"/>
      <w:sz w:val="22"/>
      <w:szCs w:val="22"/>
      <w:lang w:val="en" w:eastAsia="en-US"/>
      <w14:ligatures w14:val="none"/>
    </w:r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moyenne1-Accent2">
    <w:name w:val="Medium Grid 1 Accent 2"/>
    <w:basedOn w:val="TableauNormal"/>
    <w:uiPriority w:val="67"/>
    <w:rsid w:val="003826A6"/>
    <w:pPr>
      <w:spacing w:after="0" w:line="240" w:lineRule="auto"/>
    </w:pPr>
    <w:rPr>
      <w:kern w:val="0"/>
      <w:sz w:val="22"/>
      <w:szCs w:val="22"/>
      <w:lang w:val="en" w:eastAsia="en-US"/>
      <w14:ligatures w14:val="none"/>
    </w:r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moyenne1-Accent3">
    <w:name w:val="Medium Grid 1 Accent 3"/>
    <w:basedOn w:val="TableauNormal"/>
    <w:uiPriority w:val="67"/>
    <w:rsid w:val="003826A6"/>
    <w:pPr>
      <w:spacing w:after="0" w:line="240" w:lineRule="auto"/>
    </w:pPr>
    <w:rPr>
      <w:kern w:val="0"/>
      <w:sz w:val="22"/>
      <w:szCs w:val="22"/>
      <w:lang w:val="en" w:eastAsia="en-US"/>
      <w14:ligatures w14:val="none"/>
    </w:r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moyenne1-Accent4">
    <w:name w:val="Medium Grid 1 Accent 4"/>
    <w:basedOn w:val="TableauNormal"/>
    <w:uiPriority w:val="67"/>
    <w:rsid w:val="003826A6"/>
    <w:pPr>
      <w:spacing w:after="0" w:line="240" w:lineRule="auto"/>
    </w:pPr>
    <w:rPr>
      <w:kern w:val="0"/>
      <w:sz w:val="22"/>
      <w:szCs w:val="22"/>
      <w:lang w:val="en" w:eastAsia="en-US"/>
      <w14:ligatures w14:val="none"/>
    </w:r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moyenne1-Accent5">
    <w:name w:val="Medium Grid 1 Accent 5"/>
    <w:basedOn w:val="TableauNormal"/>
    <w:uiPriority w:val="67"/>
    <w:rsid w:val="003826A6"/>
    <w:pPr>
      <w:spacing w:after="0" w:line="240" w:lineRule="auto"/>
    </w:pPr>
    <w:rPr>
      <w:kern w:val="0"/>
      <w:sz w:val="22"/>
      <w:szCs w:val="22"/>
      <w:lang w:val="en" w:eastAsia="en-US"/>
      <w14:ligatures w14:val="none"/>
    </w:r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moyenne1-Accent6">
    <w:name w:val="Medium Grid 1 Accent 6"/>
    <w:basedOn w:val="TableauNormal"/>
    <w:uiPriority w:val="67"/>
    <w:rsid w:val="003826A6"/>
    <w:pPr>
      <w:spacing w:after="0" w:line="240" w:lineRule="auto"/>
    </w:pPr>
    <w:rPr>
      <w:kern w:val="0"/>
      <w:sz w:val="22"/>
      <w:szCs w:val="22"/>
      <w:lang w:val="en" w:eastAsia="en-US"/>
      <w14:ligatures w14:val="none"/>
    </w:r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Grillemoyenne2">
    <w:name w:val="Medium Grid 2"/>
    <w:basedOn w:val="TableauNormal"/>
    <w:uiPriority w:val="68"/>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Grillemoyenne2-Accent1">
    <w:name w:val="Medium Grid 2 Accent 1"/>
    <w:basedOn w:val="TableauNormal"/>
    <w:uiPriority w:val="68"/>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Grillemoyenne2-Accent2">
    <w:name w:val="Medium Grid 2 Accent 2"/>
    <w:basedOn w:val="TableauNormal"/>
    <w:uiPriority w:val="68"/>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Grillemoyenne2-Accent3">
    <w:name w:val="Medium Grid 2 Accent 3"/>
    <w:basedOn w:val="TableauNormal"/>
    <w:uiPriority w:val="68"/>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Grillemoyenne2-Accent4">
    <w:name w:val="Medium Grid 2 Accent 4"/>
    <w:basedOn w:val="TableauNormal"/>
    <w:uiPriority w:val="68"/>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Grillemoyenne2-Accent5">
    <w:name w:val="Medium Grid 2 Accent 5"/>
    <w:basedOn w:val="TableauNormal"/>
    <w:uiPriority w:val="68"/>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Grillemoyenne2-Accent6">
    <w:name w:val="Medium Grid 2 Accent 6"/>
    <w:basedOn w:val="TableauNormal"/>
    <w:uiPriority w:val="68"/>
    <w:rsid w:val="003826A6"/>
    <w:pPr>
      <w:spacing w:after="0" w:line="240" w:lineRule="auto"/>
    </w:pPr>
    <w:rPr>
      <w:rFonts w:asciiTheme="majorHAnsi" w:eastAsiaTheme="majorEastAsia" w:hAnsiTheme="majorHAnsi" w:cstheme="majorBidi"/>
      <w:color w:val="000000" w:themeColor="text1"/>
      <w:kern w:val="0"/>
      <w:sz w:val="22"/>
      <w:szCs w:val="22"/>
      <w:lang w:val="en" w:eastAsia="en-US"/>
      <w14:ligatures w14:val="none"/>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Grillemoyenne3">
    <w:name w:val="Medium Grid 3"/>
    <w:basedOn w:val="TableauNormal"/>
    <w:uiPriority w:val="69"/>
    <w:rsid w:val="003826A6"/>
    <w:pPr>
      <w:spacing w:after="0" w:line="240" w:lineRule="auto"/>
    </w:pPr>
    <w:rPr>
      <w:kern w:val="0"/>
      <w:sz w:val="22"/>
      <w:szCs w:val="22"/>
      <w:lang w:val="en"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Grillemoyenne3-Accent1">
    <w:name w:val="Medium Grid 3 Accent 1"/>
    <w:basedOn w:val="TableauNormal"/>
    <w:uiPriority w:val="69"/>
    <w:rsid w:val="003826A6"/>
    <w:pPr>
      <w:spacing w:after="0" w:line="240" w:lineRule="auto"/>
    </w:pPr>
    <w:rPr>
      <w:kern w:val="0"/>
      <w:sz w:val="22"/>
      <w:szCs w:val="22"/>
      <w:lang w:val="en"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Grillemoyenne3-Accent2">
    <w:name w:val="Medium Grid 3 Accent 2"/>
    <w:basedOn w:val="TableauNormal"/>
    <w:uiPriority w:val="69"/>
    <w:rsid w:val="003826A6"/>
    <w:pPr>
      <w:spacing w:after="0" w:line="240" w:lineRule="auto"/>
    </w:pPr>
    <w:rPr>
      <w:kern w:val="0"/>
      <w:sz w:val="22"/>
      <w:szCs w:val="22"/>
      <w:lang w:val="en"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Grillemoyenne3-Accent3">
    <w:name w:val="Medium Grid 3 Accent 3"/>
    <w:basedOn w:val="TableauNormal"/>
    <w:uiPriority w:val="69"/>
    <w:rsid w:val="003826A6"/>
    <w:pPr>
      <w:spacing w:after="0" w:line="240" w:lineRule="auto"/>
    </w:pPr>
    <w:rPr>
      <w:kern w:val="0"/>
      <w:sz w:val="22"/>
      <w:szCs w:val="22"/>
      <w:lang w:val="en"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Grillemoyenne3-Accent4">
    <w:name w:val="Medium Grid 3 Accent 4"/>
    <w:basedOn w:val="TableauNormal"/>
    <w:uiPriority w:val="69"/>
    <w:rsid w:val="003826A6"/>
    <w:pPr>
      <w:spacing w:after="0" w:line="240" w:lineRule="auto"/>
    </w:pPr>
    <w:rPr>
      <w:kern w:val="0"/>
      <w:sz w:val="22"/>
      <w:szCs w:val="22"/>
      <w:lang w:val="en"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Grillemoyenne3-Accent5">
    <w:name w:val="Medium Grid 3 Accent 5"/>
    <w:basedOn w:val="TableauNormal"/>
    <w:uiPriority w:val="69"/>
    <w:rsid w:val="003826A6"/>
    <w:pPr>
      <w:spacing w:after="0" w:line="240" w:lineRule="auto"/>
    </w:pPr>
    <w:rPr>
      <w:kern w:val="0"/>
      <w:sz w:val="22"/>
      <w:szCs w:val="22"/>
      <w:lang w:val="en"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Grillemoyenne3-Accent6">
    <w:name w:val="Medium Grid 3 Accent 6"/>
    <w:basedOn w:val="TableauNormal"/>
    <w:uiPriority w:val="69"/>
    <w:rsid w:val="003826A6"/>
    <w:pPr>
      <w:spacing w:after="0" w:line="240" w:lineRule="auto"/>
    </w:pPr>
    <w:rPr>
      <w:kern w:val="0"/>
      <w:sz w:val="22"/>
      <w:szCs w:val="22"/>
      <w:lang w:val="en" w:eastAsia="en-US"/>
      <w14:ligatures w14:val="none"/>
    </w:r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Listefonce">
    <w:name w:val="Dark List"/>
    <w:basedOn w:val="TableauNormal"/>
    <w:uiPriority w:val="70"/>
    <w:rsid w:val="003826A6"/>
    <w:pPr>
      <w:spacing w:after="0" w:line="240" w:lineRule="auto"/>
    </w:pPr>
    <w:rPr>
      <w:color w:val="FFFFFF" w:themeColor="background1"/>
      <w:kern w:val="0"/>
      <w:sz w:val="22"/>
      <w:szCs w:val="22"/>
      <w:lang w:val="en" w:eastAsia="en-US"/>
      <w14:ligatures w14:val="none"/>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Listefonce-Accent1">
    <w:name w:val="Dark List Accent 1"/>
    <w:basedOn w:val="TableauNormal"/>
    <w:uiPriority w:val="70"/>
    <w:rsid w:val="003826A6"/>
    <w:pPr>
      <w:spacing w:after="0" w:line="240" w:lineRule="auto"/>
    </w:pPr>
    <w:rPr>
      <w:color w:val="FFFFFF" w:themeColor="background1"/>
      <w:kern w:val="0"/>
      <w:sz w:val="22"/>
      <w:szCs w:val="22"/>
      <w:lang w:val="en" w:eastAsia="en-US"/>
      <w14:ligatures w14:val="none"/>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Listefonce-Accent2">
    <w:name w:val="Dark List Accent 2"/>
    <w:basedOn w:val="TableauNormal"/>
    <w:uiPriority w:val="70"/>
    <w:rsid w:val="003826A6"/>
    <w:pPr>
      <w:spacing w:after="0" w:line="240" w:lineRule="auto"/>
    </w:pPr>
    <w:rPr>
      <w:color w:val="FFFFFF" w:themeColor="background1"/>
      <w:kern w:val="0"/>
      <w:sz w:val="22"/>
      <w:szCs w:val="22"/>
      <w:lang w:val="en" w:eastAsia="en-US"/>
      <w14:ligatures w14:val="none"/>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Listefonce-Accent3">
    <w:name w:val="Dark List Accent 3"/>
    <w:basedOn w:val="TableauNormal"/>
    <w:uiPriority w:val="70"/>
    <w:rsid w:val="003826A6"/>
    <w:pPr>
      <w:spacing w:after="0" w:line="240" w:lineRule="auto"/>
    </w:pPr>
    <w:rPr>
      <w:color w:val="FFFFFF" w:themeColor="background1"/>
      <w:kern w:val="0"/>
      <w:sz w:val="22"/>
      <w:szCs w:val="22"/>
      <w:lang w:val="en" w:eastAsia="en-US"/>
      <w14:ligatures w14:val="none"/>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Listefonce-Accent4">
    <w:name w:val="Dark List Accent 4"/>
    <w:basedOn w:val="TableauNormal"/>
    <w:uiPriority w:val="70"/>
    <w:rsid w:val="003826A6"/>
    <w:pPr>
      <w:spacing w:after="0" w:line="240" w:lineRule="auto"/>
    </w:pPr>
    <w:rPr>
      <w:color w:val="FFFFFF" w:themeColor="background1"/>
      <w:kern w:val="0"/>
      <w:sz w:val="22"/>
      <w:szCs w:val="22"/>
      <w:lang w:val="en" w:eastAsia="en-US"/>
      <w14:ligatures w14:val="none"/>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Listefonce-Accent5">
    <w:name w:val="Dark List Accent 5"/>
    <w:basedOn w:val="TableauNormal"/>
    <w:uiPriority w:val="70"/>
    <w:rsid w:val="003826A6"/>
    <w:pPr>
      <w:spacing w:after="0" w:line="240" w:lineRule="auto"/>
    </w:pPr>
    <w:rPr>
      <w:color w:val="FFFFFF" w:themeColor="background1"/>
      <w:kern w:val="0"/>
      <w:sz w:val="22"/>
      <w:szCs w:val="22"/>
      <w:lang w:val="en" w:eastAsia="en-US"/>
      <w14:ligatures w14:val="none"/>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Listefonce-Accent6">
    <w:name w:val="Dark List Accent 6"/>
    <w:basedOn w:val="TableauNormal"/>
    <w:uiPriority w:val="70"/>
    <w:rsid w:val="003826A6"/>
    <w:pPr>
      <w:spacing w:after="0" w:line="240" w:lineRule="auto"/>
    </w:pPr>
    <w:rPr>
      <w:color w:val="FFFFFF" w:themeColor="background1"/>
      <w:kern w:val="0"/>
      <w:sz w:val="22"/>
      <w:szCs w:val="22"/>
      <w:lang w:val="en" w:eastAsia="en-US"/>
      <w14:ligatures w14:val="none"/>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Tramecouleur">
    <w:name w:val="Colorful Shading"/>
    <w:basedOn w:val="TableauNormal"/>
    <w:uiPriority w:val="71"/>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Tramecouleur-Accent1">
    <w:name w:val="Colorful Shading Accent 1"/>
    <w:basedOn w:val="TableauNormal"/>
    <w:uiPriority w:val="71"/>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Tramecouleur-Accent2">
    <w:name w:val="Colorful Shading Accent 2"/>
    <w:basedOn w:val="TableauNormal"/>
    <w:uiPriority w:val="71"/>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Tramecouleur-Accent3">
    <w:name w:val="Colorful Shading Accent 3"/>
    <w:basedOn w:val="TableauNormal"/>
    <w:uiPriority w:val="71"/>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Tramecouleur-Accent4">
    <w:name w:val="Colorful Shading Accent 4"/>
    <w:basedOn w:val="TableauNormal"/>
    <w:uiPriority w:val="71"/>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Tramecouleur-Accent5">
    <w:name w:val="Colorful Shading Accent 5"/>
    <w:basedOn w:val="TableauNormal"/>
    <w:uiPriority w:val="71"/>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Tramecouleur-Accent6">
    <w:name w:val="Colorful Shading Accent 6"/>
    <w:basedOn w:val="TableauNormal"/>
    <w:uiPriority w:val="71"/>
    <w:rsid w:val="003826A6"/>
    <w:pPr>
      <w:spacing w:after="0" w:line="240" w:lineRule="auto"/>
    </w:pPr>
    <w:rPr>
      <w:color w:val="000000" w:themeColor="text1"/>
      <w:kern w:val="0"/>
      <w:sz w:val="22"/>
      <w:szCs w:val="22"/>
      <w:lang w:val="en" w:eastAsia="en-US"/>
      <w14:ligatures w14:val="none"/>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Listecouleur">
    <w:name w:val="Colorful List"/>
    <w:basedOn w:val="TableauNormal"/>
    <w:uiPriority w:val="72"/>
    <w:rsid w:val="003826A6"/>
    <w:pPr>
      <w:spacing w:after="0" w:line="240" w:lineRule="auto"/>
    </w:pPr>
    <w:rPr>
      <w:color w:val="000000" w:themeColor="text1"/>
      <w:kern w:val="0"/>
      <w:sz w:val="22"/>
      <w:szCs w:val="22"/>
      <w:lang w:val="en" w:eastAsia="en-US"/>
      <w14:ligatures w14:val="none"/>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Listecouleur-Accent1">
    <w:name w:val="Colorful List Accent 1"/>
    <w:basedOn w:val="TableauNormal"/>
    <w:uiPriority w:val="72"/>
    <w:rsid w:val="003826A6"/>
    <w:pPr>
      <w:spacing w:after="0" w:line="240" w:lineRule="auto"/>
    </w:pPr>
    <w:rPr>
      <w:color w:val="000000" w:themeColor="text1"/>
      <w:kern w:val="0"/>
      <w:sz w:val="22"/>
      <w:szCs w:val="22"/>
      <w:lang w:val="en" w:eastAsia="en-US"/>
      <w14:ligatures w14:val="none"/>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Listecouleur-Accent2">
    <w:name w:val="Colorful List Accent 2"/>
    <w:basedOn w:val="TableauNormal"/>
    <w:uiPriority w:val="72"/>
    <w:rsid w:val="003826A6"/>
    <w:pPr>
      <w:spacing w:after="0" w:line="240" w:lineRule="auto"/>
    </w:pPr>
    <w:rPr>
      <w:color w:val="000000" w:themeColor="text1"/>
      <w:kern w:val="0"/>
      <w:sz w:val="22"/>
      <w:szCs w:val="22"/>
      <w:lang w:val="en" w:eastAsia="en-US"/>
      <w14:ligatures w14:val="none"/>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Listecouleur-Accent3">
    <w:name w:val="Colorful List Accent 3"/>
    <w:basedOn w:val="TableauNormal"/>
    <w:uiPriority w:val="72"/>
    <w:rsid w:val="003826A6"/>
    <w:pPr>
      <w:spacing w:after="0" w:line="240" w:lineRule="auto"/>
    </w:pPr>
    <w:rPr>
      <w:color w:val="000000" w:themeColor="text1"/>
      <w:kern w:val="0"/>
      <w:sz w:val="22"/>
      <w:szCs w:val="22"/>
      <w:lang w:val="en" w:eastAsia="en-US"/>
      <w14:ligatures w14:val="none"/>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Listecouleur-Accent4">
    <w:name w:val="Colorful List Accent 4"/>
    <w:basedOn w:val="TableauNormal"/>
    <w:uiPriority w:val="72"/>
    <w:rsid w:val="003826A6"/>
    <w:pPr>
      <w:spacing w:after="0" w:line="240" w:lineRule="auto"/>
    </w:pPr>
    <w:rPr>
      <w:color w:val="000000" w:themeColor="text1"/>
      <w:kern w:val="0"/>
      <w:sz w:val="22"/>
      <w:szCs w:val="22"/>
      <w:lang w:val="en" w:eastAsia="en-US"/>
      <w14:ligatures w14:val="none"/>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Listecouleur-Accent5">
    <w:name w:val="Colorful List Accent 5"/>
    <w:basedOn w:val="TableauNormal"/>
    <w:uiPriority w:val="72"/>
    <w:rsid w:val="003826A6"/>
    <w:pPr>
      <w:spacing w:after="0" w:line="240" w:lineRule="auto"/>
    </w:pPr>
    <w:rPr>
      <w:color w:val="000000" w:themeColor="text1"/>
      <w:kern w:val="0"/>
      <w:sz w:val="22"/>
      <w:szCs w:val="22"/>
      <w:lang w:val="en" w:eastAsia="en-US"/>
      <w14:ligatures w14:val="none"/>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Listecouleur-Accent6">
    <w:name w:val="Colorful List Accent 6"/>
    <w:basedOn w:val="TableauNormal"/>
    <w:uiPriority w:val="72"/>
    <w:rsid w:val="003826A6"/>
    <w:pPr>
      <w:spacing w:after="0" w:line="240" w:lineRule="auto"/>
    </w:pPr>
    <w:rPr>
      <w:color w:val="000000" w:themeColor="text1"/>
      <w:kern w:val="0"/>
      <w:sz w:val="22"/>
      <w:szCs w:val="22"/>
      <w:lang w:val="en" w:eastAsia="en-US"/>
      <w14:ligatures w14:val="none"/>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Grillecouleur">
    <w:name w:val="Colorful Grid"/>
    <w:basedOn w:val="TableauNormal"/>
    <w:uiPriority w:val="73"/>
    <w:rsid w:val="003826A6"/>
    <w:pPr>
      <w:spacing w:after="0" w:line="240" w:lineRule="auto"/>
    </w:pPr>
    <w:rPr>
      <w:color w:val="000000" w:themeColor="text1"/>
      <w:kern w:val="0"/>
      <w:sz w:val="22"/>
      <w:szCs w:val="22"/>
      <w:lang w:val="en" w:eastAsia="en-US"/>
      <w14:ligatures w14:val="none"/>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Grillecouleur-Accent1">
    <w:name w:val="Colorful Grid Accent 1"/>
    <w:basedOn w:val="TableauNormal"/>
    <w:uiPriority w:val="73"/>
    <w:rsid w:val="003826A6"/>
    <w:pPr>
      <w:spacing w:after="0" w:line="240" w:lineRule="auto"/>
    </w:pPr>
    <w:rPr>
      <w:color w:val="000000" w:themeColor="text1"/>
      <w:kern w:val="0"/>
      <w:sz w:val="22"/>
      <w:szCs w:val="22"/>
      <w:lang w:val="en" w:eastAsia="en-US"/>
      <w14:ligatures w14:val="none"/>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Grillecouleur-Accent2">
    <w:name w:val="Colorful Grid Accent 2"/>
    <w:basedOn w:val="TableauNormal"/>
    <w:uiPriority w:val="73"/>
    <w:rsid w:val="003826A6"/>
    <w:pPr>
      <w:spacing w:after="0" w:line="240" w:lineRule="auto"/>
    </w:pPr>
    <w:rPr>
      <w:color w:val="000000" w:themeColor="text1"/>
      <w:kern w:val="0"/>
      <w:sz w:val="22"/>
      <w:szCs w:val="22"/>
      <w:lang w:val="en" w:eastAsia="en-US"/>
      <w14:ligatures w14:val="none"/>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Grillecouleur-Accent3">
    <w:name w:val="Colorful Grid Accent 3"/>
    <w:basedOn w:val="TableauNormal"/>
    <w:uiPriority w:val="73"/>
    <w:rsid w:val="003826A6"/>
    <w:pPr>
      <w:spacing w:after="0" w:line="240" w:lineRule="auto"/>
    </w:pPr>
    <w:rPr>
      <w:color w:val="000000" w:themeColor="text1"/>
      <w:kern w:val="0"/>
      <w:sz w:val="22"/>
      <w:szCs w:val="22"/>
      <w:lang w:val="en" w:eastAsia="en-US"/>
      <w14:ligatures w14:val="none"/>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Grillecouleur-Accent4">
    <w:name w:val="Colorful Grid Accent 4"/>
    <w:basedOn w:val="TableauNormal"/>
    <w:uiPriority w:val="73"/>
    <w:rsid w:val="003826A6"/>
    <w:pPr>
      <w:spacing w:after="0" w:line="240" w:lineRule="auto"/>
    </w:pPr>
    <w:rPr>
      <w:color w:val="000000" w:themeColor="text1"/>
      <w:kern w:val="0"/>
      <w:sz w:val="22"/>
      <w:szCs w:val="22"/>
      <w:lang w:val="en" w:eastAsia="en-US"/>
      <w14:ligatures w14:val="none"/>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Grillecouleur-Accent5">
    <w:name w:val="Colorful Grid Accent 5"/>
    <w:basedOn w:val="TableauNormal"/>
    <w:uiPriority w:val="73"/>
    <w:rsid w:val="003826A6"/>
    <w:pPr>
      <w:spacing w:after="0" w:line="240" w:lineRule="auto"/>
    </w:pPr>
    <w:rPr>
      <w:color w:val="000000" w:themeColor="text1"/>
      <w:kern w:val="0"/>
      <w:sz w:val="22"/>
      <w:szCs w:val="22"/>
      <w:lang w:val="en" w:eastAsia="en-US"/>
      <w14:ligatures w14:val="none"/>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Grillecouleur-Accent6">
    <w:name w:val="Colorful Grid Accent 6"/>
    <w:basedOn w:val="TableauNormal"/>
    <w:uiPriority w:val="73"/>
    <w:rsid w:val="003826A6"/>
    <w:pPr>
      <w:spacing w:after="0" w:line="240" w:lineRule="auto"/>
    </w:pPr>
    <w:rPr>
      <w:color w:val="000000" w:themeColor="text1"/>
      <w:kern w:val="0"/>
      <w:sz w:val="22"/>
      <w:szCs w:val="22"/>
      <w:lang w:val="en" w:eastAsia="en-US"/>
      <w14:ligatures w14:val="none"/>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paragraph" w:customStyle="1" w:styleId="TableHeader">
    <w:name w:val="TableHeader"/>
    <w:basedOn w:val="Normal"/>
    <w:rsid w:val="003826A6"/>
    <w:pPr>
      <w:spacing w:before="120" w:after="80" w:line="240" w:lineRule="auto"/>
      <w:ind w:right="0"/>
    </w:pPr>
    <w:rPr>
      <w:b/>
      <w:bCs w:val="0"/>
      <w:iCs w:val="0"/>
      <w:sz w:val="20"/>
      <w:szCs w:val="22"/>
      <w:lang w:eastAsia="en-US"/>
    </w:rPr>
  </w:style>
  <w:style w:type="paragraph" w:customStyle="1" w:styleId="TableNote">
    <w:name w:val="TableNote"/>
    <w:basedOn w:val="Normal"/>
    <w:rsid w:val="003826A6"/>
    <w:pPr>
      <w:spacing w:after="80" w:line="252" w:lineRule="auto"/>
      <w:ind w:right="0"/>
    </w:pPr>
    <w:rPr>
      <w:bCs w:val="0"/>
      <w:iCs w:val="0"/>
      <w:sz w:val="20"/>
      <w:szCs w:val="22"/>
      <w:lang w:eastAsia="en-US"/>
    </w:rPr>
  </w:style>
  <w:style w:type="paragraph" w:customStyle="1" w:styleId="TableSubHead">
    <w:name w:val="TableSubHead"/>
    <w:basedOn w:val="TableHeader"/>
    <w:rsid w:val="003826A6"/>
  </w:style>
  <w:style w:type="paragraph" w:customStyle="1" w:styleId="TableTitle">
    <w:name w:val="TableTitle"/>
    <w:basedOn w:val="Normal"/>
    <w:rsid w:val="003826A6"/>
    <w:pPr>
      <w:spacing w:after="80" w:line="252" w:lineRule="auto"/>
      <w:ind w:right="0"/>
    </w:pPr>
    <w:rPr>
      <w:bCs w:val="0"/>
      <w:iCs w:val="0"/>
      <w:sz w:val="20"/>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image" Target="media/image7.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6.png"/><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footer" Target="footer2.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29</Pages>
  <Words>8796</Words>
  <Characters>48378</Characters>
  <Application>Microsoft Office Word</Application>
  <DocSecurity>0</DocSecurity>
  <Lines>403</Lines>
  <Paragraphs>114</Paragraphs>
  <ScaleCrop>false</ScaleCrop>
  <Company/>
  <LinksUpToDate>false</LinksUpToDate>
  <CharactersWithSpaces>57060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Thomas Husson</dc:creator>
  <cp:keywords/>
  <dc:description/>
  <cp:lastModifiedBy>Thomas Husson</cp:lastModifiedBy>
  <cp:revision>2</cp:revision>
  <dcterms:created xsi:type="dcterms:W3CDTF">2026-09-17T14:48:00Z</dcterms:created>
  <dcterms:modified xsi:type="dcterms:W3CDTF">2026-09-17T14:48:00Z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ZOTERO_PREF_1">
    <vt:lpwstr>&lt;data data-version="3" zotero-version="9.0.6"&gt;&lt;session id="mujVSfMj"/&gt;&lt;style id="http://www.zotero.org/styles/nlm-citation-sequence-annals-no-web" locale="en-US" hasBibliography="1" bibliographyStyleHasBeenSet="1"/&gt;&lt;prefs&gt;&lt;pref name="fieldType" value="Fie</vt:lpwstr>
  </property>
  <property fmtid="{D5CDD505-2E9C-101B-9397-08002B2CF9AE}" pid="3" name="ZOTERO_PREF_2">
    <vt:lpwstr>ld"/&gt;&lt;/prefs&gt;&lt;/data&gt;</vt:lpwstr>
  </property>
</Properties>
</file>