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D309B">
      <w:pPr>
        <w:keepNext w:val="0"/>
        <w:keepLines w:val="0"/>
        <w:pageBreakBefore w:val="0"/>
        <w:widowControl/>
        <w:kinsoku/>
        <w:wordWrap/>
        <w:overflowPunct/>
        <w:topLinePunct w:val="0"/>
        <w:autoSpaceDE/>
        <w:autoSpaceDN/>
        <w:bidi w:val="0"/>
        <w:adjustRightInd/>
        <w:snapToGrid/>
        <w:spacing w:after="0" w:line="240" w:lineRule="auto"/>
        <w:jc w:val="center"/>
        <w:textAlignment w:val="auto"/>
        <w:outlineLvl w:val="0"/>
        <w:rPr>
          <w:rFonts w:hint="default" w:ascii="Garamond" w:hAnsi="Garamond" w:cs="Garamond" w:eastAsiaTheme="minorHAnsi"/>
          <w:b/>
          <w:bCs/>
          <w:sz w:val="28"/>
          <w:szCs w:val="28"/>
          <w:lang w:val="en-CA"/>
        </w:rPr>
      </w:pPr>
      <w:bookmarkStart w:id="2" w:name="_GoBack"/>
      <w:bookmarkEnd w:id="2"/>
      <w:r>
        <w:rPr>
          <w:rFonts w:hint="default" w:ascii="Garamond" w:hAnsi="Garamond" w:cs="Garamond" w:eastAsiaTheme="minorHAnsi"/>
          <w:b/>
          <w:bCs/>
          <w:sz w:val="28"/>
          <w:szCs w:val="28"/>
          <w:lang w:val="en-CA"/>
        </w:rPr>
        <w:t>Coding Manual for Mapping the Institutionalization of Evidence-Informed Policy-Making in China</w:t>
      </w:r>
    </w:p>
    <w:p w14:paraId="79ED3345">
      <w:pPr>
        <w:spacing w:after="0" w:line="240" w:lineRule="auto"/>
        <w:jc w:val="both"/>
        <w:rPr>
          <w:rFonts w:hint="default" w:ascii="Garamond" w:hAnsi="Garamond" w:cs="Garamond" w:eastAsiaTheme="minorHAnsi"/>
          <w:sz w:val="24"/>
          <w:szCs w:val="24"/>
          <w:lang w:val="en-CA"/>
        </w:rPr>
      </w:pPr>
    </w:p>
    <w:p w14:paraId="095A05A4">
      <w:pPr>
        <w:spacing w:after="0" w:line="240" w:lineRule="auto"/>
        <w:jc w:val="both"/>
        <w:rPr>
          <w:rFonts w:hint="default" w:ascii="Garamond" w:hAnsi="Garamond" w:cs="Garamond" w:eastAsiaTheme="minorHAnsi"/>
          <w:sz w:val="24"/>
          <w:szCs w:val="24"/>
          <w:lang w:val="en-CA"/>
        </w:rPr>
      </w:pPr>
      <w:r>
        <w:rPr>
          <w:rFonts w:hint="default" w:ascii="Garamond" w:hAnsi="Garamond" w:cs="Garamond" w:eastAsiaTheme="minorHAnsi"/>
          <w:sz w:val="24"/>
          <w:szCs w:val="24"/>
          <w:lang w:val="en-CA"/>
        </w:rPr>
        <w:t>Framework basis. The six domains and subdomains below follow the domains framework developed by Kuchenmüller et al. (2022).</w:t>
      </w:r>
    </w:p>
    <w:p w14:paraId="43AF3740">
      <w:pPr>
        <w:spacing w:after="0" w:line="240" w:lineRule="auto"/>
        <w:jc w:val="both"/>
        <w:rPr>
          <w:rFonts w:hint="default" w:ascii="Garamond" w:hAnsi="Garamond" w:cs="Garamond" w:eastAsiaTheme="minorHAnsi"/>
          <w:sz w:val="24"/>
          <w:szCs w:val="24"/>
          <w:lang w:val="en-CA"/>
        </w:rPr>
      </w:pPr>
    </w:p>
    <w:p w14:paraId="5C47F312">
      <w:pPr>
        <w:keepNext w:val="0"/>
        <w:keepLines w:val="0"/>
        <w:pageBreakBefore w:val="0"/>
        <w:widowControl/>
        <w:kinsoku/>
        <w:wordWrap/>
        <w:overflowPunct/>
        <w:topLinePunct w:val="0"/>
        <w:autoSpaceDE/>
        <w:autoSpaceDN/>
        <w:bidi w:val="0"/>
        <w:adjustRightInd/>
        <w:snapToGrid/>
        <w:spacing w:after="0" w:line="240" w:lineRule="auto"/>
        <w:textAlignment w:val="auto"/>
        <w:outlineLvl w:val="1"/>
        <w:rPr>
          <w:rFonts w:hint="default" w:ascii="Garamond" w:hAnsi="Garamond" w:cs="Garamond" w:eastAsiaTheme="minorHAnsi"/>
          <w:sz w:val="24"/>
          <w:szCs w:val="24"/>
          <w:lang w:val="en-CA"/>
        </w:rPr>
      </w:pPr>
      <w:r>
        <w:rPr>
          <w:rFonts w:hint="default" w:ascii="Garamond" w:hAnsi="Garamond" w:cs="Garamond" w:eastAsiaTheme="minorHAnsi"/>
          <w:b/>
          <w:bCs/>
          <w:sz w:val="22"/>
          <w:szCs w:val="22"/>
          <w:lang w:val="en-CA"/>
        </w:rPr>
        <w:t>1. General coding principles</w:t>
      </w:r>
    </w:p>
    <w:p w14:paraId="2D4B8EA5">
      <w:pPr>
        <w:pStyle w:val="8"/>
        <w:numPr>
          <w:ilvl w:val="0"/>
          <w:numId w:val="1"/>
        </w:numPr>
        <w:spacing w:after="0" w:line="240" w:lineRule="auto"/>
        <w:ind w:left="284" w:hanging="284"/>
        <w:jc w:val="both"/>
        <w:rPr>
          <w:rFonts w:hint="default" w:ascii="Garamond" w:hAnsi="Garamond" w:cs="Garamond" w:eastAsiaTheme="minorHAnsi"/>
          <w:sz w:val="22"/>
          <w:szCs w:val="22"/>
          <w:lang w:val="en-CA"/>
        </w:rPr>
      </w:pPr>
      <w:r>
        <w:rPr>
          <w:rFonts w:hint="default" w:ascii="Garamond" w:hAnsi="Garamond" w:cs="Garamond" w:eastAsiaTheme="minorHAnsi"/>
          <w:b/>
          <w:bCs/>
          <w:sz w:val="22"/>
          <w:szCs w:val="22"/>
          <w:lang w:val="en-CA"/>
        </w:rPr>
        <w:t>Unit of coding:</w:t>
      </w:r>
      <w:r>
        <w:rPr>
          <w:rFonts w:hint="default" w:ascii="Garamond" w:hAnsi="Garamond" w:cs="Garamond" w:eastAsiaTheme="minorHAnsi"/>
          <w:sz w:val="22"/>
          <w:szCs w:val="22"/>
          <w:lang w:val="en-CA"/>
        </w:rPr>
        <w:t xml:space="preserve"> The unit of coding was the individual included research study or policy document.</w:t>
      </w:r>
    </w:p>
    <w:p w14:paraId="5FF1B36D">
      <w:pPr>
        <w:pStyle w:val="8"/>
        <w:numPr>
          <w:ilvl w:val="0"/>
          <w:numId w:val="1"/>
        </w:numPr>
        <w:spacing w:after="0" w:line="240" w:lineRule="auto"/>
        <w:ind w:left="284" w:hanging="284"/>
        <w:jc w:val="both"/>
        <w:rPr>
          <w:rFonts w:hint="default" w:ascii="Garamond" w:hAnsi="Garamond" w:cs="Garamond" w:eastAsiaTheme="minorHAnsi"/>
          <w:sz w:val="22"/>
          <w:szCs w:val="22"/>
          <w:lang w:val="en-CA"/>
        </w:rPr>
      </w:pPr>
      <w:r>
        <w:rPr>
          <w:rFonts w:hint="default" w:ascii="Garamond" w:hAnsi="Garamond" w:cs="Garamond" w:eastAsiaTheme="minorHAnsi"/>
          <w:b/>
          <w:bCs/>
          <w:sz w:val="22"/>
          <w:szCs w:val="22"/>
          <w:lang w:val="en-CA"/>
        </w:rPr>
        <w:t>Textual basis:</w:t>
      </w:r>
      <w:r>
        <w:rPr>
          <w:rFonts w:hint="default" w:ascii="Garamond" w:hAnsi="Garamond" w:cs="Garamond" w:eastAsiaTheme="minorHAnsi"/>
          <w:sz w:val="22"/>
          <w:szCs w:val="22"/>
          <w:lang w:val="en-CA"/>
        </w:rPr>
        <w:t xml:space="preserve"> Coding was based on explicit or reasonably direct textual evidence in the record. Reviewers retained the supporting passage when interpretation was required.</w:t>
      </w:r>
    </w:p>
    <w:p w14:paraId="35018EA4">
      <w:pPr>
        <w:pStyle w:val="8"/>
        <w:numPr>
          <w:ilvl w:val="0"/>
          <w:numId w:val="1"/>
        </w:numPr>
        <w:spacing w:after="0" w:line="240" w:lineRule="auto"/>
        <w:ind w:left="284" w:hanging="284"/>
        <w:jc w:val="both"/>
        <w:rPr>
          <w:rFonts w:hint="default" w:ascii="Garamond" w:hAnsi="Garamond" w:cs="Garamond" w:eastAsiaTheme="minorHAnsi"/>
          <w:sz w:val="22"/>
          <w:szCs w:val="22"/>
          <w:lang w:val="en-CA"/>
        </w:rPr>
      </w:pPr>
      <w:r>
        <w:rPr>
          <w:rFonts w:hint="default" w:ascii="Garamond" w:hAnsi="Garamond" w:cs="Garamond" w:eastAsiaTheme="minorHAnsi"/>
          <w:b/>
          <w:bCs/>
          <w:sz w:val="22"/>
          <w:szCs w:val="22"/>
          <w:lang w:val="en-CA"/>
        </w:rPr>
        <w:t>Domain and subdomain coding:</w:t>
      </w:r>
      <w:r>
        <w:rPr>
          <w:rFonts w:hint="default" w:ascii="Garamond" w:hAnsi="Garamond" w:cs="Garamond" w:eastAsiaTheme="minorHAnsi"/>
          <w:sz w:val="22"/>
          <w:szCs w:val="22"/>
          <w:lang w:val="en-CA"/>
        </w:rPr>
        <w:t xml:space="preserve"> Records were coded at both WHO Checklist domain and subdomain levels. When a specific subdomain was supported, the corresponding domain was also assigned.</w:t>
      </w:r>
    </w:p>
    <w:p w14:paraId="48554854">
      <w:pPr>
        <w:pStyle w:val="8"/>
        <w:numPr>
          <w:ilvl w:val="0"/>
          <w:numId w:val="1"/>
        </w:numPr>
        <w:spacing w:after="0" w:line="240" w:lineRule="auto"/>
        <w:ind w:left="284" w:hanging="284"/>
        <w:jc w:val="both"/>
        <w:rPr>
          <w:rFonts w:hint="default" w:ascii="Garamond" w:hAnsi="Garamond" w:cs="Garamond" w:eastAsiaTheme="minorHAnsi"/>
          <w:sz w:val="22"/>
          <w:szCs w:val="22"/>
          <w:lang w:val="en-CA"/>
        </w:rPr>
      </w:pPr>
      <w:r>
        <w:rPr>
          <w:rFonts w:hint="default" w:ascii="Garamond" w:hAnsi="Garamond" w:cs="Garamond" w:eastAsiaTheme="minorHAnsi"/>
          <w:b/>
          <w:bCs/>
          <w:sz w:val="22"/>
          <w:szCs w:val="22"/>
          <w:lang w:val="en-CA"/>
        </w:rPr>
        <w:t>Multiple coding:</w:t>
      </w:r>
      <w:r>
        <w:rPr>
          <w:rFonts w:hint="default" w:ascii="Garamond" w:hAnsi="Garamond" w:cs="Garamond" w:eastAsiaTheme="minorHAnsi"/>
          <w:sz w:val="22"/>
          <w:szCs w:val="22"/>
          <w:lang w:val="en-CA"/>
        </w:rPr>
        <w:t xml:space="preserve"> Multiple WHO domains, subdomains and SDGs were permitted when each code was independently supported. No fixed maximum number of codes was imposed.</w:t>
      </w:r>
    </w:p>
    <w:p w14:paraId="725214B4">
      <w:pPr>
        <w:pStyle w:val="8"/>
        <w:numPr>
          <w:ilvl w:val="0"/>
          <w:numId w:val="1"/>
        </w:numPr>
        <w:spacing w:after="0" w:line="240" w:lineRule="auto"/>
        <w:ind w:left="284" w:hanging="284"/>
        <w:jc w:val="both"/>
        <w:rPr>
          <w:rFonts w:hint="default" w:ascii="Garamond" w:hAnsi="Garamond" w:cs="Garamond" w:eastAsiaTheme="minorHAnsi"/>
          <w:b w:val="0"/>
          <w:bCs w:val="0"/>
          <w:sz w:val="22"/>
          <w:szCs w:val="22"/>
          <w:lang w:val="en-CA"/>
        </w:rPr>
      </w:pPr>
      <w:r>
        <w:rPr>
          <w:rFonts w:hint="default" w:ascii="Garamond" w:hAnsi="Garamond" w:cs="Garamond" w:eastAsiaTheme="minorHAnsi"/>
          <w:b/>
          <w:bCs/>
          <w:sz w:val="22"/>
          <w:szCs w:val="22"/>
          <w:lang w:val="en-CA"/>
        </w:rPr>
        <w:t xml:space="preserve">Uncertain cases: </w:t>
      </w:r>
      <w:r>
        <w:rPr>
          <w:rFonts w:hint="default" w:ascii="Garamond" w:hAnsi="Garamond" w:cs="Garamond" w:eastAsiaTheme="minorHAnsi"/>
          <w:b w:val="0"/>
          <w:bCs w:val="0"/>
          <w:sz w:val="22"/>
          <w:szCs w:val="22"/>
          <w:lang w:val="en-CA"/>
        </w:rPr>
        <w:t>Uncertain cases were discussed by the two reviewers and, when required, adjudicated by a third reviewer. The reason for uncertainty was recorded during coding.</w:t>
      </w:r>
    </w:p>
    <w:p w14:paraId="4C1EC92F">
      <w:pPr>
        <w:spacing w:after="0" w:line="240" w:lineRule="auto"/>
        <w:rPr>
          <w:rFonts w:hint="default" w:ascii="Garamond" w:hAnsi="Garamond" w:cs="Garamond" w:eastAsiaTheme="minorHAnsi"/>
          <w:b/>
          <w:bCs/>
          <w:sz w:val="22"/>
          <w:szCs w:val="22"/>
          <w:lang w:val="en-CA"/>
        </w:rPr>
      </w:pPr>
    </w:p>
    <w:p w14:paraId="59805685">
      <w:pPr>
        <w:keepNext w:val="0"/>
        <w:keepLines w:val="0"/>
        <w:pageBreakBefore w:val="0"/>
        <w:widowControl/>
        <w:kinsoku/>
        <w:wordWrap/>
        <w:overflowPunct/>
        <w:topLinePunct w:val="0"/>
        <w:autoSpaceDE/>
        <w:autoSpaceDN/>
        <w:bidi w:val="0"/>
        <w:adjustRightInd/>
        <w:snapToGrid/>
        <w:spacing w:after="0" w:line="240" w:lineRule="auto"/>
        <w:textAlignment w:val="auto"/>
        <w:outlineLvl w:val="1"/>
        <w:rPr>
          <w:rFonts w:hint="default" w:ascii="Garamond" w:hAnsi="Garamond" w:cs="Garamond" w:eastAsiaTheme="minorHAnsi"/>
          <w:b/>
          <w:bCs/>
          <w:sz w:val="22"/>
          <w:szCs w:val="22"/>
          <w:lang w:val="en-CA"/>
        </w:rPr>
      </w:pPr>
      <w:r>
        <w:rPr>
          <w:rFonts w:hint="default" w:ascii="Garamond" w:hAnsi="Garamond" w:cs="Garamond" w:eastAsiaTheme="minorHAnsi"/>
          <w:b/>
          <w:bCs/>
          <w:sz w:val="22"/>
          <w:szCs w:val="22"/>
          <w:lang w:val="en-CA"/>
        </w:rPr>
        <w:t>2. Present institutionalization actions and recommendations</w:t>
      </w:r>
    </w:p>
    <w:p w14:paraId="6137B3EF">
      <w:pPr>
        <w:pStyle w:val="8"/>
        <w:numPr>
          <w:ilvl w:val="0"/>
          <w:numId w:val="1"/>
        </w:numPr>
        <w:spacing w:after="0" w:line="240" w:lineRule="auto"/>
        <w:ind w:left="284" w:hanging="284"/>
        <w:jc w:val="both"/>
        <w:rPr>
          <w:rFonts w:hint="default" w:ascii="Garamond" w:hAnsi="Garamond" w:cs="Garamond" w:eastAsiaTheme="minorHAnsi"/>
          <w:b w:val="0"/>
          <w:bCs w:val="0"/>
          <w:sz w:val="22"/>
          <w:szCs w:val="22"/>
          <w:lang w:val="en-CA"/>
        </w:rPr>
      </w:pPr>
      <w:r>
        <w:rPr>
          <w:rFonts w:hint="default" w:ascii="Garamond" w:hAnsi="Garamond" w:cs="Garamond" w:eastAsiaTheme="minorHAnsi"/>
          <w:b/>
          <w:bCs/>
          <w:sz w:val="22"/>
          <w:szCs w:val="22"/>
          <w:lang w:val="en-CA"/>
        </w:rPr>
        <w:t>Present action</w:t>
      </w:r>
      <w:r>
        <w:rPr>
          <w:rFonts w:hint="default" w:ascii="Garamond" w:hAnsi="Garamond" w:eastAsia="宋体" w:cs="Garamond"/>
          <w:b/>
          <w:bCs/>
          <w:sz w:val="22"/>
          <w:szCs w:val="22"/>
          <w:lang w:val="en-US" w:eastAsia="zh-CN"/>
        </w:rPr>
        <w:t xml:space="preserve">: </w:t>
      </w:r>
      <w:r>
        <w:rPr>
          <w:rFonts w:hint="default" w:ascii="Garamond" w:hAnsi="Garamond" w:cs="Garamond" w:eastAsiaTheme="minorHAnsi"/>
          <w:b w:val="0"/>
          <w:bCs w:val="0"/>
          <w:sz w:val="22"/>
          <w:szCs w:val="22"/>
          <w:lang w:val="en-CA"/>
        </w:rPr>
        <w:t>Code when the record describes a mechanism, structure, resource, activity or practice as existing, established, operating, implemented or routinely conducted.</w:t>
      </w:r>
    </w:p>
    <w:p w14:paraId="43DFF982">
      <w:pPr>
        <w:pStyle w:val="8"/>
        <w:numPr>
          <w:ilvl w:val="0"/>
          <w:numId w:val="1"/>
        </w:numPr>
        <w:spacing w:after="0" w:line="240" w:lineRule="auto"/>
        <w:ind w:left="284" w:hanging="284"/>
        <w:jc w:val="both"/>
        <w:rPr>
          <w:rFonts w:hint="default" w:ascii="Garamond" w:hAnsi="Garamond" w:cs="Garamond" w:eastAsiaTheme="minorHAnsi"/>
          <w:b w:val="0"/>
          <w:bCs w:val="0"/>
          <w:sz w:val="22"/>
          <w:szCs w:val="22"/>
          <w:lang w:val="en-CA"/>
        </w:rPr>
      </w:pPr>
      <w:r>
        <w:rPr>
          <w:rFonts w:hint="default" w:ascii="Garamond" w:hAnsi="Garamond" w:cs="Garamond" w:eastAsiaTheme="minorHAnsi"/>
          <w:b/>
          <w:bCs/>
          <w:sz w:val="22"/>
          <w:szCs w:val="22"/>
          <w:lang w:val="en-CA"/>
        </w:rPr>
        <w:t>Recommendation</w:t>
      </w:r>
      <w:r>
        <w:rPr>
          <w:rFonts w:hint="default" w:ascii="Garamond" w:hAnsi="Garamond" w:eastAsia="宋体" w:cs="Garamond"/>
          <w:b/>
          <w:bCs/>
          <w:sz w:val="22"/>
          <w:szCs w:val="22"/>
          <w:lang w:val="en-US" w:eastAsia="zh-CN"/>
        </w:rPr>
        <w:t xml:space="preserve">: </w:t>
      </w:r>
      <w:r>
        <w:rPr>
          <w:rFonts w:hint="default" w:ascii="Garamond" w:hAnsi="Garamond" w:cs="Garamond" w:eastAsiaTheme="minorHAnsi"/>
          <w:b w:val="0"/>
          <w:bCs w:val="0"/>
          <w:sz w:val="22"/>
          <w:szCs w:val="22"/>
          <w:lang w:val="en-CA"/>
        </w:rPr>
        <w:t>Code when the record proposes, recommends, plans, calls for or seeks to establish, strengthen, improve, expand or formalize an EIP/KT mechanism.</w:t>
      </w:r>
    </w:p>
    <w:p w14:paraId="7F332ED3">
      <w:pPr>
        <w:pStyle w:val="8"/>
        <w:numPr>
          <w:ilvl w:val="0"/>
          <w:numId w:val="1"/>
        </w:numPr>
        <w:spacing w:after="0" w:line="240" w:lineRule="auto"/>
        <w:ind w:left="284" w:hanging="284"/>
        <w:jc w:val="both"/>
        <w:rPr>
          <w:rFonts w:hint="default" w:ascii="Garamond" w:hAnsi="Garamond" w:cs="Garamond" w:eastAsiaTheme="minorHAnsi"/>
          <w:b w:val="0"/>
          <w:bCs w:val="0"/>
          <w:sz w:val="22"/>
          <w:szCs w:val="22"/>
          <w:lang w:val="en-CA"/>
        </w:rPr>
      </w:pPr>
      <w:r>
        <w:rPr>
          <w:rFonts w:hint="default" w:ascii="Garamond" w:hAnsi="Garamond" w:cs="Garamond" w:eastAsiaTheme="minorHAnsi"/>
          <w:b w:val="0"/>
          <w:bCs w:val="0"/>
          <w:sz w:val="22"/>
          <w:szCs w:val="22"/>
          <w:lang w:val="en-CA"/>
        </w:rPr>
        <w:t>A record could be coded as both present and recommendation when distinct content supported both classifications.</w:t>
      </w:r>
    </w:p>
    <w:p w14:paraId="686F94A2">
      <w:pPr>
        <w:pStyle w:val="8"/>
        <w:numPr>
          <w:ilvl w:val="0"/>
          <w:numId w:val="0"/>
        </w:numPr>
        <w:spacing w:after="0" w:line="240" w:lineRule="auto"/>
        <w:contextualSpacing/>
        <w:jc w:val="both"/>
        <w:rPr>
          <w:rFonts w:hint="default" w:ascii="Garamond" w:hAnsi="Garamond" w:cs="Garamond" w:eastAsiaTheme="minorHAnsi"/>
          <w:b w:val="0"/>
          <w:bCs w:val="0"/>
          <w:sz w:val="22"/>
          <w:szCs w:val="22"/>
          <w:lang w:val="en-CA"/>
        </w:rPr>
      </w:pPr>
    </w:p>
    <w:p w14:paraId="6DAF070A">
      <w:pPr>
        <w:keepNext w:val="0"/>
        <w:keepLines w:val="0"/>
        <w:pageBreakBefore w:val="0"/>
        <w:widowControl/>
        <w:numPr>
          <w:ilvl w:val="0"/>
          <w:numId w:val="2"/>
        </w:numPr>
        <w:kinsoku/>
        <w:wordWrap/>
        <w:overflowPunct/>
        <w:topLinePunct w:val="0"/>
        <w:autoSpaceDE/>
        <w:autoSpaceDN/>
        <w:bidi w:val="0"/>
        <w:adjustRightInd/>
        <w:snapToGrid/>
        <w:spacing w:after="0" w:line="240" w:lineRule="auto"/>
        <w:textAlignment w:val="auto"/>
        <w:outlineLvl w:val="1"/>
        <w:rPr>
          <w:rFonts w:hint="default" w:ascii="Garamond" w:hAnsi="Garamond" w:cs="Garamond" w:eastAsiaTheme="minorHAnsi"/>
          <w:b/>
          <w:bCs/>
          <w:sz w:val="22"/>
          <w:szCs w:val="22"/>
          <w:lang w:val="en-CA"/>
        </w:rPr>
      </w:pPr>
      <w:r>
        <w:rPr>
          <w:rFonts w:hint="default" w:ascii="Garamond" w:hAnsi="Garamond" w:cs="Garamond" w:eastAsiaTheme="minorHAnsi"/>
          <w:b/>
          <w:bCs/>
          <w:sz w:val="22"/>
          <w:szCs w:val="22"/>
          <w:lang w:val="en-CA"/>
        </w:rPr>
        <w:t>Domain and subdomain operational definitions</w:t>
      </w:r>
    </w:p>
    <w:p w14:paraId="51DD254E">
      <w:pPr>
        <w:pStyle w:val="8"/>
        <w:numPr>
          <w:ilvl w:val="0"/>
          <w:numId w:val="1"/>
        </w:numPr>
        <w:spacing w:after="0" w:line="240" w:lineRule="auto"/>
        <w:ind w:left="284" w:hanging="284"/>
        <w:jc w:val="both"/>
        <w:rPr>
          <w:rFonts w:hint="default" w:ascii="Garamond" w:hAnsi="Garamond" w:cs="Garamond" w:eastAsiaTheme="minorHAnsi"/>
          <w:b/>
          <w:bCs/>
          <w:sz w:val="22"/>
          <w:szCs w:val="22"/>
          <w:lang w:val="en-CA" w:eastAsia="en-US"/>
        </w:rPr>
      </w:pPr>
      <w:r>
        <w:rPr>
          <w:rFonts w:hint="default" w:ascii="Garamond" w:hAnsi="Garamond" w:cs="Garamond" w:eastAsiaTheme="minorHAnsi"/>
          <w:b/>
          <w:bCs/>
          <w:sz w:val="22"/>
          <w:szCs w:val="22"/>
          <w:lang w:val="en-CA" w:eastAsia="en-US"/>
        </w:rPr>
        <w:t>Governance</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1"/>
        <w:gridCol w:w="2947"/>
        <w:gridCol w:w="2774"/>
      </w:tblGrid>
      <w:tr w14:paraId="4A50A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456" w:type="dxa"/>
            <w:shd w:val="clear" w:color="auto" w:fill="F1F1F1" w:themeFill="background1" w:themeFillShade="F2"/>
          </w:tcPr>
          <w:p w14:paraId="02AA6129">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b/>
              </w:rPr>
              <w:t>Subdomain</w:t>
            </w:r>
          </w:p>
        </w:tc>
        <w:tc>
          <w:tcPr>
            <w:tcW w:w="3456" w:type="dxa"/>
            <w:shd w:val="clear" w:color="auto" w:fill="F1F1F1" w:themeFill="background1" w:themeFillShade="F2"/>
          </w:tcPr>
          <w:p w14:paraId="5F6FD4D8">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b/>
              </w:rPr>
              <w:t>Framework-aligned description</w:t>
            </w:r>
          </w:p>
        </w:tc>
        <w:tc>
          <w:tcPr>
            <w:tcW w:w="3456" w:type="dxa"/>
            <w:shd w:val="clear" w:color="auto" w:fill="F1F1F1" w:themeFill="background1" w:themeFillShade="F2"/>
          </w:tcPr>
          <w:p w14:paraId="3A1E9116">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b/>
              </w:rPr>
              <w:t>Operational coding rule for this review</w:t>
            </w:r>
          </w:p>
        </w:tc>
      </w:tr>
      <w:tr w14:paraId="3F63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795C1EAA">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Institutional governance framework</w:t>
            </w:r>
          </w:p>
        </w:tc>
        <w:tc>
          <w:tcPr>
            <w:tcW w:w="3456" w:type="dxa"/>
            <w:vAlign w:val="top"/>
          </w:tcPr>
          <w:p w14:paraId="0845F72D">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Overarching governance arrangements that organize, coordinate and sustain institutional knowledge-translation (KT) or evidence-informed policy-making (EIP) functions.</w:t>
            </w:r>
          </w:p>
        </w:tc>
        <w:tc>
          <w:tcPr>
            <w:tcW w:w="3456" w:type="dxa"/>
            <w:vAlign w:val="top"/>
          </w:tcPr>
          <w:p w14:paraId="723F0361">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when the record describes a formal governance structure, strategy, steering arrangement, defined responsibilities, coordination mechanism or accountability arrangement specifically related to evidence use/KT.</w:t>
            </w:r>
          </w:p>
        </w:tc>
      </w:tr>
      <w:tr w14:paraId="4D078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68D8BFA4">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val="0"/>
                <w:bCs/>
              </w:rPr>
            </w:pPr>
            <w:r>
              <w:rPr>
                <w:rFonts w:hint="default" w:ascii="Garamond" w:hAnsi="Garamond" w:cs="Garamond"/>
                <w:b w:val="0"/>
                <w:bCs/>
              </w:rPr>
              <w:t>Legal mandate/formal decree</w:t>
            </w:r>
          </w:p>
        </w:tc>
        <w:tc>
          <w:tcPr>
            <w:tcW w:w="3456" w:type="dxa"/>
            <w:vAlign w:val="top"/>
          </w:tcPr>
          <w:p w14:paraId="61109B2F">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val="0"/>
                <w:bCs/>
              </w:rPr>
            </w:pPr>
            <w:r>
              <w:rPr>
                <w:rFonts w:hint="default" w:ascii="Garamond" w:hAnsi="Garamond" w:cs="Garamond"/>
                <w:b w:val="0"/>
                <w:bCs/>
              </w:rPr>
              <w:t>Formal authorization or institutional mandate that gives an EIP/KT arrangement legitimacy, authority or responsibility.</w:t>
            </w:r>
          </w:p>
        </w:tc>
        <w:tc>
          <w:tcPr>
            <w:tcW w:w="3456" w:type="dxa"/>
            <w:vAlign w:val="top"/>
          </w:tcPr>
          <w:p w14:paraId="7D03FC63">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val="0"/>
                <w:bCs/>
              </w:rPr>
            </w:pPr>
            <w:r>
              <w:rPr>
                <w:rFonts w:hint="default" w:ascii="Garamond" w:hAnsi="Garamond" w:cs="Garamond"/>
                <w:b w:val="0"/>
                <w:bCs/>
              </w:rPr>
              <w:t>Code when legislation, decree, formal mandate or authoritative administrative instrument establishes or assigns an EIP/KT responsibility.</w:t>
            </w:r>
          </w:p>
        </w:tc>
      </w:tr>
      <w:tr w14:paraId="4E51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491EC780">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Institutional home embedded into existing structures and processes</w:t>
            </w:r>
          </w:p>
        </w:tc>
        <w:tc>
          <w:tcPr>
            <w:tcW w:w="3456" w:type="dxa"/>
            <w:vAlign w:val="top"/>
          </w:tcPr>
          <w:p w14:paraId="5F627A5A">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Placement of EIP/KT functions within established organizations, units, structures or routine policy processes so that they become embedded rather than project-based.</w:t>
            </w:r>
          </w:p>
        </w:tc>
        <w:tc>
          <w:tcPr>
            <w:tcW w:w="3456" w:type="dxa"/>
            <w:vAlign w:val="top"/>
          </w:tcPr>
          <w:p w14:paraId="5F8112E2">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permanent or formally embedded units, centres, committees, advisory bodies or processes.</w:t>
            </w:r>
          </w:p>
        </w:tc>
      </w:tr>
      <w:tr w14:paraId="62A1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09CC5085">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Planning, monitoring and evaluation</w:t>
            </w:r>
          </w:p>
        </w:tc>
        <w:tc>
          <w:tcPr>
            <w:tcW w:w="3456" w:type="dxa"/>
            <w:vAlign w:val="top"/>
          </w:tcPr>
          <w:p w14:paraId="6DD91A6D">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Formal planning, monitoring, evaluation, feedback and learning arrangements used to sustain or improve institutional KT/EIP activities.</w:t>
            </w:r>
          </w:p>
        </w:tc>
        <w:tc>
          <w:tcPr>
            <w:tcW w:w="3456" w:type="dxa"/>
            <w:vAlign w:val="top"/>
          </w:tcPr>
          <w:p w14:paraId="46883276">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when planning, monitoring or evaluation is connected to evidence-use processes, KT arrangements, institutional performance or organizational learning.</w:t>
            </w:r>
          </w:p>
        </w:tc>
      </w:tr>
      <w:tr w14:paraId="10ADD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7F9DE843">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(Perceived) added value of the institutional KT arrangement</w:t>
            </w:r>
          </w:p>
        </w:tc>
        <w:tc>
          <w:tcPr>
            <w:tcW w:w="3456" w:type="dxa"/>
            <w:vAlign w:val="top"/>
          </w:tcPr>
          <w:p w14:paraId="010FBD9A">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Recognition or demonstration of the usefulness, credibility, legitimacy or contribution of an institutional KT arrangement.</w:t>
            </w:r>
          </w:p>
        </w:tc>
        <w:tc>
          <w:tcPr>
            <w:tcW w:w="3456" w:type="dxa"/>
            <w:vAlign w:val="top"/>
          </w:tcPr>
          <w:p w14:paraId="7D4D84C4">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when the record explicitly discusses the value, usefulness, credibility, legitimacy, contribution or benefits of the institutional KT arrangement.</w:t>
            </w:r>
          </w:p>
        </w:tc>
      </w:tr>
      <w:tr w14:paraId="4621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7E4F5056">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Policies, regulations and legislation promoting EIP</w:t>
            </w:r>
          </w:p>
        </w:tc>
        <w:tc>
          <w:tcPr>
            <w:tcW w:w="3456" w:type="dxa"/>
            <w:vAlign w:val="top"/>
          </w:tcPr>
          <w:p w14:paraId="3C2971B3">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Policies, regulations or legislation that promote, require or normalize evidence use and related KT processes in policy-making.</w:t>
            </w:r>
          </w:p>
        </w:tc>
        <w:tc>
          <w:tcPr>
            <w:tcW w:w="3456" w:type="dxa"/>
            <w:vAlign w:val="top"/>
          </w:tcPr>
          <w:p w14:paraId="79845BED">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formal policies, regulations, legislation, strategies or administrative requirements that encourage or require evidence use, research use, evaluation, consultation or KT in policy-making.</w:t>
            </w:r>
          </w:p>
        </w:tc>
      </w:tr>
    </w:tbl>
    <w:p w14:paraId="311283EB">
      <w:pPr>
        <w:pStyle w:val="8"/>
        <w:numPr>
          <w:ilvl w:val="0"/>
          <w:numId w:val="0"/>
        </w:numPr>
        <w:spacing w:after="0" w:line="240" w:lineRule="auto"/>
        <w:ind w:leftChars="0"/>
        <w:jc w:val="both"/>
        <w:rPr>
          <w:rFonts w:hint="default" w:ascii="Garamond" w:hAnsi="Garamond" w:cs="Garamond" w:eastAsiaTheme="minorHAnsi"/>
          <w:b/>
          <w:bCs/>
          <w:sz w:val="22"/>
          <w:szCs w:val="22"/>
          <w:lang w:val="en-CA" w:eastAsia="en-US"/>
        </w:rPr>
      </w:pPr>
    </w:p>
    <w:p w14:paraId="38450210">
      <w:pPr>
        <w:pStyle w:val="8"/>
        <w:numPr>
          <w:ilvl w:val="0"/>
          <w:numId w:val="1"/>
        </w:numPr>
        <w:spacing w:after="0" w:line="240" w:lineRule="auto"/>
        <w:ind w:left="284" w:hanging="284"/>
        <w:jc w:val="both"/>
        <w:rPr>
          <w:rFonts w:hint="default" w:ascii="Garamond" w:hAnsi="Garamond" w:cs="Garamond" w:eastAsiaTheme="minorHAnsi"/>
          <w:b/>
          <w:bCs/>
          <w:sz w:val="22"/>
          <w:szCs w:val="22"/>
          <w:lang w:val="en-CA" w:eastAsia="en-US"/>
        </w:rPr>
      </w:pPr>
      <w:r>
        <w:rPr>
          <w:rFonts w:hint="default" w:ascii="Garamond" w:hAnsi="Garamond" w:cs="Garamond" w:eastAsiaTheme="minorHAnsi"/>
          <w:b/>
          <w:bCs/>
          <w:sz w:val="22"/>
          <w:szCs w:val="22"/>
          <w:lang w:val="en-CA" w:eastAsia="en-US"/>
        </w:rPr>
        <w:t>Standards and routinized processes</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7"/>
        <w:gridCol w:w="2909"/>
        <w:gridCol w:w="2796"/>
      </w:tblGrid>
      <w:tr w14:paraId="37BEC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456" w:type="dxa"/>
            <w:shd w:val="clear" w:color="auto" w:fill="F1F1F1" w:themeFill="background1" w:themeFillShade="F2"/>
          </w:tcPr>
          <w:p w14:paraId="3CD2129F">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Subdomain</w:t>
            </w:r>
          </w:p>
        </w:tc>
        <w:tc>
          <w:tcPr>
            <w:tcW w:w="3456" w:type="dxa"/>
            <w:shd w:val="clear" w:color="auto" w:fill="F1F1F1" w:themeFill="background1" w:themeFillShade="F2"/>
          </w:tcPr>
          <w:p w14:paraId="507188F8">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Framework-aligned description</w:t>
            </w:r>
          </w:p>
        </w:tc>
        <w:tc>
          <w:tcPr>
            <w:tcW w:w="3456" w:type="dxa"/>
            <w:shd w:val="clear" w:color="auto" w:fill="F1F1F1" w:themeFill="background1" w:themeFillShade="F2"/>
          </w:tcPr>
          <w:p w14:paraId="516F9DF0">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Operational coding rule for this review</w:t>
            </w:r>
          </w:p>
        </w:tc>
      </w:tr>
      <w:tr w14:paraId="788D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62E010C9">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Standardization of methods and processes</w:t>
            </w:r>
          </w:p>
        </w:tc>
        <w:tc>
          <w:tcPr>
            <w:tcW w:w="3456" w:type="dxa"/>
            <w:vAlign w:val="top"/>
          </w:tcPr>
          <w:p w14:paraId="26F02851">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Use of agreed methods, procedures, protocols, standards or formalized processes for producing, appraising, synthesizing, communicating or using evidence.</w:t>
            </w:r>
          </w:p>
        </w:tc>
        <w:tc>
          <w:tcPr>
            <w:tcW w:w="3456" w:type="dxa"/>
            <w:vAlign w:val="top"/>
          </w:tcPr>
          <w:p w14:paraId="4C743D80">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standardized methodologies, technical procedures, protocols, guidelines or formal decision processes supporting EIP/KT.</w:t>
            </w:r>
          </w:p>
        </w:tc>
      </w:tr>
      <w:tr w14:paraId="6FFAE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68A55E44">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Consistent, routine production of KT activities</w:t>
            </w:r>
          </w:p>
        </w:tc>
        <w:tc>
          <w:tcPr>
            <w:tcW w:w="3456" w:type="dxa"/>
            <w:vAlign w:val="top"/>
          </w:tcPr>
          <w:p w14:paraId="4D1D01CC">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Regular and repeated delivery of KT activities so that evidence-support functions become routine and taken for granted.</w:t>
            </w:r>
          </w:p>
        </w:tc>
        <w:tc>
          <w:tcPr>
            <w:tcW w:w="3456" w:type="dxa"/>
            <w:vAlign w:val="top"/>
          </w:tcPr>
          <w:p w14:paraId="2253C73A">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when evidence briefs, syntheses, advisory processes, rapid-response services or similar KT activities are described as regular, recurring, continuous or routine. Do not code clearly one-off activities.</w:t>
            </w:r>
          </w:p>
        </w:tc>
      </w:tr>
      <w:tr w14:paraId="4D69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641D3141">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Quality assurance/control</w:t>
            </w:r>
          </w:p>
        </w:tc>
        <w:tc>
          <w:tcPr>
            <w:tcW w:w="3456" w:type="dxa"/>
            <w:vAlign w:val="top"/>
          </w:tcPr>
          <w:p w14:paraId="61B8B3AB">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Mechanisms intended to maintain the quality, credibility, consistency, transparency or reliability of KT products and processes.</w:t>
            </w:r>
          </w:p>
        </w:tc>
        <w:tc>
          <w:tcPr>
            <w:tcW w:w="3456" w:type="dxa"/>
            <w:vAlign w:val="top"/>
          </w:tcPr>
          <w:p w14:paraId="7E870467">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peer review, methodological review, technical validation, quality-control procedures or formal quality standards applied to evidence-support work.</w:t>
            </w:r>
          </w:p>
        </w:tc>
      </w:tr>
    </w:tbl>
    <w:p w14:paraId="4B33F505">
      <w:pPr>
        <w:pStyle w:val="8"/>
        <w:numPr>
          <w:ilvl w:val="0"/>
          <w:numId w:val="0"/>
        </w:numPr>
        <w:spacing w:after="0" w:line="240" w:lineRule="auto"/>
        <w:ind w:leftChars="0"/>
        <w:jc w:val="both"/>
        <w:rPr>
          <w:rFonts w:hint="default" w:ascii="Garamond" w:hAnsi="Garamond" w:cs="Garamond" w:eastAsiaTheme="minorHAnsi"/>
          <w:b/>
          <w:bCs/>
          <w:sz w:val="22"/>
          <w:szCs w:val="22"/>
          <w:lang w:val="en-CA" w:eastAsia="en-US"/>
        </w:rPr>
      </w:pPr>
    </w:p>
    <w:p w14:paraId="322205CC">
      <w:pPr>
        <w:pStyle w:val="8"/>
        <w:numPr>
          <w:ilvl w:val="0"/>
          <w:numId w:val="1"/>
        </w:numPr>
        <w:spacing w:after="0" w:line="240" w:lineRule="auto"/>
        <w:ind w:left="284" w:hanging="284"/>
        <w:jc w:val="both"/>
        <w:rPr>
          <w:rFonts w:hint="default" w:ascii="Garamond" w:hAnsi="Garamond" w:cs="Garamond" w:eastAsiaTheme="minorHAnsi"/>
          <w:b/>
          <w:bCs/>
          <w:sz w:val="22"/>
          <w:szCs w:val="22"/>
          <w:lang w:val="en-CA" w:eastAsia="en-US"/>
        </w:rPr>
      </w:pPr>
      <w:r>
        <w:rPr>
          <w:rFonts w:hint="default" w:ascii="Garamond" w:hAnsi="Garamond" w:cs="Garamond" w:eastAsiaTheme="minorHAnsi"/>
          <w:b/>
          <w:bCs/>
          <w:sz w:val="22"/>
          <w:szCs w:val="22"/>
          <w:lang w:val="en-CA" w:eastAsia="en-US"/>
        </w:rPr>
        <w:t>Partnership, collective action and support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8"/>
        <w:gridCol w:w="2786"/>
        <w:gridCol w:w="2868"/>
      </w:tblGrid>
      <w:tr w14:paraId="13F1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456" w:type="dxa"/>
            <w:shd w:val="clear" w:color="auto" w:fill="F1F1F1" w:themeFill="background1" w:themeFillShade="F2"/>
          </w:tcPr>
          <w:p w14:paraId="20A16F2C">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Subdomain</w:t>
            </w:r>
          </w:p>
        </w:tc>
        <w:tc>
          <w:tcPr>
            <w:tcW w:w="3456" w:type="dxa"/>
            <w:shd w:val="clear" w:color="auto" w:fill="F1F1F1" w:themeFill="background1" w:themeFillShade="F2"/>
          </w:tcPr>
          <w:p w14:paraId="2646EEA4">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Framework-aligned description</w:t>
            </w:r>
          </w:p>
        </w:tc>
        <w:tc>
          <w:tcPr>
            <w:tcW w:w="3456" w:type="dxa"/>
            <w:shd w:val="clear" w:color="auto" w:fill="F1F1F1" w:themeFill="background1" w:themeFillShade="F2"/>
          </w:tcPr>
          <w:p w14:paraId="207F6D63">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Operational coding rule for this review</w:t>
            </w:r>
          </w:p>
        </w:tc>
      </w:tr>
      <w:tr w14:paraId="17C85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174CDB26">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Institutional mechanisms for intersectoral engagement/interaction</w:t>
            </w:r>
          </w:p>
        </w:tc>
        <w:tc>
          <w:tcPr>
            <w:tcW w:w="3456" w:type="dxa"/>
            <w:vAlign w:val="top"/>
          </w:tcPr>
          <w:p w14:paraId="609161F5">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Formal or recurring mechanisms that enable interaction and engagement across institutions, government departments, sectors or stakeholder groups.</w:t>
            </w:r>
          </w:p>
        </w:tc>
        <w:tc>
          <w:tcPr>
            <w:tcW w:w="3456" w:type="dxa"/>
            <w:vAlign w:val="top"/>
          </w:tcPr>
          <w:p w14:paraId="104AAFE1">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interdepartmental committees, cross-sector working groups, consultation structures, engagement platforms or other institutionalized interaction mechanisms.</w:t>
            </w:r>
          </w:p>
        </w:tc>
      </w:tr>
      <w:tr w14:paraId="507B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3D1BC5F8">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Interdisciplinary collaboration, co-production and relationship building</w:t>
            </w:r>
          </w:p>
        </w:tc>
        <w:tc>
          <w:tcPr>
            <w:tcW w:w="3456" w:type="dxa"/>
            <w:vAlign w:val="top"/>
          </w:tcPr>
          <w:p w14:paraId="57AA3937">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Collaborative relationships across disciplines and between evidence producers, intermediaries, policy-makers and stakeholders, including co-production and trust building.</w:t>
            </w:r>
          </w:p>
        </w:tc>
        <w:tc>
          <w:tcPr>
            <w:tcW w:w="3456" w:type="dxa"/>
            <w:vAlign w:val="top"/>
          </w:tcPr>
          <w:p w14:paraId="37F92CC6">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collaborative production of evidence, sustained researcher-policy-maker relationships, interdisciplinary teams or deliberate relationship-building.</w:t>
            </w:r>
          </w:p>
        </w:tc>
      </w:tr>
      <w:tr w14:paraId="6B3E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47CF2F29">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International collaboration and support</w:t>
            </w:r>
          </w:p>
        </w:tc>
        <w:tc>
          <w:tcPr>
            <w:tcW w:w="3456" w:type="dxa"/>
            <w:vAlign w:val="top"/>
          </w:tcPr>
          <w:p w14:paraId="6B009615">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International collaboration, technical support, legitimacy, knowledge exchange or other assistance that supports EIP institutionalization.</w:t>
            </w:r>
          </w:p>
        </w:tc>
        <w:tc>
          <w:tcPr>
            <w:tcW w:w="3456" w:type="dxa"/>
            <w:vAlign w:val="top"/>
          </w:tcPr>
          <w:p w14:paraId="7EFB1B96">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collaboration or support involving international organizations, foreign institutions or cross-country networks when it contributes to KT/EIP activities.</w:t>
            </w:r>
          </w:p>
        </w:tc>
      </w:tr>
      <w:tr w14:paraId="0DB1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330486A5">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Communication, Marketing and Diffusion Strategies</w:t>
            </w:r>
          </w:p>
        </w:tc>
        <w:tc>
          <w:tcPr>
            <w:tcW w:w="3456" w:type="dxa"/>
            <w:vAlign w:val="top"/>
          </w:tcPr>
          <w:p w14:paraId="4A70B247">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Internal and external communication, dissemination, advocacy and diffusion strategies used to sustain partnerships, raise awareness, share results and strengthen support for EIP and institutional KT arrangements.</w:t>
            </w:r>
          </w:p>
        </w:tc>
        <w:tc>
          <w:tcPr>
            <w:tcW w:w="3456" w:type="dxa"/>
            <w:vAlign w:val="top"/>
          </w:tcPr>
          <w:p w14:paraId="719E8545">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institutional communication channels, newsletters, websites/social media, strategic dissemination, advocacy platforms, communication of results/lessons, or collective communication to decision-makers.</w:t>
            </w:r>
          </w:p>
        </w:tc>
      </w:tr>
    </w:tbl>
    <w:p w14:paraId="6F7A41A9">
      <w:pPr>
        <w:numPr>
          <w:ilvl w:val="0"/>
          <w:numId w:val="0"/>
        </w:numPr>
        <w:spacing w:after="0" w:line="240" w:lineRule="auto"/>
        <w:rPr>
          <w:rFonts w:hint="default" w:ascii="Garamond" w:hAnsi="Garamond" w:cs="Garamond" w:eastAsiaTheme="minorHAnsi"/>
          <w:b/>
          <w:bCs/>
          <w:sz w:val="22"/>
          <w:szCs w:val="22"/>
          <w:lang w:val="en-CA"/>
        </w:rPr>
      </w:pPr>
    </w:p>
    <w:p w14:paraId="09C9CE5E">
      <w:pPr>
        <w:pStyle w:val="8"/>
        <w:numPr>
          <w:ilvl w:val="0"/>
          <w:numId w:val="1"/>
        </w:numPr>
        <w:spacing w:after="0" w:line="240" w:lineRule="auto"/>
        <w:ind w:left="284" w:hanging="284"/>
        <w:jc w:val="both"/>
        <w:rPr>
          <w:rFonts w:hint="default" w:ascii="Garamond" w:hAnsi="Garamond" w:cs="Garamond" w:eastAsiaTheme="minorHAnsi"/>
          <w:b/>
          <w:bCs/>
          <w:sz w:val="22"/>
          <w:szCs w:val="22"/>
          <w:lang w:val="en-CA" w:eastAsia="en-US"/>
        </w:rPr>
      </w:pPr>
      <w:r>
        <w:rPr>
          <w:rFonts w:hint="default" w:ascii="Garamond" w:hAnsi="Garamond" w:cs="Garamond" w:eastAsiaTheme="minorHAnsi"/>
          <w:b/>
          <w:bCs/>
          <w:sz w:val="22"/>
          <w:szCs w:val="22"/>
          <w:lang w:val="en-CA" w:eastAsia="en-US"/>
        </w:rPr>
        <w:t>Leadership and commitment</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6"/>
        <w:gridCol w:w="2972"/>
        <w:gridCol w:w="2784"/>
      </w:tblGrid>
      <w:tr w14:paraId="2349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456" w:type="dxa"/>
            <w:shd w:val="clear" w:color="auto" w:fill="F1F1F1" w:themeFill="background1" w:themeFillShade="F2"/>
          </w:tcPr>
          <w:p w14:paraId="09196841">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Subdomain</w:t>
            </w:r>
          </w:p>
        </w:tc>
        <w:tc>
          <w:tcPr>
            <w:tcW w:w="3456" w:type="dxa"/>
            <w:shd w:val="clear" w:color="auto" w:fill="F1F1F1" w:themeFill="background1" w:themeFillShade="F2"/>
          </w:tcPr>
          <w:p w14:paraId="67E2CD33">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Framework-aligned description</w:t>
            </w:r>
          </w:p>
        </w:tc>
        <w:tc>
          <w:tcPr>
            <w:tcW w:w="3456" w:type="dxa"/>
            <w:shd w:val="clear" w:color="auto" w:fill="F1F1F1" w:themeFill="background1" w:themeFillShade="F2"/>
          </w:tcPr>
          <w:p w14:paraId="00024C06">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Operational coding rule for this review</w:t>
            </w:r>
          </w:p>
        </w:tc>
      </w:tr>
      <w:tr w14:paraId="721E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56AA86B0">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KT and network leaderships</w:t>
            </w:r>
          </w:p>
        </w:tc>
        <w:tc>
          <w:tcPr>
            <w:tcW w:w="3456" w:type="dxa"/>
            <w:vAlign w:val="top"/>
          </w:tcPr>
          <w:p w14:paraId="07F7C81C">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Leadership, stewardship and strategic direction for KT/EIP activities within organizations, networks or evidence ecosystems.</w:t>
            </w:r>
          </w:p>
        </w:tc>
        <w:tc>
          <w:tcPr>
            <w:tcW w:w="3456" w:type="dxa"/>
            <w:vAlign w:val="top"/>
          </w:tcPr>
          <w:p w14:paraId="0439231E">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identifiable leadership roles or organizations providing strategic direction, coordination or stewardship for KT/EIP.</w:t>
            </w:r>
          </w:p>
        </w:tc>
      </w:tr>
      <w:tr w14:paraId="1BB3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4D515CA1">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Champions</w:t>
            </w:r>
          </w:p>
        </w:tc>
        <w:tc>
          <w:tcPr>
            <w:tcW w:w="3456" w:type="dxa"/>
            <w:vAlign w:val="top"/>
          </w:tcPr>
          <w:p w14:paraId="52FE185A">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Individuals or groups who actively advocate for, promote and sustain KT/EIP within institutions or policy systems.</w:t>
            </w:r>
          </w:p>
        </w:tc>
        <w:tc>
          <w:tcPr>
            <w:tcW w:w="3456" w:type="dxa"/>
            <w:vAlign w:val="top"/>
          </w:tcPr>
          <w:p w14:paraId="66F862E7">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when a person or group has an explicit catalytic, advocacy or mobilizing role.</w:t>
            </w:r>
          </w:p>
        </w:tc>
      </w:tr>
      <w:tr w14:paraId="4EC16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1D404E54">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Political interest, support and commitment</w:t>
            </w:r>
          </w:p>
        </w:tc>
        <w:tc>
          <w:tcPr>
            <w:tcW w:w="3456" w:type="dxa"/>
            <w:vAlign w:val="top"/>
          </w:tcPr>
          <w:p w14:paraId="658263CD">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Political or senior institutional support that legitimizes, prioritizes or sustains EIP/KT.</w:t>
            </w:r>
          </w:p>
        </w:tc>
        <w:tc>
          <w:tcPr>
            <w:tcW w:w="3456" w:type="dxa"/>
            <w:vAlign w:val="top"/>
          </w:tcPr>
          <w:p w14:paraId="4A1E3C1F">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explicit endorsement, commitment, prioritization, authority or resource support from political leaders, senior officials or institutional leadership.</w:t>
            </w:r>
          </w:p>
        </w:tc>
      </w:tr>
    </w:tbl>
    <w:p w14:paraId="11CDBE3A">
      <w:pPr>
        <w:pStyle w:val="8"/>
        <w:numPr>
          <w:ilvl w:val="0"/>
          <w:numId w:val="0"/>
        </w:numPr>
        <w:spacing w:after="0" w:line="240" w:lineRule="auto"/>
        <w:ind w:leftChars="0"/>
        <w:jc w:val="both"/>
        <w:rPr>
          <w:rFonts w:hint="default" w:ascii="Garamond" w:hAnsi="Garamond" w:cs="Garamond" w:eastAsiaTheme="minorHAnsi"/>
          <w:b/>
          <w:bCs/>
          <w:sz w:val="22"/>
          <w:szCs w:val="22"/>
          <w:lang w:val="en-CA" w:eastAsia="en-US"/>
        </w:rPr>
      </w:pPr>
    </w:p>
    <w:p w14:paraId="66B17319">
      <w:pPr>
        <w:pStyle w:val="8"/>
        <w:numPr>
          <w:ilvl w:val="0"/>
          <w:numId w:val="1"/>
        </w:numPr>
        <w:spacing w:after="0" w:line="240" w:lineRule="auto"/>
        <w:ind w:left="284" w:hanging="284"/>
        <w:jc w:val="both"/>
        <w:rPr>
          <w:rFonts w:hint="default" w:ascii="Garamond" w:hAnsi="Garamond" w:cs="Garamond" w:eastAsiaTheme="minorHAnsi"/>
          <w:b/>
          <w:bCs/>
          <w:sz w:val="22"/>
          <w:szCs w:val="22"/>
          <w:lang w:val="en-CA" w:eastAsia="en-US"/>
        </w:rPr>
      </w:pPr>
      <w:r>
        <w:rPr>
          <w:rFonts w:hint="default" w:ascii="Garamond" w:hAnsi="Garamond" w:cs="Garamond" w:eastAsiaTheme="minorHAnsi"/>
          <w:b/>
          <w:bCs/>
          <w:sz w:val="22"/>
          <w:szCs w:val="22"/>
          <w:lang w:val="en-CA" w:eastAsia="en-US"/>
        </w:rPr>
        <w:t>Resources</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08"/>
        <w:gridCol w:w="2894"/>
        <w:gridCol w:w="2920"/>
      </w:tblGrid>
      <w:tr w14:paraId="31D5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456" w:type="dxa"/>
            <w:shd w:val="clear" w:color="auto" w:fill="F1F1F1" w:themeFill="background1" w:themeFillShade="F2"/>
          </w:tcPr>
          <w:p w14:paraId="5B87E769">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Subdomain</w:t>
            </w:r>
          </w:p>
        </w:tc>
        <w:tc>
          <w:tcPr>
            <w:tcW w:w="3456" w:type="dxa"/>
            <w:shd w:val="clear" w:color="auto" w:fill="F1F1F1" w:themeFill="background1" w:themeFillShade="F2"/>
          </w:tcPr>
          <w:p w14:paraId="314A0243">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Framework-aligned description</w:t>
            </w:r>
          </w:p>
        </w:tc>
        <w:tc>
          <w:tcPr>
            <w:tcW w:w="3456" w:type="dxa"/>
            <w:shd w:val="clear" w:color="auto" w:fill="F1F1F1" w:themeFill="background1" w:themeFillShade="F2"/>
          </w:tcPr>
          <w:p w14:paraId="1C62184B">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Operational coding rule for this review</w:t>
            </w:r>
          </w:p>
        </w:tc>
      </w:tr>
      <w:tr w14:paraId="6835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76870F3F">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Organizational capacity and human resources</w:t>
            </w:r>
          </w:p>
        </w:tc>
        <w:tc>
          <w:tcPr>
            <w:tcW w:w="3456" w:type="dxa"/>
            <w:vAlign w:val="top"/>
          </w:tcPr>
          <w:p w14:paraId="6A8F72A3">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Organizational capabilities and dedicated human resources needed to undertake and sustain EIP/KT functions.</w:t>
            </w:r>
          </w:p>
        </w:tc>
        <w:tc>
          <w:tcPr>
            <w:tcW w:w="3456" w:type="dxa"/>
            <w:vAlign w:val="top"/>
          </w:tcPr>
          <w:p w14:paraId="30ABDDAA">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dedicated staff, analysts, researchers, knowledge brokers, technical teams, expertise or organizational capability specifically supporting EIP/KT.</w:t>
            </w:r>
          </w:p>
        </w:tc>
      </w:tr>
      <w:tr w14:paraId="752E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309F37B8">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Capacity building and maintenance in the ecosystem</w:t>
            </w:r>
          </w:p>
        </w:tc>
        <w:tc>
          <w:tcPr>
            <w:tcW w:w="3456" w:type="dxa"/>
            <w:vAlign w:val="top"/>
          </w:tcPr>
          <w:p w14:paraId="6328F7CF">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Development and maintenance of knowledge, skills and competencies across the broader evidence ecosystem.</w:t>
            </w:r>
          </w:p>
        </w:tc>
        <w:tc>
          <w:tcPr>
            <w:tcW w:w="3456" w:type="dxa"/>
            <w:vAlign w:val="top"/>
          </w:tcPr>
          <w:p w14:paraId="08541669">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training, mentoring, professional development, methodological support or institutional capacity-strengthening aimed at evidence generation, translation or use.</w:t>
            </w:r>
          </w:p>
        </w:tc>
      </w:tr>
      <w:tr w14:paraId="6456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197E6851">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System of evidence supply</w:t>
            </w:r>
          </w:p>
        </w:tc>
        <w:tc>
          <w:tcPr>
            <w:tcW w:w="3456" w:type="dxa"/>
            <w:vAlign w:val="top"/>
          </w:tcPr>
          <w:p w14:paraId="327543CC">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Institutional arrangements for producing, commissioning, synthesizing, accessing or supplying evidence to policy-makers.</w:t>
            </w:r>
          </w:p>
        </w:tc>
        <w:tc>
          <w:tcPr>
            <w:tcW w:w="3456" w:type="dxa"/>
            <w:vAlign w:val="top"/>
          </w:tcPr>
          <w:p w14:paraId="48D0BFCC">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evidence-synthesis systems, research commissioning arrangements, advisory research systems, evidence services or structured evidence-production mechanisms.</w:t>
            </w:r>
          </w:p>
        </w:tc>
      </w:tr>
      <w:tr w14:paraId="2539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2B0CAB21">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Infrastructure</w:t>
            </w:r>
          </w:p>
        </w:tc>
        <w:tc>
          <w:tcPr>
            <w:tcW w:w="3456" w:type="dxa"/>
            <w:vAlign w:val="top"/>
          </w:tcPr>
          <w:p w14:paraId="1027AB74">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Physical, digital, technical and information infrastructure that enables evidence to be generated, stored, accessed, exchanged and used.</w:t>
            </w:r>
          </w:p>
        </w:tc>
        <w:tc>
          <w:tcPr>
            <w:tcW w:w="3456" w:type="dxa"/>
            <w:vAlign w:val="top"/>
          </w:tcPr>
          <w:p w14:paraId="0DEB6364">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databases, data systems, evidence platforms, digital repositories, information systems or other enabling infrastructure.</w:t>
            </w:r>
          </w:p>
        </w:tc>
      </w:tr>
      <w:tr w14:paraId="0F01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75317C5D">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Financial resources: Funding stability</w:t>
            </w:r>
          </w:p>
        </w:tc>
        <w:tc>
          <w:tcPr>
            <w:tcW w:w="3456" w:type="dxa"/>
            <w:vAlign w:val="top"/>
          </w:tcPr>
          <w:p w14:paraId="65BE4B0C">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Stable and sustained financial resources that support KT/EIP arrangements and their continuity.</w:t>
            </w:r>
          </w:p>
        </w:tc>
        <w:tc>
          <w:tcPr>
            <w:tcW w:w="3456" w:type="dxa"/>
            <w:vAlign w:val="top"/>
          </w:tcPr>
          <w:p w14:paraId="2A399569">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dedicated, predictable or institutionalized funding for EIP/KT, evidence-support infrastructure, personnel, capacity or institutional arrangements. General programme expenditure is insufficient.</w:t>
            </w:r>
          </w:p>
        </w:tc>
      </w:tr>
    </w:tbl>
    <w:p w14:paraId="5169D965">
      <w:pPr>
        <w:pStyle w:val="8"/>
        <w:numPr>
          <w:ilvl w:val="0"/>
          <w:numId w:val="0"/>
        </w:numPr>
        <w:spacing w:after="0" w:line="240" w:lineRule="auto"/>
        <w:contextualSpacing/>
        <w:jc w:val="both"/>
        <w:rPr>
          <w:rFonts w:hint="default" w:ascii="Garamond" w:hAnsi="Garamond" w:cs="Garamond" w:eastAsiaTheme="minorHAnsi"/>
          <w:b w:val="0"/>
          <w:bCs w:val="0"/>
          <w:sz w:val="22"/>
          <w:szCs w:val="22"/>
          <w:lang w:val="en-CA"/>
        </w:rPr>
      </w:pPr>
    </w:p>
    <w:p w14:paraId="2DE57A56">
      <w:pPr>
        <w:pStyle w:val="8"/>
        <w:numPr>
          <w:ilvl w:val="0"/>
          <w:numId w:val="1"/>
        </w:numPr>
        <w:spacing w:after="0" w:line="240" w:lineRule="auto"/>
        <w:ind w:left="284" w:hanging="284"/>
        <w:jc w:val="both"/>
        <w:rPr>
          <w:rFonts w:hint="default" w:ascii="Garamond" w:hAnsi="Garamond" w:cs="Garamond" w:eastAsiaTheme="minorHAnsi"/>
          <w:b/>
          <w:bCs/>
          <w:sz w:val="22"/>
          <w:szCs w:val="22"/>
          <w:lang w:val="en-CA" w:eastAsia="en-US"/>
        </w:rPr>
      </w:pPr>
      <w:r>
        <w:rPr>
          <w:rFonts w:hint="default" w:ascii="Garamond" w:hAnsi="Garamond" w:cs="Garamond" w:eastAsiaTheme="minorHAnsi"/>
          <w:b/>
          <w:bCs/>
          <w:sz w:val="22"/>
          <w:szCs w:val="22"/>
          <w:lang w:val="en-CA" w:eastAsia="en-US"/>
        </w:rPr>
        <w:t>Culture</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5"/>
        <w:gridCol w:w="2869"/>
        <w:gridCol w:w="2978"/>
      </w:tblGrid>
      <w:tr w14:paraId="25C0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456" w:type="dxa"/>
            <w:shd w:val="clear" w:color="auto" w:fill="F1F1F1" w:themeFill="background1" w:themeFillShade="F2"/>
          </w:tcPr>
          <w:p w14:paraId="3ED22956">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Subdomain</w:t>
            </w:r>
          </w:p>
        </w:tc>
        <w:tc>
          <w:tcPr>
            <w:tcW w:w="3456" w:type="dxa"/>
            <w:shd w:val="clear" w:color="auto" w:fill="F1F1F1" w:themeFill="background1" w:themeFillShade="F2"/>
          </w:tcPr>
          <w:p w14:paraId="39876737">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Framework-aligned description</w:t>
            </w:r>
          </w:p>
        </w:tc>
        <w:tc>
          <w:tcPr>
            <w:tcW w:w="3456" w:type="dxa"/>
            <w:shd w:val="clear" w:color="auto" w:fill="F1F1F1" w:themeFill="background1" w:themeFillShade="F2"/>
          </w:tcPr>
          <w:p w14:paraId="14D099C4">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b/>
              </w:rPr>
            </w:pPr>
            <w:r>
              <w:rPr>
                <w:rFonts w:hint="default" w:ascii="Garamond" w:hAnsi="Garamond" w:cs="Garamond"/>
                <w:b/>
              </w:rPr>
              <w:t>Operational coding rule for this review</w:t>
            </w:r>
          </w:p>
        </w:tc>
      </w:tr>
      <w:tr w14:paraId="33646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4FDCB387">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Organizational culture and climate</w:t>
            </w:r>
          </w:p>
        </w:tc>
        <w:tc>
          <w:tcPr>
            <w:tcW w:w="3456" w:type="dxa"/>
            <w:vAlign w:val="top"/>
          </w:tcPr>
          <w:p w14:paraId="5BD1C6E7">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The organizational environment and shared climate that supports or constrains evidence use, learning, collaboration and institutional change.</w:t>
            </w:r>
          </w:p>
        </w:tc>
        <w:tc>
          <w:tcPr>
            <w:tcW w:w="3456" w:type="dxa"/>
            <w:vAlign w:val="top"/>
          </w:tcPr>
          <w:p w14:paraId="7EF03D36">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explicit descriptions of an organizational culture/climate that facilitates or inhibits evidence use, learning, innovation, transparency or collaboration.</w:t>
            </w:r>
          </w:p>
        </w:tc>
      </w:tr>
      <w:tr w14:paraId="6AB2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664932D4">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Beliefs, values and identity</w:t>
            </w:r>
          </w:p>
        </w:tc>
        <w:tc>
          <w:tcPr>
            <w:tcW w:w="3456" w:type="dxa"/>
            <w:vAlign w:val="top"/>
          </w:tcPr>
          <w:p w14:paraId="3FEA6145">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Shared beliefs, values, attitudes and identities that shape the legitimacy and acceptability of evidence use.</w:t>
            </w:r>
          </w:p>
        </w:tc>
        <w:tc>
          <w:tcPr>
            <w:tcW w:w="3456" w:type="dxa"/>
            <w:vAlign w:val="top"/>
          </w:tcPr>
          <w:p w14:paraId="437E0AD8">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when evidence use is linked to institutional/professional values, beliefs, attitudes, identity or perceptions of legitimacy.</w:t>
            </w:r>
          </w:p>
        </w:tc>
      </w:tr>
      <w:tr w14:paraId="56328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49BA21F5">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Interests and norms</w:t>
            </w:r>
          </w:p>
        </w:tc>
        <w:tc>
          <w:tcPr>
            <w:tcW w:w="3456" w:type="dxa"/>
            <w:vAlign w:val="top"/>
          </w:tcPr>
          <w:p w14:paraId="1DCCAD41">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Formal or informal interests, expectations and social/professional norms that influence evidence use and institutional behaviour.</w:t>
            </w:r>
          </w:p>
        </w:tc>
        <w:tc>
          <w:tcPr>
            <w:tcW w:w="3456" w:type="dxa"/>
            <w:vAlign w:val="top"/>
          </w:tcPr>
          <w:p w14:paraId="7527E75B">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institutional/professional norms, expectations, conventions or interests that shape whether and how evidence is considered or used.</w:t>
            </w:r>
          </w:p>
        </w:tc>
      </w:tr>
      <w:tr w14:paraId="6443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56" w:type="dxa"/>
            <w:vAlign w:val="top"/>
          </w:tcPr>
          <w:p w14:paraId="48E512AC">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Incentives and motivation</w:t>
            </w:r>
          </w:p>
        </w:tc>
        <w:tc>
          <w:tcPr>
            <w:tcW w:w="3456" w:type="dxa"/>
            <w:vAlign w:val="top"/>
          </w:tcPr>
          <w:p w14:paraId="41D883A1">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Formal or informal incentives and motivational factors that encourage or discourage participation in EIP/KT.</w:t>
            </w:r>
          </w:p>
        </w:tc>
        <w:tc>
          <w:tcPr>
            <w:tcW w:w="3456" w:type="dxa"/>
            <w:vAlign w:val="top"/>
          </w:tcPr>
          <w:p w14:paraId="5C40490F">
            <w:pPr>
              <w:keepNext w:val="0"/>
              <w:keepLines w:val="0"/>
              <w:pageBreakBefore w:val="0"/>
              <w:widowControl/>
              <w:kinsoku/>
              <w:wordWrap/>
              <w:overflowPunct/>
              <w:topLinePunct w:val="0"/>
              <w:autoSpaceDE/>
              <w:autoSpaceDN/>
              <w:bidi w:val="0"/>
              <w:adjustRightInd/>
              <w:snapToGrid/>
              <w:spacing w:before="157" w:beforeLines="50" w:after="0" w:line="240" w:lineRule="auto"/>
              <w:textAlignment w:val="auto"/>
              <w:rPr>
                <w:rFonts w:hint="default" w:ascii="Garamond" w:hAnsi="Garamond" w:cs="Garamond"/>
              </w:rPr>
            </w:pPr>
            <w:r>
              <w:rPr>
                <w:rFonts w:hint="default" w:ascii="Garamond" w:hAnsi="Garamond" w:cs="Garamond"/>
              </w:rPr>
              <w:t>Code rewards, recognition, performance expectations, career incentives or other motivational mechanisms linked to evidence use or KT.</w:t>
            </w:r>
          </w:p>
        </w:tc>
      </w:tr>
    </w:tbl>
    <w:p w14:paraId="7AF77737">
      <w:pPr>
        <w:pStyle w:val="8"/>
        <w:numPr>
          <w:ilvl w:val="0"/>
          <w:numId w:val="0"/>
        </w:numPr>
        <w:spacing w:after="0" w:line="240" w:lineRule="auto"/>
        <w:ind w:leftChars="0"/>
        <w:jc w:val="both"/>
        <w:rPr>
          <w:rFonts w:hint="default" w:ascii="Garamond" w:hAnsi="Garamond" w:cs="Garamond" w:eastAsiaTheme="minorHAnsi"/>
          <w:b/>
          <w:bCs/>
          <w:sz w:val="22"/>
          <w:szCs w:val="22"/>
          <w:lang w:val="en-CA" w:eastAsia="en-US"/>
        </w:rPr>
      </w:pPr>
    </w:p>
    <w:p w14:paraId="42FA9058">
      <w:pPr>
        <w:keepNext w:val="0"/>
        <w:keepLines w:val="0"/>
        <w:pageBreakBefore w:val="0"/>
        <w:widowControl/>
        <w:numPr>
          <w:ilvl w:val="0"/>
          <w:numId w:val="2"/>
        </w:numPr>
        <w:kinsoku/>
        <w:wordWrap/>
        <w:overflowPunct/>
        <w:topLinePunct w:val="0"/>
        <w:autoSpaceDE/>
        <w:autoSpaceDN/>
        <w:bidi w:val="0"/>
        <w:adjustRightInd/>
        <w:snapToGrid/>
        <w:spacing w:after="0" w:line="240" w:lineRule="auto"/>
        <w:textAlignment w:val="auto"/>
        <w:outlineLvl w:val="1"/>
        <w:rPr>
          <w:rFonts w:hint="default" w:ascii="Garamond" w:hAnsi="Garamond" w:cs="Garamond" w:eastAsiaTheme="minorHAnsi"/>
          <w:b/>
          <w:bCs/>
          <w:sz w:val="22"/>
          <w:szCs w:val="22"/>
          <w:lang w:val="en-CA"/>
        </w:rPr>
      </w:pPr>
      <w:r>
        <w:rPr>
          <w:rFonts w:hint="default" w:ascii="Garamond" w:hAnsi="Garamond" w:cs="Garamond" w:eastAsiaTheme="minorHAnsi"/>
          <w:b/>
          <w:bCs/>
          <w:sz w:val="22"/>
          <w:szCs w:val="22"/>
          <w:lang w:val="en-CA"/>
        </w:rPr>
        <w:t>SDG coding rules</w:t>
      </w:r>
    </w:p>
    <w:p w14:paraId="13CD8D4B">
      <w:pPr>
        <w:pStyle w:val="8"/>
        <w:numPr>
          <w:ilvl w:val="0"/>
          <w:numId w:val="1"/>
        </w:numPr>
        <w:spacing w:after="0" w:line="240" w:lineRule="auto"/>
        <w:ind w:left="284" w:hanging="284"/>
        <w:jc w:val="both"/>
        <w:rPr>
          <w:rFonts w:hint="default" w:ascii="Garamond" w:hAnsi="Garamond" w:cs="Garamond" w:eastAsiaTheme="minorHAnsi"/>
          <w:b/>
          <w:bCs/>
          <w:sz w:val="22"/>
          <w:szCs w:val="22"/>
          <w:lang w:val="en-CA" w:eastAsia="en-US"/>
        </w:rPr>
      </w:pPr>
      <w:r>
        <w:rPr>
          <w:rFonts w:hint="default" w:ascii="Garamond" w:hAnsi="Garamond" w:cs="Garamond" w:eastAsiaTheme="minorHAnsi"/>
          <w:b/>
          <w:bCs/>
          <w:sz w:val="22"/>
          <w:szCs w:val="22"/>
          <w:lang w:val="en-CA" w:eastAsia="en-US"/>
        </w:rPr>
        <w:t xml:space="preserve">Primary decision basis: </w:t>
      </w:r>
      <w:r>
        <w:rPr>
          <w:rFonts w:hint="default" w:ascii="Garamond" w:hAnsi="Garamond" w:cs="Garamond" w:eastAsiaTheme="minorHAnsi"/>
          <w:b w:val="0"/>
          <w:bCs w:val="0"/>
          <w:sz w:val="22"/>
          <w:szCs w:val="22"/>
          <w:lang w:val="en-CA" w:eastAsia="en-US"/>
        </w:rPr>
        <w:t>Assignment was based on the record's substantive research or policy topic, stated objective, and policy area addressed. The identity of the issuing institution was not used as a basis for assignment. Do not assign an SDG solely because the issuing institution is commonly associated with that SDG.</w:t>
      </w:r>
    </w:p>
    <w:p w14:paraId="4594997E">
      <w:pPr>
        <w:pStyle w:val="8"/>
        <w:numPr>
          <w:ilvl w:val="0"/>
          <w:numId w:val="1"/>
        </w:numPr>
        <w:spacing w:after="0" w:line="240" w:lineRule="auto"/>
        <w:ind w:left="284" w:hanging="284"/>
        <w:jc w:val="both"/>
        <w:rPr>
          <w:rFonts w:hint="default" w:ascii="Garamond" w:hAnsi="Garamond" w:cs="Garamond" w:eastAsiaTheme="minorHAnsi"/>
          <w:b/>
          <w:bCs/>
          <w:sz w:val="22"/>
          <w:szCs w:val="22"/>
          <w:lang w:val="en-CA" w:eastAsia="en-US"/>
        </w:rPr>
      </w:pPr>
      <w:r>
        <w:rPr>
          <w:rFonts w:hint="default" w:ascii="Garamond" w:hAnsi="Garamond" w:cs="Garamond" w:eastAsiaTheme="minorHAnsi"/>
          <w:b/>
          <w:bCs/>
          <w:sz w:val="22"/>
          <w:szCs w:val="22"/>
          <w:lang w:val="en-CA" w:eastAsia="en-US"/>
        </w:rPr>
        <w:t xml:space="preserve">Multiple SDGs: </w:t>
      </w:r>
      <w:r>
        <w:rPr>
          <w:rFonts w:hint="default" w:ascii="Garamond" w:hAnsi="Garamond" w:cs="Garamond" w:eastAsiaTheme="minorHAnsi"/>
          <w:b w:val="0"/>
          <w:bCs w:val="0"/>
          <w:sz w:val="22"/>
          <w:szCs w:val="22"/>
          <w:lang w:val="en-CA" w:eastAsia="en-US"/>
        </w:rPr>
        <w:t>Multiple SDGs were permitted when more than one substantive SDG-related sector or objective was explicitly addressed. Potential indirect relevance alone was insufficient.</w:t>
      </w:r>
    </w:p>
    <w:p w14:paraId="5D5BC3B3">
      <w:pPr>
        <w:pStyle w:val="8"/>
        <w:numPr>
          <w:ilvl w:val="0"/>
          <w:numId w:val="0"/>
        </w:numPr>
        <w:spacing w:after="0" w:line="240" w:lineRule="auto"/>
        <w:ind w:leftChars="0"/>
        <w:jc w:val="both"/>
        <w:rPr>
          <w:rFonts w:hint="default" w:ascii="Garamond" w:hAnsi="Garamond" w:cs="Garamond" w:eastAsiaTheme="minorHAnsi"/>
          <w:b/>
          <w:bCs/>
          <w:sz w:val="22"/>
          <w:szCs w:val="22"/>
          <w:lang w:val="en-CA" w:eastAsia="en-US"/>
        </w:rPr>
      </w:pPr>
    </w:p>
    <w:p w14:paraId="3941E1FF">
      <w:pPr>
        <w:keepNext w:val="0"/>
        <w:keepLines w:val="0"/>
        <w:pageBreakBefore w:val="0"/>
        <w:widowControl/>
        <w:numPr>
          <w:ilvl w:val="0"/>
          <w:numId w:val="2"/>
        </w:numPr>
        <w:kinsoku/>
        <w:wordWrap/>
        <w:overflowPunct/>
        <w:topLinePunct w:val="0"/>
        <w:autoSpaceDE/>
        <w:autoSpaceDN/>
        <w:bidi w:val="0"/>
        <w:adjustRightInd/>
        <w:snapToGrid/>
        <w:spacing w:after="0" w:line="240" w:lineRule="auto"/>
        <w:textAlignment w:val="auto"/>
        <w:outlineLvl w:val="1"/>
        <w:rPr>
          <w:rFonts w:hint="default" w:ascii="Garamond" w:hAnsi="Garamond" w:cs="Garamond" w:eastAsiaTheme="minorHAnsi"/>
          <w:b/>
          <w:bCs/>
          <w:sz w:val="22"/>
          <w:szCs w:val="22"/>
          <w:lang w:val="en-CA"/>
        </w:rPr>
      </w:pPr>
      <w:r>
        <w:rPr>
          <w:rFonts w:hint="default" w:ascii="Garamond" w:hAnsi="Garamond" w:cs="Garamond" w:eastAsiaTheme="minorHAnsi"/>
          <w:b/>
          <w:bCs/>
          <w:sz w:val="22"/>
          <w:szCs w:val="22"/>
          <w:lang w:val="en-CA"/>
        </w:rPr>
        <w:t>Coding quality assurance</w:t>
      </w:r>
    </w:p>
    <w:p w14:paraId="26DA7A0B">
      <w:pPr>
        <w:pStyle w:val="8"/>
        <w:numPr>
          <w:ilvl w:val="0"/>
          <w:numId w:val="1"/>
        </w:numPr>
        <w:spacing w:after="0" w:line="240" w:lineRule="auto"/>
        <w:ind w:left="284" w:hanging="284"/>
        <w:jc w:val="both"/>
        <w:rPr>
          <w:rFonts w:hint="default" w:ascii="Garamond" w:hAnsi="Garamond" w:cs="Garamond" w:eastAsiaTheme="minorHAnsi"/>
          <w:b/>
          <w:bCs/>
          <w:sz w:val="22"/>
          <w:szCs w:val="22"/>
          <w:lang w:val="en-CA" w:eastAsia="en-US"/>
        </w:rPr>
      </w:pPr>
      <w:r>
        <w:rPr>
          <w:rFonts w:hint="default" w:ascii="Garamond" w:hAnsi="Garamond" w:cs="Garamond" w:eastAsiaTheme="minorHAnsi"/>
          <w:b/>
          <w:bCs/>
          <w:sz w:val="22"/>
          <w:szCs w:val="22"/>
          <w:lang w:val="en-CA" w:eastAsia="en-US"/>
        </w:rPr>
        <w:t>Before full coding, two reviewers independently piloted the extraction and coding framework on 20 records. Differences in interpretation were discussed and the coding rules were refined. During full coding, disagreements regarding WHO domains, subdomains, SDGs or present/recommendation classification were resolved through discussion and, when necessary, adjudication by a third reviewer.</w:t>
      </w:r>
    </w:p>
    <w:p w14:paraId="60B5BDD8">
      <w:pPr>
        <w:pStyle w:val="8"/>
        <w:numPr>
          <w:ilvl w:val="0"/>
          <w:numId w:val="0"/>
        </w:numPr>
        <w:spacing w:after="0" w:line="240" w:lineRule="auto"/>
        <w:ind w:leftChars="0"/>
        <w:jc w:val="both"/>
        <w:rPr>
          <w:rFonts w:hint="default" w:ascii="Garamond" w:hAnsi="Garamond" w:cs="Garamond" w:eastAsiaTheme="minorHAnsi"/>
          <w:b/>
          <w:bCs/>
          <w:sz w:val="22"/>
          <w:szCs w:val="22"/>
          <w:lang w:val="en-CA" w:eastAsia="en-US"/>
        </w:rPr>
      </w:pPr>
    </w:p>
    <w:p w14:paraId="6F5DEBD6">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1"/>
        <w:rPr>
          <w:rFonts w:hint="default" w:ascii="Garamond" w:hAnsi="Garamond" w:cs="Garamond" w:eastAsiaTheme="minorHAnsi"/>
          <w:b/>
          <w:bCs/>
          <w:sz w:val="22"/>
          <w:szCs w:val="22"/>
          <w:lang w:val="en-CA"/>
        </w:rPr>
      </w:pPr>
      <w:r>
        <w:rPr>
          <w:rFonts w:hint="default" w:ascii="Garamond" w:hAnsi="Garamond" w:cs="Garamond" w:eastAsiaTheme="minorHAnsi"/>
          <w:b/>
          <w:bCs/>
          <w:sz w:val="22"/>
          <w:szCs w:val="22"/>
          <w:lang w:val="en-CA"/>
        </w:rPr>
        <w:t>Reference</w:t>
      </w:r>
    </w:p>
    <w:p w14:paraId="2237A55C">
      <w:pPr>
        <w:pStyle w:val="8"/>
        <w:numPr>
          <w:ilvl w:val="0"/>
          <w:numId w:val="3"/>
        </w:numPr>
        <w:autoSpaceDE w:val="0"/>
        <w:ind w:left="360" w:hanging="300" w:hangingChars="150"/>
        <w:jc w:val="both"/>
        <w:rPr>
          <w:rFonts w:hint="default" w:ascii="Garamond" w:hAnsi="Garamond" w:cs="Garamond"/>
          <w:sz w:val="20"/>
          <w:szCs w:val="20"/>
        </w:rPr>
      </w:pPr>
      <w:bookmarkStart w:id="0" w:name="_Ref233872881"/>
      <w:r>
        <w:rPr>
          <w:rFonts w:hint="default" w:ascii="Garamond" w:hAnsi="Garamond" w:cs="Garamond"/>
          <w:sz w:val="20"/>
          <w:szCs w:val="20"/>
        </w:rPr>
        <w:t>Kuchenmüller T, Boeira L, Oliver S, Moat K, El-Jardali F, Barreto J, et al. Domains and processes for institutionalizing evidence-informed health policy-making: a critical interpretive synthesis. Health Research Policy and Systems. 2022;20:27. doi:10.1186/s12961-022-00820-7.</w:t>
      </w:r>
      <w:bookmarkEnd w:id="0"/>
    </w:p>
    <w:p w14:paraId="64F1C813">
      <w:pPr>
        <w:pStyle w:val="8"/>
        <w:numPr>
          <w:ilvl w:val="0"/>
          <w:numId w:val="3"/>
        </w:numPr>
        <w:autoSpaceDE w:val="0"/>
        <w:ind w:left="360" w:hanging="300" w:hangingChars="150"/>
        <w:jc w:val="both"/>
        <w:rPr>
          <w:rFonts w:hint="default" w:ascii="Garamond" w:hAnsi="Garamond" w:cs="Garamond"/>
          <w:sz w:val="20"/>
          <w:szCs w:val="20"/>
        </w:rPr>
      </w:pPr>
      <w:bookmarkStart w:id="1" w:name="_Ref17234"/>
      <w:r>
        <w:rPr>
          <w:rFonts w:hint="default" w:ascii="Garamond" w:hAnsi="Garamond" w:cs="Garamond"/>
          <w:sz w:val="20"/>
          <w:szCs w:val="20"/>
        </w:rPr>
        <w:t xml:space="preserve">World Health Organization. Supporting the routine use of evidence during the policy-making process: a WHO checklist. Geneva: World Health Organization; 2023. </w:t>
      </w:r>
      <w:r>
        <w:rPr>
          <w:rFonts w:hint="default" w:ascii="Garamond" w:hAnsi="Garamond" w:cs="Garamond"/>
          <w:sz w:val="20"/>
          <w:szCs w:val="20"/>
        </w:rPr>
        <w:fldChar w:fldCharType="begin"/>
      </w:r>
      <w:r>
        <w:rPr>
          <w:rFonts w:hint="default" w:ascii="Garamond" w:hAnsi="Garamond" w:cs="Garamond"/>
          <w:sz w:val="20"/>
          <w:szCs w:val="20"/>
        </w:rPr>
        <w:instrText xml:space="preserve">HYPERLINK "https://www.who.int/publications/i/item/9789240056145. Accessed 10 Jun 2025"</w:instrText>
      </w:r>
      <w:r>
        <w:rPr>
          <w:rFonts w:hint="default" w:ascii="Garamond" w:hAnsi="Garamond" w:cs="Garamond"/>
          <w:sz w:val="20"/>
          <w:szCs w:val="20"/>
        </w:rPr>
        <w:fldChar w:fldCharType="separate"/>
      </w:r>
      <w:r>
        <w:rPr>
          <w:rFonts w:hint="default" w:ascii="Garamond" w:hAnsi="Garamond" w:cs="Garamond"/>
          <w:sz w:val="20"/>
          <w:szCs w:val="20"/>
        </w:rPr>
        <w:t>https://www.who.int/publications/i/item/9789240056145. Accessed 10 Jun 2025</w:t>
      </w:r>
      <w:r>
        <w:rPr>
          <w:rFonts w:hint="default" w:ascii="Garamond" w:hAnsi="Garamond" w:cs="Garamond"/>
          <w:sz w:val="20"/>
          <w:szCs w:val="20"/>
        </w:rPr>
        <w:fldChar w:fldCharType="end"/>
      </w:r>
      <w:r>
        <w:rPr>
          <w:rFonts w:hint="default" w:ascii="Garamond" w:hAnsi="Garamond" w:cs="Garamond"/>
          <w:sz w:val="20"/>
          <w:szCs w:val="20"/>
        </w:rPr>
        <w:t>.</w:t>
      </w:r>
      <w:bookmarkEnd w:id="1"/>
    </w:p>
    <w:p w14:paraId="0FD8D852">
      <w:pPr>
        <w:pStyle w:val="8"/>
        <w:numPr>
          <w:ilvl w:val="0"/>
          <w:numId w:val="0"/>
        </w:numPr>
        <w:spacing w:after="0" w:line="240" w:lineRule="auto"/>
        <w:ind w:leftChars="0"/>
        <w:jc w:val="both"/>
        <w:rPr>
          <w:rFonts w:ascii="Garamond" w:hAnsi="Garamond" w:eastAsiaTheme="minorHAnsi"/>
          <w:b/>
          <w:bCs/>
          <w:sz w:val="22"/>
          <w:szCs w:val="22"/>
          <w:lang w:val="en-CA" w:eastAsia="en-US"/>
        </w:rPr>
      </w:pPr>
    </w:p>
    <w:p w14:paraId="518C8A49">
      <w:pPr>
        <w:pStyle w:val="8"/>
        <w:numPr>
          <w:ilvl w:val="0"/>
          <w:numId w:val="0"/>
        </w:numPr>
        <w:spacing w:after="0" w:line="240" w:lineRule="auto"/>
        <w:ind w:leftChars="0"/>
        <w:jc w:val="both"/>
        <w:rPr>
          <w:rFonts w:ascii="Garamond" w:hAnsi="Garamond" w:eastAsiaTheme="minorHAnsi"/>
          <w:b w:val="0"/>
          <w:bCs w:val="0"/>
          <w:sz w:val="22"/>
          <w:szCs w:val="22"/>
          <w:lang w:val="en-CA"/>
        </w:rPr>
      </w:pPr>
    </w:p>
    <w:p w14:paraId="26C0CDD5">
      <w:pPr>
        <w:spacing w:after="0" w:line="240" w:lineRule="auto"/>
        <w:jc w:val="both"/>
        <w:rPr>
          <w:rFonts w:ascii="Garamond" w:hAnsi="Garamond" w:eastAsiaTheme="minorHAnsi"/>
          <w:sz w:val="24"/>
          <w:szCs w:val="24"/>
          <w:lang w:val="en-CA"/>
        </w:rPr>
      </w:pPr>
    </w:p>
    <w:p w14:paraId="0D612620">
      <w:pPr>
        <w:numPr>
          <w:ilvl w:val="0"/>
          <w:numId w:val="0"/>
        </w:numPr>
        <w:ind w:leftChars="0"/>
        <w:rPr>
          <w:rFonts w:hint="default"/>
        </w:rPr>
      </w:pPr>
    </w:p>
    <w:p w14:paraId="7F29FD29">
      <w:pPr>
        <w:numPr>
          <w:ilvl w:val="0"/>
          <w:numId w:val="0"/>
        </w:numPr>
        <w:rPr>
          <w:rFonts w:hint="default"/>
        </w:rPr>
      </w:pPr>
    </w:p>
    <w:p w14:paraId="66E899EB">
      <w:pPr>
        <w:keepNext w:val="0"/>
        <w:keepLines w:val="0"/>
        <w:pageBreakBefore w:val="0"/>
        <w:widowControl/>
        <w:kinsoku/>
        <w:wordWrap/>
        <w:overflowPunct/>
        <w:topLinePunct w:val="0"/>
        <w:autoSpaceDE/>
        <w:autoSpaceDN/>
        <w:bidi w:val="0"/>
        <w:adjustRightInd/>
        <w:snapToGrid/>
        <w:spacing w:after="0" w:line="480" w:lineRule="auto"/>
        <w:jc w:val="center"/>
        <w:textAlignment w:val="auto"/>
        <w:rPr>
          <w:rFonts w:hint="default" w:ascii="Times New Roman" w:hAnsi="Times New Roman" w:cs="Times New Roman"/>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Cambria"/>
    <w:panose1 w:val="00000000000000000000"/>
    <w:charset w:val="00"/>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Calibri Light">
    <w:panose1 w:val="020F0302020204030204"/>
    <w:charset w:val="00"/>
    <w:family w:val="auto"/>
    <w:pitch w:val="default"/>
    <w:sig w:usb0="E4002EFF" w:usb1="C200247B" w:usb2="00000009" w:usb3="00000000" w:csb0="200001FF" w:csb1="00000000"/>
  </w:font>
  <w:font w:name="Garamond">
    <w:panose1 w:val="02020404030301010803"/>
    <w:charset w:val="00"/>
    <w:family w:val="roman"/>
    <w:pitch w:val="default"/>
    <w:sig w:usb0="00000287" w:usb1="00000000" w:usb2="00000000" w:usb3="00000000" w:csb0="0000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9876E0"/>
    <w:multiLevelType w:val="multilevel"/>
    <w:tmpl w:val="A39876E0"/>
    <w:lvl w:ilvl="0" w:tentative="0">
      <w:start w:val="1"/>
      <w:numFmt w:val="decimal"/>
      <w:suff w:val="nothing"/>
      <w:lvlText w:val="[%1] "/>
      <w:legacy w:legacy="1" w:legacySpace="0" w:legacyIndent="0"/>
      <w:lvlJc w:val="left"/>
      <w:pPr>
        <w:ind w:left="420" w:firstLine="0"/>
      </w:pPr>
      <w:rPr>
        <w:rFonts w:hint="default" w:ascii="Garamond" w:hAnsi="Garamond" w:cs="Garamond"/>
        <w:b w:val="0"/>
        <w:bCs w:val="0"/>
        <w:sz w:val="20"/>
        <w:szCs w:val="20"/>
      </w:rPr>
    </w:lvl>
    <w:lvl w:ilvl="1" w:tentative="0">
      <w:start w:val="1"/>
      <w:numFmt w:val="lowerLetter"/>
      <w:lvlText w:val="%2)"/>
      <w:legacy w:legacy="1" w:legacySpace="0" w:legacyIndent="440"/>
      <w:lvlJc w:val="left"/>
      <w:pPr>
        <w:ind w:left="880" w:hanging="440"/>
      </w:pPr>
    </w:lvl>
    <w:lvl w:ilvl="2" w:tentative="0">
      <w:start w:val="1"/>
      <w:numFmt w:val="lowerRoman"/>
      <w:lvlText w:val="%3."/>
      <w:legacy w:legacy="1" w:legacySpace="0" w:legacyIndent="440"/>
      <w:lvlJc w:val="right"/>
      <w:pPr>
        <w:ind w:left="1320" w:hanging="440"/>
      </w:pPr>
    </w:lvl>
    <w:lvl w:ilvl="3" w:tentative="0">
      <w:start w:val="1"/>
      <w:numFmt w:val="decimal"/>
      <w:lvlText w:val="%4."/>
      <w:legacy w:legacy="1" w:legacySpace="0" w:legacyIndent="440"/>
      <w:lvlJc w:val="left"/>
      <w:pPr>
        <w:ind w:left="1760" w:hanging="440"/>
      </w:pPr>
    </w:lvl>
    <w:lvl w:ilvl="4" w:tentative="0">
      <w:start w:val="1"/>
      <w:numFmt w:val="lowerLetter"/>
      <w:lvlText w:val="%5)"/>
      <w:legacy w:legacy="1" w:legacySpace="0" w:legacyIndent="440"/>
      <w:lvlJc w:val="left"/>
      <w:pPr>
        <w:ind w:left="2200" w:hanging="440"/>
      </w:pPr>
    </w:lvl>
    <w:lvl w:ilvl="5" w:tentative="0">
      <w:start w:val="1"/>
      <w:numFmt w:val="lowerRoman"/>
      <w:lvlText w:val="%6."/>
      <w:legacy w:legacy="1" w:legacySpace="0" w:legacyIndent="440"/>
      <w:lvlJc w:val="right"/>
      <w:pPr>
        <w:ind w:left="2640" w:hanging="440"/>
      </w:pPr>
    </w:lvl>
    <w:lvl w:ilvl="6" w:tentative="0">
      <w:start w:val="1"/>
      <w:numFmt w:val="decimal"/>
      <w:lvlText w:val="%7."/>
      <w:legacy w:legacy="1" w:legacySpace="0" w:legacyIndent="440"/>
      <w:lvlJc w:val="left"/>
      <w:pPr>
        <w:ind w:left="3080" w:hanging="440"/>
      </w:pPr>
    </w:lvl>
    <w:lvl w:ilvl="7" w:tentative="0">
      <w:start w:val="1"/>
      <w:numFmt w:val="lowerLetter"/>
      <w:lvlText w:val="%8)"/>
      <w:legacy w:legacy="1" w:legacySpace="0" w:legacyIndent="440"/>
      <w:lvlJc w:val="left"/>
      <w:pPr>
        <w:ind w:left="3520" w:hanging="440"/>
      </w:pPr>
    </w:lvl>
    <w:lvl w:ilvl="8" w:tentative="0">
      <w:start w:val="1"/>
      <w:numFmt w:val="lowerRoman"/>
      <w:lvlText w:val="%9."/>
      <w:legacy w:legacy="1" w:legacySpace="0" w:legacyIndent="440"/>
      <w:lvlJc w:val="right"/>
      <w:pPr>
        <w:ind w:left="3960" w:hanging="440"/>
      </w:pPr>
    </w:lvl>
  </w:abstractNum>
  <w:abstractNum w:abstractNumId="1">
    <w:nsid w:val="F50EC437"/>
    <w:multiLevelType w:val="singleLevel"/>
    <w:tmpl w:val="F50EC437"/>
    <w:lvl w:ilvl="0" w:tentative="0">
      <w:start w:val="3"/>
      <w:numFmt w:val="decimal"/>
      <w:suff w:val="space"/>
      <w:lvlText w:val="%1."/>
      <w:lvlJc w:val="left"/>
    </w:lvl>
  </w:abstractNum>
  <w:abstractNum w:abstractNumId="2">
    <w:nsid w:val="1CB1647B"/>
    <w:multiLevelType w:val="multilevel"/>
    <w:tmpl w:val="1CB1647B"/>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360" w:hanging="360"/>
      </w:pPr>
      <w:rPr>
        <w:rFonts w:hint="default" w:ascii="Courier New" w:hAnsi="Courier New" w:cs="Courier New"/>
      </w:rPr>
    </w:lvl>
    <w:lvl w:ilvl="2" w:tentative="0">
      <w:start w:val="1"/>
      <w:numFmt w:val="bullet"/>
      <w:lvlText w:val=""/>
      <w:lvlJc w:val="left"/>
      <w:pPr>
        <w:ind w:left="1516" w:hanging="360"/>
      </w:pPr>
      <w:rPr>
        <w:rFonts w:hint="default" w:ascii="Wingdings" w:hAnsi="Wingdings"/>
      </w:rPr>
    </w:lvl>
    <w:lvl w:ilvl="3" w:tentative="0">
      <w:start w:val="1"/>
      <w:numFmt w:val="bullet"/>
      <w:lvlText w:val=""/>
      <w:lvlJc w:val="left"/>
      <w:pPr>
        <w:ind w:left="2236" w:hanging="360"/>
      </w:pPr>
      <w:rPr>
        <w:rFonts w:hint="default" w:ascii="Symbol" w:hAnsi="Symbol"/>
      </w:rPr>
    </w:lvl>
    <w:lvl w:ilvl="4" w:tentative="0">
      <w:start w:val="1"/>
      <w:numFmt w:val="bullet"/>
      <w:lvlText w:val="o"/>
      <w:lvlJc w:val="left"/>
      <w:pPr>
        <w:ind w:left="2956" w:hanging="360"/>
      </w:pPr>
      <w:rPr>
        <w:rFonts w:hint="default" w:ascii="Courier New" w:hAnsi="Courier New" w:cs="Courier New"/>
      </w:rPr>
    </w:lvl>
    <w:lvl w:ilvl="5" w:tentative="0">
      <w:start w:val="1"/>
      <w:numFmt w:val="bullet"/>
      <w:lvlText w:val=""/>
      <w:lvlJc w:val="left"/>
      <w:pPr>
        <w:ind w:left="3676" w:hanging="360"/>
      </w:pPr>
      <w:rPr>
        <w:rFonts w:hint="default" w:ascii="Wingdings" w:hAnsi="Wingdings"/>
      </w:rPr>
    </w:lvl>
    <w:lvl w:ilvl="6" w:tentative="0">
      <w:start w:val="1"/>
      <w:numFmt w:val="bullet"/>
      <w:lvlText w:val=""/>
      <w:lvlJc w:val="left"/>
      <w:pPr>
        <w:ind w:left="4396" w:hanging="360"/>
      </w:pPr>
      <w:rPr>
        <w:rFonts w:hint="default" w:ascii="Symbol" w:hAnsi="Symbol"/>
      </w:rPr>
    </w:lvl>
    <w:lvl w:ilvl="7" w:tentative="0">
      <w:start w:val="1"/>
      <w:numFmt w:val="bullet"/>
      <w:lvlText w:val="o"/>
      <w:lvlJc w:val="left"/>
      <w:pPr>
        <w:ind w:left="5116" w:hanging="360"/>
      </w:pPr>
      <w:rPr>
        <w:rFonts w:hint="default" w:ascii="Courier New" w:hAnsi="Courier New" w:cs="Courier New"/>
      </w:rPr>
    </w:lvl>
    <w:lvl w:ilvl="8" w:tentative="0">
      <w:start w:val="1"/>
      <w:numFmt w:val="bullet"/>
      <w:lvlText w:val=""/>
      <w:lvlJc w:val="left"/>
      <w:pPr>
        <w:ind w:left="5836" w:hanging="36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9923C2"/>
    <w:rsid w:val="00D20B4D"/>
    <w:rsid w:val="01050F22"/>
    <w:rsid w:val="01DB7ED5"/>
    <w:rsid w:val="02702D13"/>
    <w:rsid w:val="039B791C"/>
    <w:rsid w:val="04117BDE"/>
    <w:rsid w:val="04536448"/>
    <w:rsid w:val="047A39D5"/>
    <w:rsid w:val="04AC7907"/>
    <w:rsid w:val="04E23328"/>
    <w:rsid w:val="051F632A"/>
    <w:rsid w:val="05997E8B"/>
    <w:rsid w:val="063D4CBA"/>
    <w:rsid w:val="066E30C6"/>
    <w:rsid w:val="067E2EB5"/>
    <w:rsid w:val="070E24B7"/>
    <w:rsid w:val="07A1396F"/>
    <w:rsid w:val="08204893"/>
    <w:rsid w:val="08512C9F"/>
    <w:rsid w:val="093323A4"/>
    <w:rsid w:val="09BE4364"/>
    <w:rsid w:val="09D05E45"/>
    <w:rsid w:val="0A03621B"/>
    <w:rsid w:val="0A886720"/>
    <w:rsid w:val="0B1D330C"/>
    <w:rsid w:val="0BB51797"/>
    <w:rsid w:val="0BFE4EEC"/>
    <w:rsid w:val="0C30706F"/>
    <w:rsid w:val="0CE916F8"/>
    <w:rsid w:val="0F492922"/>
    <w:rsid w:val="103A670E"/>
    <w:rsid w:val="10675755"/>
    <w:rsid w:val="10863702"/>
    <w:rsid w:val="12AF0CEE"/>
    <w:rsid w:val="12E0534B"/>
    <w:rsid w:val="13201BEB"/>
    <w:rsid w:val="134A310C"/>
    <w:rsid w:val="13516249"/>
    <w:rsid w:val="14294AD0"/>
    <w:rsid w:val="143C4803"/>
    <w:rsid w:val="14C842E9"/>
    <w:rsid w:val="15051099"/>
    <w:rsid w:val="15973CBB"/>
    <w:rsid w:val="159B19FD"/>
    <w:rsid w:val="15E769F0"/>
    <w:rsid w:val="161F618A"/>
    <w:rsid w:val="166E0EC0"/>
    <w:rsid w:val="167823EB"/>
    <w:rsid w:val="17773DA4"/>
    <w:rsid w:val="178564C1"/>
    <w:rsid w:val="184C6FDF"/>
    <w:rsid w:val="185F6D12"/>
    <w:rsid w:val="194517D3"/>
    <w:rsid w:val="1954439D"/>
    <w:rsid w:val="195A572B"/>
    <w:rsid w:val="1AE259D8"/>
    <w:rsid w:val="1B7A20B5"/>
    <w:rsid w:val="1CBA6C0D"/>
    <w:rsid w:val="1CC25AC1"/>
    <w:rsid w:val="1E062937"/>
    <w:rsid w:val="1E1B36DB"/>
    <w:rsid w:val="1E2C58E8"/>
    <w:rsid w:val="1F185E6D"/>
    <w:rsid w:val="1FBF453A"/>
    <w:rsid w:val="20340A84"/>
    <w:rsid w:val="20AA343C"/>
    <w:rsid w:val="21154B92"/>
    <w:rsid w:val="21537630"/>
    <w:rsid w:val="21A05FB2"/>
    <w:rsid w:val="21CE6CB6"/>
    <w:rsid w:val="224C6559"/>
    <w:rsid w:val="228D26CE"/>
    <w:rsid w:val="233A4603"/>
    <w:rsid w:val="2398757C"/>
    <w:rsid w:val="24743B45"/>
    <w:rsid w:val="2492221D"/>
    <w:rsid w:val="25B3069D"/>
    <w:rsid w:val="25C96113"/>
    <w:rsid w:val="26235823"/>
    <w:rsid w:val="26355556"/>
    <w:rsid w:val="26B24DF9"/>
    <w:rsid w:val="27E64D5A"/>
    <w:rsid w:val="281A0EA7"/>
    <w:rsid w:val="284D302B"/>
    <w:rsid w:val="285F2D5E"/>
    <w:rsid w:val="287C121A"/>
    <w:rsid w:val="28C36E49"/>
    <w:rsid w:val="295C2DFA"/>
    <w:rsid w:val="29656152"/>
    <w:rsid w:val="2996455E"/>
    <w:rsid w:val="29C25353"/>
    <w:rsid w:val="2B537A46"/>
    <w:rsid w:val="2D071ACD"/>
    <w:rsid w:val="2D3177EF"/>
    <w:rsid w:val="2D880661"/>
    <w:rsid w:val="2E053A60"/>
    <w:rsid w:val="2E0777D8"/>
    <w:rsid w:val="2F032695"/>
    <w:rsid w:val="2F6D3FB3"/>
    <w:rsid w:val="2FBE1AB6"/>
    <w:rsid w:val="2FF16992"/>
    <w:rsid w:val="3034687E"/>
    <w:rsid w:val="3075311F"/>
    <w:rsid w:val="30A43A04"/>
    <w:rsid w:val="31321010"/>
    <w:rsid w:val="31A83080"/>
    <w:rsid w:val="3296737C"/>
    <w:rsid w:val="34264730"/>
    <w:rsid w:val="34362BC5"/>
    <w:rsid w:val="34A915E9"/>
    <w:rsid w:val="35380BBF"/>
    <w:rsid w:val="359871BA"/>
    <w:rsid w:val="35FA7C22"/>
    <w:rsid w:val="36CA590D"/>
    <w:rsid w:val="37370A1E"/>
    <w:rsid w:val="37D3697D"/>
    <w:rsid w:val="37F039D3"/>
    <w:rsid w:val="389E6F8B"/>
    <w:rsid w:val="390658A7"/>
    <w:rsid w:val="390B0AC4"/>
    <w:rsid w:val="392E030F"/>
    <w:rsid w:val="39335925"/>
    <w:rsid w:val="39567866"/>
    <w:rsid w:val="39BD1693"/>
    <w:rsid w:val="3AF52546"/>
    <w:rsid w:val="3BF43750"/>
    <w:rsid w:val="3CE21B3C"/>
    <w:rsid w:val="3CFD6976"/>
    <w:rsid w:val="3D211F38"/>
    <w:rsid w:val="3DCC606F"/>
    <w:rsid w:val="3E5E3444"/>
    <w:rsid w:val="3EB72B54"/>
    <w:rsid w:val="3ED951C1"/>
    <w:rsid w:val="3F191BEA"/>
    <w:rsid w:val="3F604F9A"/>
    <w:rsid w:val="404D11AE"/>
    <w:rsid w:val="412A1D04"/>
    <w:rsid w:val="41B25855"/>
    <w:rsid w:val="41D37CA5"/>
    <w:rsid w:val="41EA1493"/>
    <w:rsid w:val="42312C1E"/>
    <w:rsid w:val="426C7B8A"/>
    <w:rsid w:val="427B20EB"/>
    <w:rsid w:val="42DA5063"/>
    <w:rsid w:val="42E66EDA"/>
    <w:rsid w:val="43482915"/>
    <w:rsid w:val="436239D7"/>
    <w:rsid w:val="437B6846"/>
    <w:rsid w:val="43972F54"/>
    <w:rsid w:val="43A044FF"/>
    <w:rsid w:val="43D321DE"/>
    <w:rsid w:val="43F42155"/>
    <w:rsid w:val="43F87E97"/>
    <w:rsid w:val="44071E88"/>
    <w:rsid w:val="444906F3"/>
    <w:rsid w:val="4484797D"/>
    <w:rsid w:val="44D34460"/>
    <w:rsid w:val="452B7DF8"/>
    <w:rsid w:val="45555D50"/>
    <w:rsid w:val="45AB25D2"/>
    <w:rsid w:val="46827EEC"/>
    <w:rsid w:val="4685178A"/>
    <w:rsid w:val="46A71700"/>
    <w:rsid w:val="47242D51"/>
    <w:rsid w:val="47AC3472"/>
    <w:rsid w:val="484511D1"/>
    <w:rsid w:val="48943F06"/>
    <w:rsid w:val="48DF1625"/>
    <w:rsid w:val="49535B70"/>
    <w:rsid w:val="4A05330E"/>
    <w:rsid w:val="4A69389D"/>
    <w:rsid w:val="4B477F0D"/>
    <w:rsid w:val="4B8D35BB"/>
    <w:rsid w:val="4C343A36"/>
    <w:rsid w:val="4C7E1155"/>
    <w:rsid w:val="4CA566E2"/>
    <w:rsid w:val="4CDB2104"/>
    <w:rsid w:val="4DEB39E3"/>
    <w:rsid w:val="4E7C3473"/>
    <w:rsid w:val="4EF92D15"/>
    <w:rsid w:val="4F0C2A48"/>
    <w:rsid w:val="4F361873"/>
    <w:rsid w:val="4FC74BC1"/>
    <w:rsid w:val="500E27F0"/>
    <w:rsid w:val="51542485"/>
    <w:rsid w:val="51711289"/>
    <w:rsid w:val="51986815"/>
    <w:rsid w:val="51C70EA9"/>
    <w:rsid w:val="51DD691E"/>
    <w:rsid w:val="51F85506"/>
    <w:rsid w:val="52187956"/>
    <w:rsid w:val="52880638"/>
    <w:rsid w:val="532F4F57"/>
    <w:rsid w:val="53A92F5C"/>
    <w:rsid w:val="54422A68"/>
    <w:rsid w:val="544762D1"/>
    <w:rsid w:val="54901A26"/>
    <w:rsid w:val="55050666"/>
    <w:rsid w:val="56DC71A4"/>
    <w:rsid w:val="57415259"/>
    <w:rsid w:val="576D24F2"/>
    <w:rsid w:val="579E08FE"/>
    <w:rsid w:val="579E26AC"/>
    <w:rsid w:val="57C33EC0"/>
    <w:rsid w:val="58020E8D"/>
    <w:rsid w:val="584B64EC"/>
    <w:rsid w:val="585039A6"/>
    <w:rsid w:val="58831FCD"/>
    <w:rsid w:val="58E97957"/>
    <w:rsid w:val="593E5EF4"/>
    <w:rsid w:val="59C64145"/>
    <w:rsid w:val="5AB126F6"/>
    <w:rsid w:val="5B5E63DA"/>
    <w:rsid w:val="5C910A31"/>
    <w:rsid w:val="5CBF734C"/>
    <w:rsid w:val="5D683540"/>
    <w:rsid w:val="5D8B36D2"/>
    <w:rsid w:val="5E094DCE"/>
    <w:rsid w:val="5E2F0501"/>
    <w:rsid w:val="5EDF5A84"/>
    <w:rsid w:val="5F220723"/>
    <w:rsid w:val="5F3F6522"/>
    <w:rsid w:val="5F9923C2"/>
    <w:rsid w:val="5FA40A7B"/>
    <w:rsid w:val="60011BE0"/>
    <w:rsid w:val="602A2D2E"/>
    <w:rsid w:val="612754C0"/>
    <w:rsid w:val="62404A8B"/>
    <w:rsid w:val="634E31D8"/>
    <w:rsid w:val="63A948B2"/>
    <w:rsid w:val="63B219B9"/>
    <w:rsid w:val="63BD3EBA"/>
    <w:rsid w:val="63F35B2D"/>
    <w:rsid w:val="64065861"/>
    <w:rsid w:val="641066DF"/>
    <w:rsid w:val="64835103"/>
    <w:rsid w:val="6500779B"/>
    <w:rsid w:val="652C12F7"/>
    <w:rsid w:val="65A92947"/>
    <w:rsid w:val="669C24AC"/>
    <w:rsid w:val="66E14363"/>
    <w:rsid w:val="66E63727"/>
    <w:rsid w:val="67323E04"/>
    <w:rsid w:val="690F3409"/>
    <w:rsid w:val="69286279"/>
    <w:rsid w:val="699B6A4B"/>
    <w:rsid w:val="6A0E36C1"/>
    <w:rsid w:val="6A2904FB"/>
    <w:rsid w:val="6A301889"/>
    <w:rsid w:val="6A674B7F"/>
    <w:rsid w:val="6AA71D09"/>
    <w:rsid w:val="6AAA163C"/>
    <w:rsid w:val="6ABA73A5"/>
    <w:rsid w:val="6CF070AE"/>
    <w:rsid w:val="6D1E3C1B"/>
    <w:rsid w:val="6D701EC0"/>
    <w:rsid w:val="6D7B72BF"/>
    <w:rsid w:val="6DAF0D17"/>
    <w:rsid w:val="6DFB5D0A"/>
    <w:rsid w:val="6E02353D"/>
    <w:rsid w:val="6E600263"/>
    <w:rsid w:val="6F543924"/>
    <w:rsid w:val="714F4CEB"/>
    <w:rsid w:val="716360A0"/>
    <w:rsid w:val="721B4BCD"/>
    <w:rsid w:val="72EB27F1"/>
    <w:rsid w:val="730833A3"/>
    <w:rsid w:val="736B1B84"/>
    <w:rsid w:val="73BE1CB4"/>
    <w:rsid w:val="746F2FAE"/>
    <w:rsid w:val="74884070"/>
    <w:rsid w:val="74CB28DA"/>
    <w:rsid w:val="74E05C5A"/>
    <w:rsid w:val="75640639"/>
    <w:rsid w:val="75D02172"/>
    <w:rsid w:val="766C6C2F"/>
    <w:rsid w:val="76D31F1A"/>
    <w:rsid w:val="77617526"/>
    <w:rsid w:val="777E4F45"/>
    <w:rsid w:val="78676109"/>
    <w:rsid w:val="78C74E32"/>
    <w:rsid w:val="78CA2EA9"/>
    <w:rsid w:val="78F9553C"/>
    <w:rsid w:val="78FB7506"/>
    <w:rsid w:val="792F0E14"/>
    <w:rsid w:val="79E955B1"/>
    <w:rsid w:val="7A6A04A0"/>
    <w:rsid w:val="7AA933D2"/>
    <w:rsid w:val="7B2A40D3"/>
    <w:rsid w:val="7B3D7962"/>
    <w:rsid w:val="7C7C44BA"/>
    <w:rsid w:val="7CC16371"/>
    <w:rsid w:val="7CDB7433"/>
    <w:rsid w:val="7D692C90"/>
    <w:rsid w:val="7EB16AF4"/>
    <w:rsid w:val="7EE34CC4"/>
    <w:rsid w:val="7F10538E"/>
    <w:rsid w:val="7F280929"/>
    <w:rsid w:val="7F604567"/>
    <w:rsid w:val="7F802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Aptos" w:hAnsi="Aptos" w:eastAsiaTheme="minorEastAsia" w:cstheme="minorBidi"/>
      <w:sz w:val="20"/>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874CB" w:themeColor="accent1"/>
      <w:sz w:val="23"/>
      <w:szCs w:val="26"/>
      <w14:textFill>
        <w14:solidFill>
          <w14:schemeClr w14:val="accent1"/>
        </w14:solidFill>
      </w14:textFill>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Title"/>
    <w:basedOn w:val="1"/>
    <w:next w:val="1"/>
    <w:qFormat/>
    <w:uiPriority w:val="10"/>
    <w:pPr>
      <w:pBdr>
        <w:bottom w:val="single" w:color="4874CB" w:themeColor="accent1" w:sz="8" w:space="4"/>
      </w:pBdr>
      <w:spacing w:after="300" w:line="240" w:lineRule="auto"/>
      <w:contextualSpacing/>
    </w:pPr>
    <w:rPr>
      <w:rFonts w:asciiTheme="majorHAnsi" w:hAnsiTheme="majorHAnsi" w:eastAsiaTheme="majorEastAsia" w:cstheme="majorBidi"/>
      <w:color w:val="333F50" w:themeColor="text2" w:themeShade="BF"/>
      <w:spacing w:val="5"/>
      <w:kern w:val="28"/>
      <w:sz w:val="40"/>
      <w:szCs w:val="52"/>
    </w:rPr>
  </w:style>
  <w:style w:type="table" w:styleId="6">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933</Words>
  <Characters>6912</Characters>
  <Lines>0</Lines>
  <Paragraphs>0</Paragraphs>
  <TotalTime>6</TotalTime>
  <ScaleCrop>false</ScaleCrop>
  <LinksUpToDate>false</LinksUpToDate>
  <CharactersWithSpaces>7761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2026-09-01T01:39:00Z</dcterms:created>
  <dc:creator>甘梓萱</dc:creator>
  <cp:lastModifiedBy>甘梓萱</cp:lastModifiedBy>
  <dcterms:modified xsi:type="dcterms:W3CDTF">2026-09-15T22:41:31Z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C4B22137DB7F4FE6A921A9F5B3984CB7_13</vt:lpwstr>
  </property>
  <property fmtid="{D5CDD505-2E9C-101B-9397-08002B2CF9AE}" pid="4" name="KSOTemplateDocerSaveRecord">
    <vt:lpwstr>eyJoZGlkIjoiOTYwMGM2Y2U4ZTI3NWYzYzNjOWZiYTQzMjk2Y2VmMTgiLCJ1c2VySWQiOiIxMTIwNzAzNjEyIn0=</vt:lpwstr>
  </property>
</Properties>
</file>