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F3024">
      <w:pPr>
        <w:keepNext w:val="0"/>
        <w:keepLines w:val="0"/>
        <w:pageBreakBefore w:val="0"/>
        <w:kinsoku/>
        <w:wordWrap/>
        <w:overflowPunct/>
        <w:topLinePunct w:val="0"/>
        <w:autoSpaceDE/>
        <w:autoSpaceDN/>
        <w:bidi w:val="0"/>
        <w:adjustRightInd/>
        <w:snapToGrid/>
        <w:ind w:firstLine="420"/>
        <w:jc w:val="left"/>
        <w:textAlignment w:val="auto"/>
        <w:outlineLvl w:val="0"/>
        <w:rPr>
          <w:rFonts w:hint="default" w:ascii="Times New Roman" w:hAnsi="Times New Roman" w:cs="Times New Roman"/>
          <w:b/>
          <w:bCs/>
          <w:sz w:val="22"/>
          <w:szCs w:val="22"/>
        </w:rPr>
      </w:pPr>
      <w:bookmarkStart w:id="0" w:name="_Toc15224"/>
      <w:bookmarkStart w:id="7" w:name="_GoBack"/>
      <w:bookmarkEnd w:id="7"/>
      <w:r>
        <w:rPr>
          <w:rFonts w:hint="default" w:ascii="Times New Roman" w:hAnsi="Times New Roman" w:cs="Times New Roman"/>
          <w:b/>
          <w:bCs/>
          <w:sz w:val="22"/>
          <w:szCs w:val="22"/>
        </w:rPr>
        <w:t>Additional file 1</w:t>
      </w:r>
      <w:bookmarkEnd w:id="0"/>
    </w:p>
    <w:p w14:paraId="253684BC">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378EE7DB">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006181F2">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37C2DC09">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498004CF">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4F45629F">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33E55D68">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013D2AFD">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22A6D4F9">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p>
    <w:p w14:paraId="75451C9C">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eastAsia="宋体" w:cs="Times New Roman"/>
          <w:b/>
          <w:bCs/>
          <w:kern w:val="0"/>
          <w:sz w:val="22"/>
          <w:szCs w:val="22"/>
        </w:rPr>
      </w:pPr>
      <w:r>
        <w:rPr>
          <w:rFonts w:hint="default" w:ascii="Times New Roman" w:hAnsi="Times New Roman" w:eastAsia="宋体" w:cs="Times New Roman"/>
          <w:b/>
          <w:bCs/>
          <w:kern w:val="0"/>
          <w:sz w:val="22"/>
          <w:szCs w:val="22"/>
        </w:rPr>
        <w:t>Using the WHO Checklist to Identify Domains for Institutionalizing Evidence-Informed Policy-Making in China: A Mapping Review</w:t>
      </w:r>
    </w:p>
    <w:p w14:paraId="48C13841">
      <w:pPr>
        <w:widowControl/>
        <w:spacing w:line="480" w:lineRule="auto"/>
        <w:jc w:val="center"/>
        <w:rPr>
          <w:rFonts w:hint="default" w:ascii="Times New Roman" w:hAnsi="Times New Roman" w:eastAsia="宋体" w:cs="Times New Roman"/>
          <w:b/>
          <w:bCs/>
          <w:kern w:val="0"/>
          <w:sz w:val="22"/>
          <w:szCs w:val="22"/>
        </w:rPr>
      </w:pPr>
    </w:p>
    <w:p w14:paraId="020353F5">
      <w:pPr>
        <w:widowControl/>
        <w:spacing w:line="480" w:lineRule="auto"/>
        <w:jc w:val="center"/>
        <w:rPr>
          <w:rFonts w:hint="default" w:ascii="Times New Roman" w:hAnsi="Times New Roman" w:eastAsia="宋体" w:cs="Times New Roman"/>
          <w:b/>
          <w:bCs/>
          <w:kern w:val="0"/>
          <w:sz w:val="22"/>
          <w:szCs w:val="22"/>
        </w:rPr>
      </w:pPr>
    </w:p>
    <w:p w14:paraId="58EE331B">
      <w:pPr>
        <w:widowControl/>
        <w:spacing w:line="480" w:lineRule="auto"/>
        <w:jc w:val="center"/>
        <w:rPr>
          <w:rFonts w:hint="default" w:ascii="Times New Roman" w:hAnsi="Times New Roman" w:eastAsia="宋体" w:cs="Times New Roman"/>
          <w:b/>
          <w:bCs/>
          <w:kern w:val="0"/>
          <w:sz w:val="22"/>
          <w:szCs w:val="22"/>
        </w:rPr>
      </w:pPr>
    </w:p>
    <w:p w14:paraId="4A14F020">
      <w:pPr>
        <w:widowControl/>
        <w:spacing w:line="480" w:lineRule="auto"/>
        <w:jc w:val="center"/>
        <w:rPr>
          <w:rFonts w:hint="default" w:ascii="Times New Roman" w:hAnsi="Times New Roman" w:eastAsia="宋体" w:cs="Times New Roman"/>
          <w:b/>
          <w:bCs/>
          <w:kern w:val="0"/>
          <w:sz w:val="22"/>
          <w:szCs w:val="22"/>
        </w:rPr>
      </w:pPr>
    </w:p>
    <w:p w14:paraId="364FFB05">
      <w:pPr>
        <w:widowControl/>
        <w:spacing w:line="480" w:lineRule="auto"/>
        <w:jc w:val="center"/>
        <w:rPr>
          <w:rFonts w:hint="default" w:ascii="Times New Roman" w:hAnsi="Times New Roman" w:eastAsia="宋体" w:cs="Times New Roman"/>
          <w:b/>
          <w:bCs/>
          <w:kern w:val="0"/>
          <w:sz w:val="22"/>
          <w:szCs w:val="22"/>
        </w:rPr>
      </w:pPr>
    </w:p>
    <w:p w14:paraId="40D150FE">
      <w:pPr>
        <w:widowControl/>
        <w:spacing w:line="480" w:lineRule="auto"/>
        <w:jc w:val="center"/>
        <w:rPr>
          <w:rFonts w:hint="default" w:ascii="Times New Roman" w:hAnsi="Times New Roman" w:eastAsia="宋体" w:cs="Times New Roman"/>
          <w:b/>
          <w:bCs/>
          <w:kern w:val="0"/>
          <w:sz w:val="22"/>
          <w:szCs w:val="22"/>
        </w:rPr>
      </w:pPr>
    </w:p>
    <w:p w14:paraId="4983EB04">
      <w:pPr>
        <w:widowControl/>
        <w:spacing w:line="480" w:lineRule="auto"/>
        <w:jc w:val="center"/>
        <w:rPr>
          <w:rFonts w:hint="default" w:ascii="Times New Roman" w:hAnsi="Times New Roman" w:eastAsia="宋体" w:cs="Times New Roman"/>
          <w:b/>
          <w:bCs/>
          <w:kern w:val="0"/>
          <w:sz w:val="22"/>
          <w:szCs w:val="22"/>
        </w:rPr>
      </w:pPr>
    </w:p>
    <w:p w14:paraId="53C1E94E">
      <w:pPr>
        <w:widowControl/>
        <w:spacing w:line="480" w:lineRule="auto"/>
        <w:jc w:val="center"/>
        <w:rPr>
          <w:rFonts w:hint="default" w:ascii="Times New Roman" w:hAnsi="Times New Roman" w:eastAsia="宋体" w:cs="Times New Roman"/>
          <w:b/>
          <w:bCs/>
          <w:kern w:val="0"/>
          <w:sz w:val="22"/>
          <w:szCs w:val="22"/>
        </w:rPr>
      </w:pPr>
    </w:p>
    <w:p w14:paraId="05BDF871">
      <w:pPr>
        <w:widowControl/>
        <w:spacing w:line="480" w:lineRule="auto"/>
        <w:jc w:val="center"/>
        <w:rPr>
          <w:rFonts w:hint="default" w:ascii="Times New Roman" w:hAnsi="Times New Roman" w:eastAsia="宋体" w:cs="Times New Roman"/>
          <w:b/>
          <w:bCs/>
          <w:kern w:val="0"/>
          <w:sz w:val="22"/>
          <w:szCs w:val="22"/>
        </w:rPr>
      </w:pPr>
    </w:p>
    <w:p w14:paraId="02423F35">
      <w:pPr>
        <w:widowControl/>
        <w:spacing w:line="480" w:lineRule="auto"/>
        <w:jc w:val="center"/>
        <w:rPr>
          <w:rFonts w:hint="default" w:ascii="Times New Roman" w:hAnsi="Times New Roman" w:eastAsia="宋体" w:cs="Times New Roman"/>
          <w:b/>
          <w:bCs/>
          <w:kern w:val="0"/>
          <w:sz w:val="22"/>
          <w:szCs w:val="22"/>
        </w:rPr>
      </w:pPr>
    </w:p>
    <w:p w14:paraId="1AC0312A">
      <w:pPr>
        <w:widowControl/>
        <w:spacing w:line="480" w:lineRule="auto"/>
        <w:jc w:val="center"/>
        <w:rPr>
          <w:rFonts w:hint="default" w:ascii="Times New Roman" w:hAnsi="Times New Roman" w:eastAsia="宋体" w:cs="Times New Roman"/>
          <w:b/>
          <w:bCs/>
          <w:kern w:val="0"/>
          <w:sz w:val="22"/>
          <w:szCs w:val="22"/>
        </w:rPr>
      </w:pPr>
    </w:p>
    <w:p w14:paraId="237895D0">
      <w:pPr>
        <w:widowControl/>
        <w:spacing w:line="480" w:lineRule="auto"/>
        <w:jc w:val="center"/>
        <w:rPr>
          <w:rFonts w:hint="default" w:ascii="Times New Roman" w:hAnsi="Times New Roman" w:eastAsia="宋体" w:cs="Times New Roman"/>
          <w:b/>
          <w:bCs/>
          <w:kern w:val="0"/>
          <w:sz w:val="22"/>
          <w:szCs w:val="22"/>
        </w:rPr>
      </w:pPr>
    </w:p>
    <w:p w14:paraId="0CC8A9CB">
      <w:pPr>
        <w:widowControl/>
        <w:spacing w:line="480" w:lineRule="auto"/>
        <w:jc w:val="center"/>
        <w:rPr>
          <w:rFonts w:hint="default" w:ascii="Times New Roman" w:hAnsi="Times New Roman" w:eastAsia="宋体" w:cs="Times New Roman"/>
          <w:b/>
          <w:bCs/>
          <w:kern w:val="0"/>
          <w:sz w:val="22"/>
          <w:szCs w:val="22"/>
        </w:rPr>
      </w:pPr>
    </w:p>
    <w:sdt>
      <w:sdtPr>
        <w:rPr>
          <w:rFonts w:hint="default" w:ascii="Times New Roman" w:hAnsi="Times New Roman" w:eastAsia="宋体" w:cs="Times New Roman"/>
          <w:kern w:val="2"/>
          <w:sz w:val="22"/>
          <w:szCs w:val="22"/>
          <w:lang w:val="en-US" w:eastAsia="zh-CN" w:bidi="ar-SA"/>
        </w:rPr>
        <w:id w:val="147463712"/>
        <w15:color w:val="DBDBDB"/>
        <w:docPartObj>
          <w:docPartGallery w:val="Table of Contents"/>
          <w:docPartUnique/>
        </w:docPartObj>
      </w:sdtPr>
      <w:sdtEndPr>
        <w:rPr>
          <w:rFonts w:hint="default" w:ascii="Times New Roman" w:hAnsi="Times New Roman" w:eastAsia="微软雅黑" w:cs="Times New Roman"/>
          <w:bCs/>
          <w:kern w:val="0"/>
          <w:sz w:val="22"/>
          <w:szCs w:val="22"/>
          <w:lang w:val="en-US" w:eastAsia="zh-CN" w:bidi="ar-SA"/>
        </w:rPr>
      </w:sdtEndPr>
      <w:sdtContent>
        <w:p w14:paraId="41C583AB">
          <w:pP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Content</w:t>
          </w:r>
        </w:p>
        <w:p w14:paraId="160A1206">
          <w:pPr>
            <w:pStyle w:val="5"/>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 w:val="22"/>
              <w:szCs w:val="22"/>
              <w:lang w:val="en-US" w:eastAsia="zh-CN" w:bidi="ar-SA"/>
            </w:rPr>
            <w:fldChar w:fldCharType="begin"/>
          </w:r>
          <w:r>
            <w:rPr>
              <w:rFonts w:hint="default" w:ascii="Times New Roman" w:hAnsi="Times New Roman" w:eastAsia="微软雅黑" w:cs="Times New Roman"/>
              <w:bCs/>
              <w:kern w:val="0"/>
              <w:sz w:val="22"/>
              <w:szCs w:val="22"/>
              <w:lang w:val="en-US" w:eastAsia="zh-CN" w:bidi="ar-SA"/>
            </w:rPr>
            <w:instrText xml:space="preserve">TOC \o "1-2" \h \u </w:instrText>
          </w:r>
          <w:r>
            <w:rPr>
              <w:rFonts w:hint="default" w:ascii="Times New Roman" w:hAnsi="Times New Roman" w:eastAsia="微软雅黑" w:cs="Times New Roman"/>
              <w:bCs/>
              <w:kern w:val="0"/>
              <w:sz w:val="22"/>
              <w:szCs w:val="22"/>
              <w:lang w:val="en-US" w:eastAsia="zh-CN" w:bidi="ar-SA"/>
            </w:rPr>
            <w:fldChar w:fldCharType="separate"/>
          </w: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_Toc15224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cs="Times New Roman"/>
              <w:bCs/>
              <w:szCs w:val="22"/>
            </w:rPr>
            <w:t>Additional file 1</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_Toc15224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082FB59E">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_Toc7554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rPr>
            <w:t xml:space="preserve">Table S1. </w:t>
          </w:r>
          <w:r>
            <w:rPr>
              <w:rFonts w:hint="default" w:ascii="Times New Roman" w:hAnsi="Times New Roman" w:eastAsia="sans-serif" w:cs="Times New Roman"/>
              <w:spacing w:val="-4"/>
              <w:szCs w:val="22"/>
              <w:shd w:val="clear" w:color="auto" w:fill="FFFFFF"/>
              <w:lang w:bidi="ar"/>
            </w:rPr>
            <w:t xml:space="preserve">Inclusion criteria and </w:t>
          </w:r>
          <w:r>
            <w:rPr>
              <w:rFonts w:hint="default" w:ascii="Times New Roman" w:hAnsi="Times New Roman" w:eastAsia="宋体" w:cs="Times New Roman"/>
              <w:szCs w:val="22"/>
              <w:shd w:val="clear" w:color="auto" w:fill="FFFFFF"/>
            </w:rPr>
            <w:t>Exclusion criteria</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_Toc7554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17A40DD9">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_Toc9606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rPr>
            <w:t>Table S2. Search strategy in PubMed</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_Toc9606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5D8980EF">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_Toc12869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lang w:val="en-GB" w:eastAsia="zh-CN"/>
            </w:rPr>
            <w:t>Table S</w:t>
          </w:r>
          <w:r>
            <w:rPr>
              <w:rFonts w:hint="default" w:ascii="Times New Roman" w:hAnsi="Times New Roman" w:eastAsia="微软雅黑" w:cs="Times New Roman"/>
              <w:szCs w:val="22"/>
              <w:lang w:val="en-US" w:eastAsia="zh-CN"/>
            </w:rPr>
            <w:t>3</w:t>
          </w:r>
          <w:r>
            <w:rPr>
              <w:rFonts w:hint="default" w:ascii="Times New Roman" w:hAnsi="Times New Roman" w:eastAsia="微软雅黑" w:cs="Times New Roman"/>
              <w:szCs w:val="22"/>
              <w:lang w:val="en-GB" w:eastAsia="zh-CN"/>
            </w:rPr>
            <w:t>.</w:t>
          </w:r>
          <w:r>
            <w:rPr>
              <w:rFonts w:hint="default" w:ascii="Times New Roman" w:hAnsi="Times New Roman" w:eastAsia="微软雅黑" w:cs="Times New Roman"/>
              <w:szCs w:val="22"/>
              <w:lang w:val="en-US" w:eastAsia="zh-CN"/>
            </w:rPr>
            <w:t xml:space="preserve"> </w:t>
          </w:r>
          <w:r>
            <w:rPr>
              <w:rFonts w:hint="default" w:ascii="Times New Roman" w:hAnsi="Times New Roman" w:eastAsia="微软雅黑" w:cs="Times New Roman"/>
              <w:szCs w:val="22"/>
              <w:lang w:val="en-GB" w:eastAsia="zh-CN"/>
            </w:rPr>
            <w:t>Purposive sampling framework for national-level government institutions included in the policy-document search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_Toc12869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54257FB7">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_Toc20506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lang w:val="en-GB"/>
            </w:rPr>
            <w:t>Table S</w:t>
          </w:r>
          <w:r>
            <w:rPr>
              <w:rFonts w:hint="default" w:ascii="Times New Roman" w:hAnsi="Times New Roman" w:eastAsia="微软雅黑" w:cs="Times New Roman"/>
              <w:szCs w:val="22"/>
              <w:lang w:val="en-US" w:eastAsia="zh-CN"/>
            </w:rPr>
            <w:t>4</w:t>
          </w:r>
          <w:r>
            <w:rPr>
              <w:rFonts w:hint="default" w:ascii="Times New Roman" w:hAnsi="Times New Roman" w:eastAsia="微软雅黑" w:cs="Times New Roman"/>
              <w:szCs w:val="22"/>
              <w:lang w:val="en-GB"/>
            </w:rPr>
            <w:t>a. List of included academic studies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_Toc20506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45B4FF08">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_Toc21268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lang w:val="en-GB"/>
            </w:rPr>
            <w:t>Table S</w:t>
          </w:r>
          <w:r>
            <w:rPr>
              <w:rFonts w:hint="default" w:ascii="Times New Roman" w:hAnsi="Times New Roman" w:eastAsia="微软雅黑" w:cs="Times New Roman"/>
              <w:szCs w:val="22"/>
              <w:lang w:val="en-US" w:eastAsia="zh-CN"/>
            </w:rPr>
            <w:t>4</w:t>
          </w:r>
          <w:r>
            <w:rPr>
              <w:rFonts w:hint="default" w:ascii="Times New Roman" w:hAnsi="Times New Roman" w:eastAsia="微软雅黑" w:cs="Times New Roman"/>
              <w:szCs w:val="22"/>
              <w:lang w:val="en-GB"/>
            </w:rPr>
            <w:t>b. List of included policy documents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_Toc21268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1F9D27D3">
          <w:pPr>
            <w:pStyle w:val="6"/>
            <w:tabs>
              <w:tab w:val="right" w:leader="dot" w:pos="8306"/>
            </w:tabs>
            <w:rPr>
              <w:rFonts w:hint="default" w:ascii="Times New Roman" w:hAnsi="Times New Roman" w:cs="Times New Roman"/>
            </w:rPr>
          </w:pPr>
          <w:r>
            <w:rPr>
              <w:rFonts w:hint="default" w:ascii="Times New Roman" w:hAnsi="Times New Roman" w:eastAsia="微软雅黑" w:cs="Times New Roman"/>
              <w:bCs/>
              <w:kern w:val="0"/>
              <w:szCs w:val="22"/>
              <w:lang w:val="en-US" w:eastAsia="zh-CN" w:bidi="ar-SA"/>
            </w:rPr>
            <w:fldChar w:fldCharType="begin"/>
          </w:r>
          <w:r>
            <w:rPr>
              <w:rFonts w:hint="default" w:ascii="Times New Roman" w:hAnsi="Times New Roman" w:eastAsia="微软雅黑" w:cs="Times New Roman"/>
              <w:bCs/>
              <w:kern w:val="0"/>
              <w:szCs w:val="22"/>
              <w:lang w:val="en-US" w:eastAsia="zh-CN" w:bidi="ar-SA"/>
            </w:rPr>
            <w:instrText xml:space="preserve"> HYPERLINK \l _Toc31404 </w:instrText>
          </w:r>
          <w:r>
            <w:rPr>
              <w:rFonts w:hint="default" w:ascii="Times New Roman" w:hAnsi="Times New Roman" w:eastAsia="微软雅黑" w:cs="Times New Roman"/>
              <w:bCs/>
              <w:kern w:val="0"/>
              <w:szCs w:val="22"/>
              <w:lang w:val="en-US" w:eastAsia="zh-CN" w:bidi="ar-SA"/>
            </w:rPr>
            <w:fldChar w:fldCharType="separate"/>
          </w:r>
          <w:r>
            <w:rPr>
              <w:rFonts w:hint="default" w:ascii="Times New Roman" w:hAnsi="Times New Roman" w:eastAsia="微软雅黑" w:cs="Times New Roman"/>
              <w:szCs w:val="22"/>
              <w:lang w:val="en-GB"/>
            </w:rPr>
            <w:t xml:space="preserve">Table </w:t>
          </w:r>
          <w:r>
            <w:rPr>
              <w:rFonts w:hint="default" w:ascii="Times New Roman" w:hAnsi="Times New Roman" w:eastAsia="微软雅黑" w:cs="Times New Roman"/>
              <w:szCs w:val="22"/>
            </w:rPr>
            <w:t>S</w:t>
          </w:r>
          <w:r>
            <w:rPr>
              <w:rFonts w:hint="default" w:ascii="Times New Roman" w:hAnsi="Times New Roman" w:eastAsia="微软雅黑" w:cs="Times New Roman"/>
              <w:szCs w:val="22"/>
              <w:lang w:val="en-US" w:eastAsia="zh-CN"/>
            </w:rPr>
            <w:t>5</w:t>
          </w:r>
          <w:r>
            <w:rPr>
              <w:rFonts w:hint="default" w:ascii="Times New Roman" w:hAnsi="Times New Roman" w:eastAsia="微软雅黑" w:cs="Times New Roman"/>
              <w:szCs w:val="22"/>
              <w:lang w:val="en-GB"/>
            </w:rPr>
            <w:t>. Summary characteristics of included records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_Toc31404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eastAsia="微软雅黑" w:cs="Times New Roman"/>
              <w:bCs/>
              <w:kern w:val="0"/>
              <w:szCs w:val="22"/>
              <w:lang w:val="en-US" w:eastAsia="zh-CN" w:bidi="ar-SA"/>
            </w:rPr>
            <w:fldChar w:fldCharType="end"/>
          </w:r>
        </w:p>
        <w:p w14:paraId="59A34FDB">
          <w:pPr>
            <w:pStyle w:val="7"/>
            <w:widowControl/>
            <w:spacing w:beforeAutospacing="0" w:afterAutospacing="0"/>
            <w:jc w:val="both"/>
            <w:rPr>
              <w:rFonts w:hint="default" w:ascii="Times New Roman" w:hAnsi="Times New Roman" w:eastAsia="微软雅黑" w:cs="Times New Roman"/>
              <w:bCs/>
              <w:kern w:val="0"/>
              <w:sz w:val="22"/>
              <w:szCs w:val="22"/>
              <w:lang w:val="en-US" w:eastAsia="zh-CN" w:bidi="ar-SA"/>
            </w:rPr>
          </w:pPr>
          <w:r>
            <w:rPr>
              <w:rFonts w:hint="default" w:ascii="Times New Roman" w:hAnsi="Times New Roman" w:eastAsia="微软雅黑" w:cs="Times New Roman"/>
              <w:bCs/>
              <w:kern w:val="0"/>
              <w:szCs w:val="22"/>
              <w:lang w:val="en-US" w:eastAsia="zh-CN" w:bidi="ar-SA"/>
            </w:rPr>
            <w:fldChar w:fldCharType="end"/>
          </w:r>
        </w:p>
      </w:sdtContent>
    </w:sdt>
    <w:p w14:paraId="50579251">
      <w:pPr>
        <w:pStyle w:val="7"/>
        <w:widowControl/>
        <w:spacing w:beforeAutospacing="0" w:afterAutospacing="0"/>
        <w:jc w:val="both"/>
        <w:rPr>
          <w:rFonts w:hint="default" w:ascii="Times New Roman" w:hAnsi="Times New Roman" w:eastAsia="微软雅黑" w:cs="Times New Roman"/>
          <w:bCs/>
          <w:kern w:val="0"/>
          <w:sz w:val="22"/>
          <w:szCs w:val="22"/>
          <w:lang w:val="en-US" w:eastAsia="zh-CN" w:bidi="ar-SA"/>
        </w:rPr>
        <w:sectPr>
          <w:footerReference r:id="rId3" w:type="default"/>
          <w:pgSz w:w="11906" w:h="16838"/>
          <w:pgMar w:top="1440" w:right="1800" w:bottom="1440" w:left="1800" w:header="851" w:footer="992" w:gutter="0"/>
          <w:cols w:space="425" w:num="1"/>
          <w:docGrid w:type="lines" w:linePitch="312" w:charSpace="0"/>
        </w:sectPr>
      </w:pPr>
    </w:p>
    <w:p w14:paraId="5BD7A089">
      <w:pPr>
        <w:pStyle w:val="7"/>
        <w:keepNext w:val="0"/>
        <w:keepLines w:val="0"/>
        <w:pageBreakBefore w:val="0"/>
        <w:widowControl/>
        <w:kinsoku/>
        <w:wordWrap/>
        <w:overflowPunct/>
        <w:topLinePunct w:val="0"/>
        <w:autoSpaceDE/>
        <w:autoSpaceDN/>
        <w:bidi w:val="0"/>
        <w:adjustRightInd/>
        <w:snapToGrid/>
        <w:spacing w:beforeAutospacing="0" w:afterAutospacing="0"/>
        <w:jc w:val="both"/>
        <w:textAlignment w:val="auto"/>
        <w:outlineLvl w:val="1"/>
        <w:rPr>
          <w:rFonts w:hint="default" w:ascii="Times New Roman" w:hAnsi="Times New Roman" w:eastAsia="宋体" w:cs="Times New Roman"/>
          <w:color w:val="1B1B1B"/>
          <w:sz w:val="22"/>
          <w:szCs w:val="22"/>
          <w:shd w:val="clear" w:color="auto" w:fill="FFFFFF"/>
        </w:rPr>
      </w:pPr>
      <w:bookmarkStart w:id="1" w:name="_Toc7554"/>
      <w:r>
        <w:rPr>
          <w:rFonts w:hint="default" w:ascii="Times New Roman" w:hAnsi="Times New Roman" w:eastAsia="微软雅黑" w:cs="Times New Roman"/>
          <w:sz w:val="22"/>
          <w:szCs w:val="22"/>
        </w:rPr>
        <w:t xml:space="preserve">Table S1. </w:t>
      </w:r>
      <w:r>
        <w:rPr>
          <w:rFonts w:hint="default" w:ascii="Times New Roman" w:hAnsi="Times New Roman" w:eastAsia="sans-serif" w:cs="Times New Roman"/>
          <w:color w:val="000000" w:themeColor="text1"/>
          <w:spacing w:val="-4"/>
          <w:sz w:val="22"/>
          <w:szCs w:val="22"/>
          <w:shd w:val="clear" w:color="auto" w:fill="FFFFFF"/>
          <w:lang w:bidi="ar"/>
          <w14:textFill>
            <w14:solidFill>
              <w14:schemeClr w14:val="tx1"/>
            </w14:solidFill>
          </w14:textFill>
        </w:rPr>
        <w:t xml:space="preserve">Inclusion criteria and </w:t>
      </w:r>
      <w:r>
        <w:rPr>
          <w:rFonts w:hint="default" w:ascii="Times New Roman" w:hAnsi="Times New Roman" w:eastAsia="宋体" w:cs="Times New Roman"/>
          <w:color w:val="1B1B1B"/>
          <w:sz w:val="22"/>
          <w:szCs w:val="22"/>
          <w:shd w:val="clear" w:color="auto" w:fill="FFFFFF"/>
        </w:rPr>
        <w:t>Exclusion criteria</w:t>
      </w:r>
      <w:bookmarkEnd w:id="1"/>
    </w:p>
    <w:p w14:paraId="7A368175">
      <w:pPr>
        <w:pStyle w:val="7"/>
        <w:keepNext w:val="0"/>
        <w:keepLines w:val="0"/>
        <w:pageBreakBefore w:val="0"/>
        <w:widowControl/>
        <w:kinsoku/>
        <w:wordWrap/>
        <w:overflowPunct/>
        <w:topLinePunct w:val="0"/>
        <w:autoSpaceDE/>
        <w:autoSpaceDN/>
        <w:bidi w:val="0"/>
        <w:adjustRightInd/>
        <w:snapToGrid/>
        <w:spacing w:beforeAutospacing="0" w:afterAutospacing="0"/>
        <w:jc w:val="both"/>
        <w:textAlignment w:val="auto"/>
        <w:outlineLvl w:val="9"/>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We included all records that met criterion (4) and at least one of criteria (1)</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rPr>
        <w:t>–</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rPr>
        <w:t>(3).</w:t>
      </w:r>
    </w:p>
    <w:tbl>
      <w:tblPr>
        <w:tblStyle w:val="9"/>
        <w:tblW w:w="8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7357"/>
      </w:tblGrid>
      <w:tr w14:paraId="6B7B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restart"/>
          </w:tcPr>
          <w:p w14:paraId="18114F9B">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sans-serif" w:cs="Times New Roman"/>
                <w:color w:val="000000" w:themeColor="text1"/>
                <w:spacing w:val="-4"/>
                <w:kern w:val="0"/>
                <w:sz w:val="22"/>
                <w:szCs w:val="22"/>
                <w:shd w:val="clear" w:color="auto" w:fill="FFFFFF"/>
                <w:lang w:bidi="ar"/>
                <w14:textFill>
                  <w14:solidFill>
                    <w14:schemeClr w14:val="tx1"/>
                  </w14:solidFill>
                </w14:textFill>
              </w:rPr>
              <w:t>Inclusion criteria</w:t>
            </w:r>
          </w:p>
        </w:tc>
        <w:tc>
          <w:tcPr>
            <w:tcW w:w="7357" w:type="dxa"/>
          </w:tcPr>
          <w:p w14:paraId="6B27A893">
            <w:pPr>
              <w:numPr>
                <w:ilvl w:val="0"/>
                <w:numId w:val="1"/>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宋体" w:cs="Times New Roman"/>
                <w:color w:val="1B1B1B"/>
                <w:sz w:val="22"/>
                <w:szCs w:val="22"/>
                <w:shd w:val="clear" w:color="auto" w:fill="FFFFFF"/>
                <w:lang w:val="en-US" w:eastAsia="zh-CN"/>
              </w:rPr>
              <w:t xml:space="preserve">Records </w:t>
            </w:r>
            <w:r>
              <w:rPr>
                <w:rFonts w:hint="default" w:ascii="Times New Roman" w:hAnsi="Times New Roman" w:eastAsia="Cambria" w:cs="Times New Roman"/>
                <w:color w:val="1B1B1B"/>
                <w:sz w:val="22"/>
                <w:szCs w:val="22"/>
                <w:shd w:val="clear" w:color="auto" w:fill="FFFFFF"/>
              </w:rPr>
              <w:t>examined the institutionalization of evidence</w:t>
            </w:r>
            <w:r>
              <w:rPr>
                <w:rFonts w:hint="default" w:ascii="Times New Roman" w:hAnsi="Times New Roman" w:eastAsia="宋体" w:cs="Times New Roman"/>
                <w:color w:val="1B1B1B"/>
                <w:sz w:val="22"/>
                <w:szCs w:val="22"/>
                <w:shd w:val="clear" w:color="auto" w:fill="FFFFFF"/>
                <w:lang w:val="en-US" w:eastAsia="zh-CN"/>
              </w:rPr>
              <w:t>-</w:t>
            </w:r>
            <w:r>
              <w:rPr>
                <w:rFonts w:hint="default" w:ascii="Times New Roman" w:hAnsi="Times New Roman" w:eastAsia="Cambria" w:cs="Times New Roman"/>
                <w:color w:val="1B1B1B"/>
                <w:sz w:val="22"/>
                <w:szCs w:val="22"/>
                <w:shd w:val="clear" w:color="auto" w:fill="FFFFFF"/>
              </w:rPr>
              <w:t>informed policy</w:t>
            </w:r>
            <w:r>
              <w:rPr>
                <w:rFonts w:hint="default" w:ascii="Times New Roman" w:hAnsi="Times New Roman" w:eastAsia="宋体" w:cs="Times New Roman"/>
                <w:color w:val="1B1B1B"/>
                <w:sz w:val="22"/>
                <w:szCs w:val="22"/>
                <w:shd w:val="clear" w:color="auto" w:fill="FFFFFF"/>
                <w:lang w:val="en-US" w:eastAsia="zh-CN"/>
              </w:rPr>
              <w:t>-</w:t>
            </w:r>
            <w:r>
              <w:rPr>
                <w:rFonts w:hint="default" w:ascii="Times New Roman" w:hAnsi="Times New Roman" w:eastAsia="Cambria" w:cs="Times New Roman"/>
                <w:color w:val="1B1B1B"/>
                <w:sz w:val="22"/>
                <w:szCs w:val="22"/>
                <w:shd w:val="clear" w:color="auto" w:fill="FFFFFF"/>
              </w:rPr>
              <w:t>making, including discussions on sustainability, routinization, integration, standardization, legitimation, norms, diffusion and adoption of innovations, systemic change, scaling-up, and resilience;</w:t>
            </w:r>
          </w:p>
        </w:tc>
      </w:tr>
      <w:tr w14:paraId="70E6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69383478">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2C41BC6E">
            <w:pPr>
              <w:numPr>
                <w:ilvl w:val="0"/>
                <w:numId w:val="1"/>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Cambria" w:cs="Times New Roman"/>
                <w:color w:val="1B1B1B"/>
                <w:sz w:val="22"/>
                <w:szCs w:val="22"/>
                <w:shd w:val="clear" w:color="auto" w:fill="FFFFFF"/>
              </w:rPr>
              <w:t>Records</w:t>
            </w:r>
            <w:r>
              <w:rPr>
                <w:rFonts w:hint="default" w:ascii="Times New Roman" w:hAnsi="Times New Roman" w:eastAsia="宋体" w:cs="Times New Roman"/>
                <w:color w:val="1B1B1B"/>
                <w:sz w:val="22"/>
                <w:szCs w:val="22"/>
                <w:shd w:val="clear" w:color="auto" w:fill="FFFFFF"/>
                <w:lang w:val="en-US" w:eastAsia="zh-CN"/>
              </w:rPr>
              <w:t xml:space="preserve"> </w:t>
            </w:r>
            <w:r>
              <w:rPr>
                <w:rFonts w:hint="default" w:ascii="Times New Roman" w:hAnsi="Times New Roman" w:eastAsia="Cambria" w:cs="Times New Roman"/>
                <w:color w:val="1B1B1B"/>
                <w:sz w:val="22"/>
                <w:szCs w:val="22"/>
                <w:shd w:val="clear" w:color="auto" w:fill="FFFFFF"/>
              </w:rPr>
              <w:t>focused on knowledge translation processes aimed at promoting the use of evidence in policy-making or evidence-informed policy-making;</w:t>
            </w:r>
          </w:p>
        </w:tc>
      </w:tr>
      <w:tr w14:paraId="0A1C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5B27A3A7">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1ABE1AF5">
            <w:pPr>
              <w:numPr>
                <w:ilvl w:val="0"/>
                <w:numId w:val="1"/>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宋体" w:cs="Times New Roman"/>
                <w:color w:val="1B1B1B"/>
                <w:sz w:val="22"/>
                <w:szCs w:val="22"/>
                <w:shd w:val="clear" w:color="auto" w:fill="FFFFFF"/>
                <w:lang w:val="en-US" w:eastAsia="zh-CN"/>
              </w:rPr>
              <w:t xml:space="preserve">Records </w:t>
            </w:r>
            <w:r>
              <w:rPr>
                <w:rFonts w:hint="default" w:ascii="Times New Roman" w:hAnsi="Times New Roman" w:eastAsia="Cambria" w:cs="Times New Roman"/>
                <w:color w:val="1B1B1B"/>
                <w:sz w:val="22"/>
                <w:szCs w:val="22"/>
                <w:shd w:val="clear" w:color="auto" w:fill="FFFFFF"/>
              </w:rPr>
              <w:t>analyzed knowledge translation platforms or similar infrastructures that systematically link evidence to policy, focusing on their establishment, functioning and/or institutional capacity;</w:t>
            </w:r>
          </w:p>
        </w:tc>
      </w:tr>
      <w:tr w14:paraId="0321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111502EB">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6E1DAA77">
            <w:pPr>
              <w:numPr>
                <w:ilvl w:val="0"/>
                <w:numId w:val="1"/>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Cambria" w:cs="Times New Roman"/>
                <w:color w:val="1B1B1B"/>
                <w:sz w:val="22"/>
                <w:szCs w:val="22"/>
                <w:shd w:val="clear" w:color="auto" w:fill="FFFFFF"/>
              </w:rPr>
              <w:t>Records conducted in the Chinese context.</w:t>
            </w:r>
          </w:p>
        </w:tc>
      </w:tr>
      <w:tr w14:paraId="32E0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restart"/>
          </w:tcPr>
          <w:p w14:paraId="37573621">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宋体" w:cs="Times New Roman"/>
                <w:color w:val="1B1B1B"/>
                <w:sz w:val="22"/>
                <w:szCs w:val="22"/>
                <w:shd w:val="clear" w:color="auto" w:fill="FFFFFF"/>
              </w:rPr>
              <w:t>Exclusion criteria</w:t>
            </w:r>
          </w:p>
        </w:tc>
        <w:tc>
          <w:tcPr>
            <w:tcW w:w="7357" w:type="dxa"/>
          </w:tcPr>
          <w:p w14:paraId="27C45AEC">
            <w:pPr>
              <w:numPr>
                <w:ilvl w:val="0"/>
                <w:numId w:val="2"/>
              </w:numPr>
              <w:spacing w:line="360" w:lineRule="auto"/>
              <w:rPr>
                <w:rFonts w:hint="default" w:ascii="Times New Roman" w:hAnsi="Times New Roman" w:cs="Times New Roman"/>
                <w:sz w:val="22"/>
                <w:szCs w:val="22"/>
              </w:rPr>
            </w:pPr>
            <w:r>
              <w:rPr>
                <w:rFonts w:hint="default" w:ascii="Times New Roman" w:hAnsi="Times New Roman" w:eastAsia="Cambria" w:cs="Times New Roman"/>
                <w:color w:val="1B1B1B"/>
                <w:sz w:val="22"/>
                <w:szCs w:val="22"/>
                <w:shd w:val="clear" w:color="auto" w:fill="FFFFFF"/>
              </w:rPr>
              <w:t>The translation of research into clinical practice and clinical issues;</w:t>
            </w:r>
          </w:p>
        </w:tc>
      </w:tr>
      <w:tr w14:paraId="586E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5965E22B">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34A27BA4">
            <w:pPr>
              <w:numPr>
                <w:ilvl w:val="0"/>
                <w:numId w:val="2"/>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Cambria" w:cs="Times New Roman"/>
                <w:color w:val="1B1B1B"/>
                <w:sz w:val="22"/>
                <w:szCs w:val="22"/>
                <w:shd w:val="clear" w:color="auto" w:fill="FFFFFF"/>
              </w:rPr>
              <w:t>Efforts exclusively targeting the individual level (e.g. promotion of behavior change);</w:t>
            </w:r>
          </w:p>
        </w:tc>
      </w:tr>
      <w:tr w14:paraId="1374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10B2C429">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351C22ED">
            <w:pPr>
              <w:numPr>
                <w:ilvl w:val="0"/>
                <w:numId w:val="2"/>
              </w:num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r>
              <w:rPr>
                <w:rFonts w:hint="default" w:ascii="Times New Roman" w:hAnsi="Times New Roman" w:eastAsia="宋体" w:cs="Times New Roman"/>
                <w:color w:val="1B1B1B"/>
                <w:sz w:val="22"/>
                <w:szCs w:val="22"/>
                <w:shd w:val="clear" w:color="auto" w:fill="FFFFFF"/>
              </w:rPr>
              <w:t>Literature not published in Chinese or English;</w:t>
            </w:r>
          </w:p>
        </w:tc>
      </w:tr>
      <w:tr w14:paraId="33B1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7CA7E78D">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506AFE7D">
            <w:pPr>
              <w:numPr>
                <w:ilvl w:val="0"/>
                <w:numId w:val="2"/>
              </w:numPr>
              <w:spacing w:line="360" w:lineRule="auto"/>
              <w:rPr>
                <w:rFonts w:hint="default" w:ascii="Times New Roman" w:hAnsi="Times New Roman" w:eastAsia="Cambria" w:cs="Times New Roman"/>
                <w:color w:val="1B1B1B"/>
                <w:sz w:val="22"/>
                <w:szCs w:val="22"/>
                <w:shd w:val="clear" w:color="auto" w:fill="FFFFFF"/>
              </w:rPr>
            </w:pPr>
            <w:r>
              <w:rPr>
                <w:rFonts w:hint="default" w:ascii="Times New Roman" w:hAnsi="Times New Roman" w:eastAsia="宋体" w:cs="Times New Roman"/>
                <w:color w:val="1B1B1B"/>
                <w:sz w:val="22"/>
                <w:szCs w:val="22"/>
                <w:shd w:val="clear" w:color="auto" w:fill="FFFFFF"/>
              </w:rPr>
              <w:t>Commentaries, news articles, conference abstracts, and book-type publications;</w:t>
            </w:r>
          </w:p>
        </w:tc>
      </w:tr>
      <w:tr w14:paraId="0849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Merge w:val="continue"/>
          </w:tcPr>
          <w:p w14:paraId="493AB7AA">
            <w:pPr>
              <w:spacing w:line="360" w:lineRule="auto"/>
              <w:rPr>
                <w:rFonts w:hint="default" w:ascii="Times New Roman" w:hAnsi="Times New Roman" w:eastAsia="sans-serif" w:cs="Times New Roman"/>
                <w:b/>
                <w:bCs/>
                <w:color w:val="000000" w:themeColor="text1"/>
                <w:spacing w:val="-4"/>
                <w:kern w:val="0"/>
                <w:sz w:val="22"/>
                <w:szCs w:val="22"/>
                <w:shd w:val="clear" w:color="auto" w:fill="FFFFFF"/>
                <w:lang w:bidi="ar"/>
                <w14:textFill>
                  <w14:solidFill>
                    <w14:schemeClr w14:val="tx1"/>
                  </w14:solidFill>
                </w14:textFill>
              </w:rPr>
            </w:pPr>
          </w:p>
        </w:tc>
        <w:tc>
          <w:tcPr>
            <w:tcW w:w="7357" w:type="dxa"/>
          </w:tcPr>
          <w:p w14:paraId="6CA4C5E7">
            <w:pPr>
              <w:numPr>
                <w:ilvl w:val="0"/>
                <w:numId w:val="2"/>
              </w:numPr>
              <w:spacing w:line="360" w:lineRule="auto"/>
              <w:rPr>
                <w:rFonts w:hint="default" w:ascii="Times New Roman" w:hAnsi="Times New Roman" w:eastAsia="Cambria" w:cs="Times New Roman"/>
                <w:color w:val="1B1B1B"/>
                <w:sz w:val="22"/>
                <w:szCs w:val="22"/>
                <w:shd w:val="clear" w:color="auto" w:fill="FFFFFF"/>
              </w:rPr>
            </w:pPr>
            <w:r>
              <w:rPr>
                <w:rFonts w:hint="default" w:ascii="Times New Roman" w:hAnsi="Times New Roman" w:eastAsia="宋体" w:cs="Times New Roman"/>
                <w:color w:val="1B1B1B"/>
                <w:sz w:val="22"/>
                <w:szCs w:val="22"/>
                <w:shd w:val="clear" w:color="auto" w:fill="FFFFFF"/>
              </w:rPr>
              <w:t>The full text is not available.</w:t>
            </w:r>
          </w:p>
        </w:tc>
      </w:tr>
    </w:tbl>
    <w:p w14:paraId="76EDA3A5">
      <w:pPr>
        <w:rPr>
          <w:rStyle w:val="11"/>
          <w:rFonts w:hint="default" w:ascii="Times New Roman" w:hAnsi="Times New Roman" w:eastAsia="宋体" w:cs="Times New Roman"/>
          <w:sz w:val="22"/>
          <w:szCs w:val="22"/>
        </w:rPr>
        <w:sectPr>
          <w:pgSz w:w="11906" w:h="16838"/>
          <w:pgMar w:top="1440" w:right="1800" w:bottom="1440" w:left="1800" w:header="851" w:footer="992" w:gutter="0"/>
          <w:cols w:space="425" w:num="1"/>
          <w:docGrid w:type="lines" w:linePitch="312" w:charSpace="0"/>
        </w:sectPr>
      </w:pPr>
      <w:r>
        <w:rPr>
          <w:rStyle w:val="11"/>
          <w:rFonts w:hint="default" w:ascii="Times New Roman" w:hAnsi="Times New Roman" w:eastAsia="宋体" w:cs="Times New Roman"/>
          <w:sz w:val="22"/>
          <w:szCs w:val="22"/>
        </w:rPr>
        <w:t xml:space="preserve">Note: </w:t>
      </w:r>
      <w:r>
        <w:rPr>
          <w:rStyle w:val="11"/>
          <w:rFonts w:hint="default" w:ascii="Times New Roman" w:hAnsi="Times New Roman" w:eastAsia="宋体" w:cs="Times New Roman"/>
          <w:b w:val="0"/>
          <w:bCs/>
          <w:sz w:val="22"/>
          <w:szCs w:val="22"/>
        </w:rPr>
        <w:t>Records were included if they were conducted in the Chinese context criterion (4) and met at least one of criteria (1)–(3).</w:t>
      </w:r>
    </w:p>
    <w:p w14:paraId="15ABF5F1">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eastAsia="微软雅黑" w:cs="Times New Roman"/>
          <w:sz w:val="22"/>
          <w:szCs w:val="22"/>
        </w:rPr>
      </w:pPr>
      <w:bookmarkStart w:id="2" w:name="_Toc9606"/>
      <w:r>
        <w:rPr>
          <w:rFonts w:hint="default" w:ascii="Times New Roman" w:hAnsi="Times New Roman" w:eastAsia="微软雅黑" w:cs="Times New Roman"/>
          <w:sz w:val="22"/>
          <w:szCs w:val="22"/>
        </w:rPr>
        <w:t>Table S2. Search strategy in PubMed</w:t>
      </w:r>
      <w:bookmarkEnd w:id="2"/>
    </w:p>
    <w:tbl>
      <w:tblPr>
        <w:tblStyle w:val="8"/>
        <w:tblpPr w:leftFromText="180" w:rightFromText="180" w:vertAnchor="text" w:horzAnchor="page" w:tblpXSpec="center" w:tblpY="159"/>
        <w:tblOverlap w:val="never"/>
        <w:tblW w:w="8908" w:type="dxa"/>
        <w:jc w:val="center"/>
        <w:tblLayout w:type="fixed"/>
        <w:tblCellMar>
          <w:top w:w="0" w:type="dxa"/>
          <w:left w:w="0" w:type="dxa"/>
          <w:bottom w:w="0" w:type="dxa"/>
          <w:right w:w="0" w:type="dxa"/>
        </w:tblCellMar>
      </w:tblPr>
      <w:tblGrid>
        <w:gridCol w:w="731"/>
        <w:gridCol w:w="8177"/>
      </w:tblGrid>
      <w:tr w14:paraId="55C75031">
        <w:tblPrEx>
          <w:tblCellMar>
            <w:top w:w="0" w:type="dxa"/>
            <w:left w:w="0" w:type="dxa"/>
            <w:bottom w:w="0" w:type="dxa"/>
            <w:right w:w="0" w:type="dxa"/>
          </w:tblCellMar>
        </w:tblPrEx>
        <w:trPr>
          <w:trHeight w:val="780" w:hRule="atLeast"/>
          <w:jc w:val="center"/>
        </w:trPr>
        <w:tc>
          <w:tcPr>
            <w:tcW w:w="731" w:type="dxa"/>
            <w:tcBorders>
              <w:top w:val="single" w:color="AFABAB" w:sz="2" w:space="0"/>
              <w:bottom w:val="single" w:color="AFABAB" w:sz="2" w:space="0"/>
            </w:tcBorders>
            <w:shd w:val="clear" w:color="auto" w:fill="E7E6E6" w:themeFill="background2"/>
            <w:tcMar>
              <w:top w:w="72" w:type="dxa"/>
              <w:left w:w="144" w:type="dxa"/>
              <w:bottom w:w="72" w:type="dxa"/>
              <w:right w:w="144" w:type="dxa"/>
            </w:tcMar>
            <w:vAlign w:val="center"/>
          </w:tcPr>
          <w:p w14:paraId="0106E1EA">
            <w:pPr>
              <w:pStyle w:val="7"/>
              <w:widowControl/>
              <w:jc w:val="center"/>
              <w:rPr>
                <w:rFonts w:hint="default" w:ascii="Times New Roman" w:hAnsi="Times New Roman" w:cs="Times New Roman"/>
                <w:sz w:val="22"/>
                <w:szCs w:val="22"/>
                <w:highlight w:val="lightGray"/>
              </w:rPr>
            </w:pPr>
            <w:r>
              <w:rPr>
                <w:rFonts w:hint="default" w:ascii="Times New Roman" w:hAnsi="Times New Roman" w:cs="Times New Roman"/>
                <w:b/>
                <w:bCs/>
                <w:sz w:val="22"/>
                <w:szCs w:val="22"/>
              </w:rPr>
              <w:t>NO.</w:t>
            </w:r>
          </w:p>
        </w:tc>
        <w:tc>
          <w:tcPr>
            <w:tcW w:w="8177" w:type="dxa"/>
            <w:tcBorders>
              <w:top w:val="single" w:color="AFABAB" w:sz="2" w:space="0"/>
              <w:bottom w:val="single" w:color="AFABAB" w:sz="2" w:space="0"/>
            </w:tcBorders>
            <w:shd w:val="clear" w:color="auto" w:fill="E7E6E6" w:themeFill="background2"/>
            <w:tcMar>
              <w:top w:w="72" w:type="dxa"/>
              <w:left w:w="144" w:type="dxa"/>
              <w:bottom w:w="72" w:type="dxa"/>
              <w:right w:w="144" w:type="dxa"/>
            </w:tcMar>
            <w:vAlign w:val="center"/>
          </w:tcPr>
          <w:p w14:paraId="00158CCD">
            <w:pPr>
              <w:pStyle w:val="7"/>
              <w:widowControl/>
              <w:jc w:val="center"/>
              <w:rPr>
                <w:rFonts w:hint="default" w:ascii="Times New Roman" w:hAnsi="Times New Roman" w:cs="Times New Roman"/>
                <w:sz w:val="22"/>
                <w:szCs w:val="22"/>
                <w:highlight w:val="lightGray"/>
              </w:rPr>
            </w:pPr>
            <w:r>
              <w:rPr>
                <w:rFonts w:hint="default" w:ascii="Times New Roman" w:hAnsi="Times New Roman" w:cs="Times New Roman"/>
                <w:b/>
                <w:bCs/>
                <w:sz w:val="22"/>
                <w:szCs w:val="22"/>
              </w:rPr>
              <w:t>Search strategies</w:t>
            </w:r>
          </w:p>
        </w:tc>
      </w:tr>
      <w:tr w14:paraId="3F4864C1">
        <w:tblPrEx>
          <w:tblCellMar>
            <w:top w:w="0" w:type="dxa"/>
            <w:left w:w="0" w:type="dxa"/>
            <w:bottom w:w="0" w:type="dxa"/>
            <w:right w:w="0" w:type="dxa"/>
          </w:tblCellMar>
        </w:tblPrEx>
        <w:trPr>
          <w:trHeight w:val="3160" w:hRule="atLeast"/>
          <w:jc w:val="center"/>
        </w:trPr>
        <w:tc>
          <w:tcPr>
            <w:tcW w:w="731" w:type="dxa"/>
            <w:tcBorders>
              <w:top w:val="single" w:color="AFABAB" w:sz="2" w:space="0"/>
            </w:tcBorders>
            <w:tcMar>
              <w:top w:w="72" w:type="dxa"/>
              <w:left w:w="144" w:type="dxa"/>
              <w:bottom w:w="72" w:type="dxa"/>
              <w:right w:w="144" w:type="dxa"/>
            </w:tcMar>
            <w:vAlign w:val="center"/>
          </w:tcPr>
          <w:p w14:paraId="5A5C4439">
            <w:pPr>
              <w:pStyle w:val="7"/>
              <w:widowControl/>
              <w:rPr>
                <w:rFonts w:hint="default" w:ascii="Times New Roman" w:hAnsi="Times New Roman" w:cs="Times New Roman"/>
                <w:sz w:val="22"/>
                <w:szCs w:val="22"/>
              </w:rPr>
            </w:pPr>
            <w:r>
              <w:rPr>
                <w:rFonts w:hint="default" w:ascii="Times New Roman" w:hAnsi="Times New Roman" w:eastAsia="微软雅黑" w:cs="Times New Roman"/>
                <w:sz w:val="22"/>
                <w:szCs w:val="22"/>
              </w:rPr>
              <w:t>#1</w:t>
            </w:r>
          </w:p>
        </w:tc>
        <w:tc>
          <w:tcPr>
            <w:tcW w:w="8177" w:type="dxa"/>
            <w:tcBorders>
              <w:top w:val="single" w:color="AFABAB" w:sz="2" w:space="0"/>
            </w:tcBorders>
            <w:tcMar>
              <w:top w:w="72" w:type="dxa"/>
              <w:left w:w="144" w:type="dxa"/>
              <w:bottom w:w="72" w:type="dxa"/>
              <w:right w:w="144" w:type="dxa"/>
            </w:tcMar>
            <w:vAlign w:val="center"/>
          </w:tcPr>
          <w:p w14:paraId="20B218EC">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"knowledge translation" OR "knowledge use" OR "evidence use" OR "research use" </w:t>
            </w:r>
          </w:p>
          <w:p w14:paraId="6B72E3E2">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OR "knowledge transfer" OR "research utilization" OR "knowledge utilization" OR </w:t>
            </w:r>
          </w:p>
          <w:p w14:paraId="319D4040">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"evidence utilization" OR "research utilisation" OR "knowledge utilisation" OR </w:t>
            </w:r>
          </w:p>
          <w:p w14:paraId="78B6A77F">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"evidence utilisation"OR"knowledge broker*" OR "knowledge dissemination" OR</w:t>
            </w:r>
          </w:p>
          <w:p w14:paraId="1244A196">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 "evidence dissemination" OR "research dissemination" OR "knowledge exchange" OR</w:t>
            </w:r>
          </w:p>
          <w:p w14:paraId="5DBB17C9">
            <w:pPr>
              <w:pStyle w:val="7"/>
              <w:widowControl/>
              <w:spacing w:beforeAutospacing="0" w:afterAutospacing="0"/>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 "knowledge mobilisation" OR "knowledge mobilization" OR "evidence-informed polic*" OR "evidence informed polic*" OR "evidence-based polic*" OR "evidence based polic*" OR "evidence-informed decision*" OR "evidence-based decision*" OR "evidence informed decision*" OR "evidence based decision*" OR "evidence-informed policy-making" OR "evidence informed policymaking" OR "evidence-based policymaking" OR "evidence based policymaking" OR "evidence-informed decision-making" OR "evidence-based decisionmaking" OR "evidence informed decision-making" OR "evidence based decisionmaking" OR "knowledge platform*" OR "research-to-policy" OR "research to policy"OR "evidence to policy" OR "evidence-to-policy" OR "science policy" OR "science-policy" OR "policy unit" </w:t>
            </w:r>
          </w:p>
          <w:p w14:paraId="6D8C6D42">
            <w:pPr>
              <w:pStyle w:val="7"/>
              <w:widowControl/>
              <w:spacing w:beforeAutospacing="0" w:afterAutospacing="0"/>
              <w:jc w:val="both"/>
              <w:rPr>
                <w:rFonts w:hint="default" w:ascii="Times New Roman" w:hAnsi="Times New Roman" w:cs="Times New Roman"/>
                <w:sz w:val="22"/>
                <w:szCs w:val="22"/>
              </w:rPr>
            </w:pPr>
            <w:r>
              <w:rPr>
                <w:rFonts w:hint="default" w:ascii="Times New Roman" w:hAnsi="Times New Roman" w:eastAsia="微软雅黑" w:cs="Times New Roman"/>
                <w:sz w:val="22"/>
                <w:szCs w:val="22"/>
              </w:rPr>
              <w:t>OR "policy units" OR "advisory bod*" OR "rapid response" .ti, ab</w:t>
            </w:r>
          </w:p>
        </w:tc>
      </w:tr>
      <w:tr w14:paraId="4465E54A">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574E099E">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#2</w:t>
            </w:r>
          </w:p>
        </w:tc>
        <w:tc>
          <w:tcPr>
            <w:tcW w:w="8177" w:type="dxa"/>
            <w:tcMar>
              <w:top w:w="72" w:type="dxa"/>
              <w:left w:w="144" w:type="dxa"/>
              <w:bottom w:w="72" w:type="dxa"/>
              <w:right w:w="144" w:type="dxa"/>
            </w:tcMar>
            <w:vAlign w:val="center"/>
          </w:tcPr>
          <w:p w14:paraId="67D3D381">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"Diffusion of Innovation".mh.</w:t>
            </w:r>
          </w:p>
        </w:tc>
      </w:tr>
      <w:tr w14:paraId="7C7C324A">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141A112A">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#3</w:t>
            </w:r>
          </w:p>
        </w:tc>
        <w:tc>
          <w:tcPr>
            <w:tcW w:w="8177" w:type="dxa"/>
            <w:tcMar>
              <w:top w:w="72" w:type="dxa"/>
              <w:left w:w="144" w:type="dxa"/>
              <w:bottom w:w="72" w:type="dxa"/>
              <w:right w:w="144" w:type="dxa"/>
            </w:tcMar>
            <w:vAlign w:val="center"/>
          </w:tcPr>
          <w:p w14:paraId="47114476">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#1 OR #2</w:t>
            </w:r>
          </w:p>
        </w:tc>
      </w:tr>
      <w:tr w14:paraId="0ECA26D3">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43A22F67">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#4</w:t>
            </w:r>
          </w:p>
        </w:tc>
        <w:tc>
          <w:tcPr>
            <w:tcW w:w="8177" w:type="dxa"/>
            <w:tcMar>
              <w:top w:w="72" w:type="dxa"/>
              <w:left w:w="144" w:type="dxa"/>
              <w:bottom w:w="72" w:type="dxa"/>
              <w:right w:w="144" w:type="dxa"/>
            </w:tcMar>
            <w:vAlign w:val="center"/>
          </w:tcPr>
          <w:p w14:paraId="40015943">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"Health Policy" OR "Public Policy" OR "Decision Making, Organizational" OR "Policy Making".mh.</w:t>
            </w:r>
          </w:p>
        </w:tc>
      </w:tr>
      <w:tr w14:paraId="3DAD87D2">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7C402B10">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#5</w:t>
            </w:r>
          </w:p>
        </w:tc>
        <w:tc>
          <w:tcPr>
            <w:tcW w:w="8177" w:type="dxa"/>
            <w:tcMar>
              <w:top w:w="72" w:type="dxa"/>
              <w:left w:w="144" w:type="dxa"/>
              <w:bottom w:w="72" w:type="dxa"/>
              <w:right w:w="144" w:type="dxa"/>
            </w:tcMar>
            <w:vAlign w:val="center"/>
          </w:tcPr>
          <w:p w14:paraId="44C110C7">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"Decision Making" OR "Polic*" OR "Policymak*" OR "Policy-mak*".ti, ab</w:t>
            </w:r>
          </w:p>
        </w:tc>
      </w:tr>
      <w:tr w14:paraId="7E1217E4">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454061D9">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#6</w:t>
            </w:r>
          </w:p>
        </w:tc>
        <w:tc>
          <w:tcPr>
            <w:tcW w:w="8177" w:type="dxa"/>
            <w:tcMar>
              <w:top w:w="72" w:type="dxa"/>
              <w:left w:w="144" w:type="dxa"/>
              <w:bottom w:w="72" w:type="dxa"/>
              <w:right w:w="144" w:type="dxa"/>
            </w:tcMar>
            <w:vAlign w:val="center"/>
          </w:tcPr>
          <w:p w14:paraId="51F6A483">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#4 OR #5</w:t>
            </w:r>
          </w:p>
        </w:tc>
      </w:tr>
      <w:tr w14:paraId="3CF1BF88">
        <w:tblPrEx>
          <w:tblCellMar>
            <w:top w:w="0" w:type="dxa"/>
            <w:left w:w="0" w:type="dxa"/>
            <w:bottom w:w="0" w:type="dxa"/>
            <w:right w:w="0" w:type="dxa"/>
          </w:tblCellMar>
        </w:tblPrEx>
        <w:trPr>
          <w:trHeight w:val="520" w:hRule="atLeast"/>
          <w:jc w:val="center"/>
        </w:trPr>
        <w:tc>
          <w:tcPr>
            <w:tcW w:w="731" w:type="dxa"/>
            <w:tcMar>
              <w:top w:w="72" w:type="dxa"/>
              <w:left w:w="144" w:type="dxa"/>
              <w:bottom w:w="72" w:type="dxa"/>
              <w:right w:w="144" w:type="dxa"/>
            </w:tcMar>
            <w:vAlign w:val="center"/>
          </w:tcPr>
          <w:p w14:paraId="172B9206">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#7</w:t>
            </w:r>
          </w:p>
        </w:tc>
        <w:tc>
          <w:tcPr>
            <w:tcW w:w="8177" w:type="dxa"/>
            <w:tcMar>
              <w:top w:w="72" w:type="dxa"/>
              <w:left w:w="144" w:type="dxa"/>
              <w:bottom w:w="72" w:type="dxa"/>
              <w:right w:w="144" w:type="dxa"/>
            </w:tcMar>
            <w:vAlign w:val="center"/>
          </w:tcPr>
          <w:p w14:paraId="7D8D9DF5">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 xml:space="preserve">China OR Chinese .ti, ab </w:t>
            </w:r>
          </w:p>
        </w:tc>
      </w:tr>
      <w:tr w14:paraId="0B9C6698">
        <w:tblPrEx>
          <w:tblCellMar>
            <w:top w:w="0" w:type="dxa"/>
            <w:left w:w="0" w:type="dxa"/>
            <w:bottom w:w="0" w:type="dxa"/>
            <w:right w:w="0" w:type="dxa"/>
          </w:tblCellMar>
        </w:tblPrEx>
        <w:trPr>
          <w:trHeight w:val="520" w:hRule="atLeast"/>
          <w:jc w:val="center"/>
        </w:trPr>
        <w:tc>
          <w:tcPr>
            <w:tcW w:w="731" w:type="dxa"/>
            <w:tcBorders>
              <w:bottom w:val="single" w:color="AFABAB" w:sz="2" w:space="0"/>
            </w:tcBorders>
            <w:tcMar>
              <w:top w:w="72" w:type="dxa"/>
              <w:left w:w="144" w:type="dxa"/>
              <w:bottom w:w="72" w:type="dxa"/>
              <w:right w:w="144" w:type="dxa"/>
            </w:tcMar>
            <w:vAlign w:val="center"/>
          </w:tcPr>
          <w:p w14:paraId="214DA43E">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#8</w:t>
            </w:r>
          </w:p>
        </w:tc>
        <w:tc>
          <w:tcPr>
            <w:tcW w:w="8177" w:type="dxa"/>
            <w:tcBorders>
              <w:bottom w:val="single" w:color="AFABAB" w:sz="2" w:space="0"/>
            </w:tcBorders>
            <w:tcMar>
              <w:top w:w="72" w:type="dxa"/>
              <w:left w:w="144" w:type="dxa"/>
              <w:bottom w:w="72" w:type="dxa"/>
              <w:right w:w="144" w:type="dxa"/>
            </w:tcMar>
            <w:vAlign w:val="center"/>
          </w:tcPr>
          <w:p w14:paraId="3AA29E37">
            <w:pPr>
              <w:pStyle w:val="7"/>
              <w:widowControl/>
              <w:spacing w:beforeAutospacing="0" w:afterAutospacing="0"/>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#3 AND #6 AND #7</w:t>
            </w:r>
          </w:p>
        </w:tc>
      </w:tr>
    </w:tbl>
    <w:p w14:paraId="6D0126A6">
      <w:pPr>
        <w:rPr>
          <w:rFonts w:hint="default" w:ascii="Times New Roman" w:hAnsi="Times New Roman" w:eastAsia="宋体" w:cs="Times New Roman"/>
          <w:sz w:val="22"/>
          <w:szCs w:val="22"/>
        </w:rPr>
        <w:sectPr>
          <w:pgSz w:w="11906" w:h="16838"/>
          <w:pgMar w:top="1440" w:right="1800" w:bottom="1440" w:left="1800" w:header="851" w:footer="992" w:gutter="0"/>
          <w:cols w:space="425" w:num="1"/>
          <w:docGrid w:type="lines" w:linePitch="312" w:charSpace="0"/>
        </w:sectPr>
      </w:pPr>
      <w:r>
        <w:rPr>
          <w:rStyle w:val="11"/>
          <w:rFonts w:hint="default" w:ascii="Times New Roman" w:hAnsi="Times New Roman" w:eastAsia="宋体" w:cs="Times New Roman"/>
          <w:sz w:val="22"/>
          <w:szCs w:val="22"/>
        </w:rPr>
        <w:t>Note:</w:t>
      </w:r>
      <w:r>
        <w:rPr>
          <w:rFonts w:hint="default" w:ascii="Times New Roman" w:hAnsi="Times New Roman" w:eastAsia="宋体" w:cs="Times New Roman"/>
          <w:sz w:val="22"/>
          <w:szCs w:val="22"/>
        </w:rPr>
        <w:t xml:space="preserve"> Knowledge translation-related terms were included in the search strategy because previous work on EIP institutionalization has used “knowledge translation” alongside “institutionalization” and “policy-making” as core search concepts, with related terms added to improve search sensitivity. Records retrieved through these terms were included only when they were relevant to EIP institutionalization or policy-level evidence use</w:t>
      </w:r>
      <w:r>
        <w:rPr>
          <w:rFonts w:hint="default" w:ascii="Times New Roman" w:hAnsi="Times New Roman" w:eastAsia="宋体" w:cs="Times New Roman"/>
          <w:sz w:val="22"/>
          <w:szCs w:val="22"/>
          <w:vertAlign w:val="superscript"/>
          <w:lang w:val="en-US" w:eastAsia="zh-CN"/>
        </w:rPr>
        <w:t>[7]</w:t>
      </w:r>
      <w:r>
        <w:rPr>
          <w:rFonts w:hint="default" w:ascii="Times New Roman" w:hAnsi="Times New Roman" w:eastAsia="宋体" w:cs="Times New Roman"/>
          <w:sz w:val="22"/>
          <w:szCs w:val="22"/>
        </w:rPr>
        <w:t>.</w:t>
      </w:r>
    </w:p>
    <w:p w14:paraId="350F6540">
      <w:pPr>
        <w:keepNext w:val="0"/>
        <w:keepLines w:val="0"/>
        <w:pageBreakBefore w:val="0"/>
        <w:widowControl w:val="0"/>
        <w:kinsoku/>
        <w:wordWrap/>
        <w:overflowPunct/>
        <w:topLinePunct w:val="0"/>
        <w:autoSpaceDE/>
        <w:autoSpaceDN/>
        <w:bidi w:val="0"/>
        <w:adjustRightInd/>
        <w:snapToGrid/>
        <w:jc w:val="both"/>
        <w:textAlignment w:val="auto"/>
        <w:outlineLvl w:val="1"/>
        <w:rPr>
          <w:rFonts w:hint="default" w:ascii="Times New Roman" w:hAnsi="Times New Roman" w:eastAsia="宋体" w:cs="Times New Roman"/>
          <w:sz w:val="22"/>
          <w:szCs w:val="22"/>
        </w:rPr>
      </w:pPr>
      <w:bookmarkStart w:id="3" w:name="_Toc12869"/>
      <w:r>
        <w:rPr>
          <w:rFonts w:hint="default" w:ascii="Times New Roman" w:hAnsi="Times New Roman" w:eastAsia="微软雅黑" w:cs="Times New Roman"/>
          <w:sz w:val="22"/>
          <w:szCs w:val="22"/>
          <w:lang w:val="en-GB" w:eastAsia="zh-CN"/>
        </w:rPr>
        <w:t>Table S</w:t>
      </w:r>
      <w:r>
        <w:rPr>
          <w:rFonts w:hint="default" w:ascii="Times New Roman" w:hAnsi="Times New Roman" w:eastAsia="微软雅黑" w:cs="Times New Roman"/>
          <w:sz w:val="22"/>
          <w:szCs w:val="22"/>
          <w:lang w:val="en-US" w:eastAsia="zh-CN"/>
        </w:rPr>
        <w:t>3</w:t>
      </w:r>
      <w:r>
        <w:rPr>
          <w:rFonts w:hint="default" w:ascii="Times New Roman" w:hAnsi="Times New Roman" w:eastAsia="微软雅黑" w:cs="Times New Roman"/>
          <w:sz w:val="22"/>
          <w:szCs w:val="22"/>
          <w:lang w:val="en-GB" w:eastAsia="zh-CN"/>
        </w:rPr>
        <w:t>.</w:t>
      </w:r>
      <w:r>
        <w:rPr>
          <w:rFonts w:hint="default" w:ascii="Times New Roman" w:hAnsi="Times New Roman" w:eastAsia="微软雅黑" w:cs="Times New Roman"/>
          <w:sz w:val="22"/>
          <w:szCs w:val="22"/>
          <w:lang w:val="en-US" w:eastAsia="zh-CN"/>
        </w:rPr>
        <w:t xml:space="preserve"> </w:t>
      </w:r>
      <w:r>
        <w:rPr>
          <w:rFonts w:hint="default" w:ascii="Times New Roman" w:hAnsi="Times New Roman" w:eastAsia="微软雅黑" w:cs="Times New Roman"/>
          <w:sz w:val="22"/>
          <w:szCs w:val="22"/>
          <w:lang w:val="en-GB" w:eastAsia="zh-CN"/>
        </w:rPr>
        <w:t>Purposive sampling framework for national-level government institutions included in the policy-document search</w:t>
      </w:r>
      <w:bookmarkEnd w:id="3"/>
    </w:p>
    <w:p w14:paraId="3D155FCC">
      <w:pPr>
        <w:keepNext w:val="0"/>
        <w:keepLines w:val="0"/>
        <w:pageBreakBefore w:val="0"/>
        <w:widowControl w:val="0"/>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z w:val="22"/>
          <w:szCs w:val="22"/>
          <w:lang w:val="en-US" w:eastAsia="zh-CN"/>
        </w:rPr>
      </w:pPr>
    </w:p>
    <w:tbl>
      <w:tblPr>
        <w:tblStyle w:val="9"/>
        <w:tblW w:w="12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2"/>
        <w:gridCol w:w="2862"/>
        <w:gridCol w:w="3840"/>
        <w:gridCol w:w="2194"/>
        <w:gridCol w:w="3232"/>
      </w:tblGrid>
      <w:tr w14:paraId="7EA1D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tcBorders>
              <w:top w:val="single" w:color="auto" w:sz="4" w:space="0"/>
              <w:bottom w:val="single" w:color="auto" w:sz="4" w:space="0"/>
            </w:tcBorders>
            <w:shd w:val="clear" w:color="auto" w:fill="D7D7D7" w:themeFill="background1" w:themeFillShade="D8"/>
            <w:vAlign w:val="center"/>
          </w:tcPr>
          <w:p w14:paraId="7CDEA40A">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No.</w:t>
            </w:r>
          </w:p>
        </w:tc>
        <w:tc>
          <w:tcPr>
            <w:tcW w:w="2862" w:type="dxa"/>
            <w:tcBorders>
              <w:top w:val="single" w:color="auto" w:sz="4" w:space="0"/>
              <w:bottom w:val="single" w:color="auto" w:sz="4" w:space="0"/>
            </w:tcBorders>
            <w:shd w:val="clear" w:color="auto" w:fill="D7D7D7" w:themeFill="background1" w:themeFillShade="D8"/>
            <w:vAlign w:val="center"/>
          </w:tcPr>
          <w:p w14:paraId="7FAABD87">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Institution</w:t>
            </w:r>
          </w:p>
        </w:tc>
        <w:tc>
          <w:tcPr>
            <w:tcW w:w="3840" w:type="dxa"/>
            <w:tcBorders>
              <w:top w:val="single" w:color="auto" w:sz="4" w:space="0"/>
              <w:bottom w:val="single" w:color="auto" w:sz="4" w:space="0"/>
            </w:tcBorders>
            <w:shd w:val="clear" w:color="auto" w:fill="D7D7D7" w:themeFill="background1" w:themeFillShade="D8"/>
            <w:vAlign w:val="center"/>
          </w:tcPr>
          <w:p w14:paraId="1FDBA79B">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Main policy mandate/remit</w:t>
            </w:r>
          </w:p>
        </w:tc>
        <w:tc>
          <w:tcPr>
            <w:tcW w:w="2194" w:type="dxa"/>
            <w:tcBorders>
              <w:top w:val="single" w:color="auto" w:sz="4" w:space="0"/>
              <w:bottom w:val="single" w:color="auto" w:sz="4" w:space="0"/>
            </w:tcBorders>
            <w:shd w:val="clear" w:color="auto" w:fill="D7D7D7" w:themeFill="background1" w:themeFillShade="D8"/>
            <w:vAlign w:val="center"/>
          </w:tcPr>
          <w:p w14:paraId="06174F14">
            <w:pPr>
              <w:jc w:val="left"/>
              <w:rPr>
                <w:rFonts w:hint="default" w:ascii="Times New Roman" w:hAnsi="Times New Roman" w:eastAsia="宋体" w:cs="Times New Roman"/>
                <w:b/>
                <w:bCs/>
                <w:sz w:val="22"/>
                <w:szCs w:val="22"/>
                <w:vertAlign w:val="baseline"/>
              </w:rPr>
            </w:pPr>
            <w:r>
              <w:rPr>
                <w:rFonts w:hint="default" w:ascii="Times New Roman" w:hAnsi="Times New Roman" w:eastAsia="宋体" w:cs="Times New Roman"/>
                <w:b/>
                <w:bCs/>
                <w:sz w:val="22"/>
                <w:szCs w:val="22"/>
                <w:vertAlign w:val="baseline"/>
                <w:lang w:val="en-US" w:eastAsia="zh-CN"/>
              </w:rPr>
              <w:t>Major policy sector(s) and indicative SDG coverage</w:t>
            </w:r>
          </w:p>
        </w:tc>
        <w:tc>
          <w:tcPr>
            <w:tcW w:w="3232" w:type="dxa"/>
            <w:tcBorders>
              <w:top w:val="single" w:color="auto" w:sz="4" w:space="0"/>
              <w:bottom w:val="single" w:color="auto" w:sz="4" w:space="0"/>
            </w:tcBorders>
            <w:shd w:val="clear" w:color="auto" w:fill="D7D7D7" w:themeFill="background1" w:themeFillShade="D8"/>
            <w:vAlign w:val="center"/>
          </w:tcPr>
          <w:p w14:paraId="5A71BCB3">
            <w:pPr>
              <w:jc w:val="left"/>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Rationale for inclusion</w:t>
            </w:r>
          </w:p>
        </w:tc>
      </w:tr>
      <w:tr w14:paraId="1A4B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tcBorders>
              <w:top w:val="single" w:color="auto" w:sz="4" w:space="0"/>
            </w:tcBorders>
            <w:vAlign w:val="center"/>
          </w:tcPr>
          <w:p w14:paraId="2C34E4F6">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1</w:t>
            </w:r>
          </w:p>
        </w:tc>
        <w:tc>
          <w:tcPr>
            <w:tcW w:w="2862" w:type="dxa"/>
            <w:tcBorders>
              <w:top w:val="single" w:color="auto" w:sz="4" w:space="0"/>
            </w:tcBorders>
            <w:vAlign w:val="center"/>
          </w:tcPr>
          <w:p w14:paraId="724F95E9">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China Meteorological Administration</w:t>
            </w:r>
          </w:p>
        </w:tc>
        <w:tc>
          <w:tcPr>
            <w:tcW w:w="3840" w:type="dxa"/>
            <w:tcBorders>
              <w:top w:val="single" w:color="auto" w:sz="4" w:space="0"/>
            </w:tcBorders>
            <w:vAlign w:val="center"/>
          </w:tcPr>
          <w:p w14:paraId="35F9A82B">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Meteorological services, climate information, and related policy support</w:t>
            </w:r>
          </w:p>
        </w:tc>
        <w:tc>
          <w:tcPr>
            <w:tcW w:w="2194" w:type="dxa"/>
            <w:tcBorders>
              <w:top w:val="single" w:color="auto" w:sz="4" w:space="0"/>
            </w:tcBorders>
            <w:vAlign w:val="center"/>
          </w:tcPr>
          <w:p w14:paraId="1D6A520C">
            <w:pPr>
              <w:keepNext w:val="0"/>
              <w:keepLines w:val="0"/>
              <w:widowControl/>
              <w:suppressLineNumbers w:val="0"/>
              <w:jc w:val="left"/>
              <w:textAlignment w:val="top"/>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SDG13</w:t>
            </w:r>
          </w:p>
        </w:tc>
        <w:tc>
          <w:tcPr>
            <w:tcW w:w="3232" w:type="dxa"/>
            <w:tcBorders>
              <w:top w:val="single" w:color="auto" w:sz="4" w:space="0"/>
            </w:tcBorders>
            <w:shd w:val="clear" w:color="auto" w:fill="auto"/>
            <w:vAlign w:val="center"/>
          </w:tcPr>
          <w:p w14:paraId="3B684890">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宋体" w:cs="Times New Roman"/>
                <w:sz w:val="22"/>
                <w:szCs w:val="22"/>
                <w:vertAlign w:val="baseline"/>
                <w:lang w:val="en-US" w:eastAsia="zh-CN"/>
              </w:rPr>
              <w:t>Represents climate- and meteorology-related policy and evidence-support functions.</w:t>
            </w:r>
          </w:p>
        </w:tc>
      </w:tr>
      <w:tr w14:paraId="74BD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1B09B56E">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2</w:t>
            </w:r>
          </w:p>
        </w:tc>
        <w:tc>
          <w:tcPr>
            <w:tcW w:w="2862" w:type="dxa"/>
            <w:vAlign w:val="center"/>
          </w:tcPr>
          <w:p w14:paraId="5F924BE8">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Science and Technology</w:t>
            </w:r>
          </w:p>
        </w:tc>
        <w:tc>
          <w:tcPr>
            <w:tcW w:w="3840" w:type="dxa"/>
            <w:vAlign w:val="center"/>
          </w:tcPr>
          <w:p w14:paraId="404A4301">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Science, technology, research, and innovation policy</w:t>
            </w:r>
          </w:p>
        </w:tc>
        <w:tc>
          <w:tcPr>
            <w:tcW w:w="2194" w:type="dxa"/>
            <w:vAlign w:val="center"/>
          </w:tcPr>
          <w:p w14:paraId="43B7ED6D">
            <w:pPr>
              <w:keepNext w:val="0"/>
              <w:keepLines w:val="0"/>
              <w:widowControl/>
              <w:suppressLineNumbers w:val="0"/>
              <w:jc w:val="left"/>
              <w:textAlignment w:val="top"/>
              <w:rPr>
                <w:rFonts w:hint="default" w:ascii="Times New Roman" w:hAnsi="Times New Roman" w:eastAsia="宋体" w:cs="Times New Roman"/>
                <w:sz w:val="22"/>
                <w:szCs w:val="22"/>
                <w:vertAlign w:val="baseline"/>
                <w:lang w:val="en-US"/>
              </w:rPr>
            </w:pPr>
            <w:r>
              <w:rPr>
                <w:rFonts w:hint="default" w:ascii="Times New Roman" w:hAnsi="Times New Roman" w:eastAsia="sans-serif" w:cs="Times New Roman"/>
                <w:i w:val="0"/>
                <w:iCs w:val="0"/>
                <w:color w:val="000000"/>
                <w:kern w:val="0"/>
                <w:sz w:val="22"/>
                <w:szCs w:val="22"/>
                <w:u w:val="none"/>
                <w:lang w:val="en-US" w:eastAsia="zh-CN" w:bidi="ar"/>
              </w:rPr>
              <w:t>SDG9</w:t>
            </w:r>
          </w:p>
        </w:tc>
        <w:tc>
          <w:tcPr>
            <w:tcW w:w="3232" w:type="dxa"/>
            <w:shd w:val="clear" w:color="auto" w:fill="auto"/>
            <w:vAlign w:val="center"/>
          </w:tcPr>
          <w:p w14:paraId="0A1DB291">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national science, research, and innovation policy.</w:t>
            </w:r>
          </w:p>
        </w:tc>
      </w:tr>
      <w:tr w14:paraId="4BD8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1D92EF6E">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3</w:t>
            </w:r>
          </w:p>
        </w:tc>
        <w:tc>
          <w:tcPr>
            <w:tcW w:w="2862" w:type="dxa"/>
            <w:vAlign w:val="center"/>
          </w:tcPr>
          <w:p w14:paraId="627F693D">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Counsellors' Office of the State Council</w:t>
            </w:r>
          </w:p>
        </w:tc>
        <w:tc>
          <w:tcPr>
            <w:tcW w:w="3840" w:type="dxa"/>
            <w:vAlign w:val="center"/>
          </w:tcPr>
          <w:p w14:paraId="5989749F">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Policy consultation and government advisory functions</w:t>
            </w:r>
          </w:p>
        </w:tc>
        <w:tc>
          <w:tcPr>
            <w:tcW w:w="2194" w:type="dxa"/>
            <w:vAlign w:val="center"/>
          </w:tcPr>
          <w:p w14:paraId="36CB53AC">
            <w:pPr>
              <w:keepNext w:val="0"/>
              <w:keepLines w:val="0"/>
              <w:widowControl/>
              <w:suppressLineNumbers w:val="0"/>
              <w:jc w:val="left"/>
              <w:textAlignment w:val="top"/>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SDG16</w:t>
            </w:r>
          </w:p>
        </w:tc>
        <w:tc>
          <w:tcPr>
            <w:tcW w:w="3232" w:type="dxa"/>
            <w:vAlign w:val="center"/>
          </w:tcPr>
          <w:p w14:paraId="53F7C142">
            <w:pPr>
              <w:keepNext w:val="0"/>
              <w:keepLines w:val="0"/>
              <w:widowControl/>
              <w:suppressLineNumbers w:val="0"/>
              <w:jc w:val="left"/>
              <w:textAlignment w:val="top"/>
              <w:rPr>
                <w:rFonts w:hint="default" w:ascii="Times New Roman" w:hAnsi="Times New Roman" w:eastAsia="宋体" w:cs="Times New Roman"/>
                <w:sz w:val="22"/>
                <w:szCs w:val="22"/>
                <w:vertAlign w:val="baseline"/>
                <w:lang w:val="en-US"/>
              </w:rPr>
            </w:pPr>
            <w:r>
              <w:rPr>
                <w:rFonts w:hint="default" w:ascii="Times New Roman" w:hAnsi="Times New Roman" w:eastAsia="宋体" w:cs="Times New Roman"/>
                <w:sz w:val="22"/>
                <w:szCs w:val="22"/>
                <w:vertAlign w:val="baseline"/>
                <w:lang w:val="en-US" w:eastAsia="zh-CN"/>
              </w:rPr>
              <w:t>Included because of its direct role in policy consultation and decision support.</w:t>
            </w:r>
          </w:p>
        </w:tc>
      </w:tr>
      <w:tr w14:paraId="71962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0B55CF19">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4</w:t>
            </w:r>
          </w:p>
        </w:tc>
        <w:tc>
          <w:tcPr>
            <w:tcW w:w="2862" w:type="dxa"/>
            <w:vAlign w:val="center"/>
          </w:tcPr>
          <w:p w14:paraId="1A4F0D73">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National Health Commission</w:t>
            </w:r>
          </w:p>
        </w:tc>
        <w:tc>
          <w:tcPr>
            <w:tcW w:w="3840" w:type="dxa"/>
            <w:vAlign w:val="center"/>
          </w:tcPr>
          <w:p w14:paraId="447E42D0">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National health policy, public health, health-system governance</w:t>
            </w:r>
          </w:p>
        </w:tc>
        <w:tc>
          <w:tcPr>
            <w:tcW w:w="2194" w:type="dxa"/>
            <w:vAlign w:val="center"/>
          </w:tcPr>
          <w:p w14:paraId="738B806C">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SDG3</w:t>
            </w:r>
          </w:p>
        </w:tc>
        <w:tc>
          <w:tcPr>
            <w:tcW w:w="3232" w:type="dxa"/>
            <w:vAlign w:val="center"/>
          </w:tcPr>
          <w:p w14:paraId="386212AD">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the health sector and national health-policy decision-making.</w:t>
            </w:r>
          </w:p>
        </w:tc>
      </w:tr>
      <w:tr w14:paraId="61C9C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361F1206">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5</w:t>
            </w:r>
          </w:p>
        </w:tc>
        <w:tc>
          <w:tcPr>
            <w:tcW w:w="2862" w:type="dxa"/>
            <w:vAlign w:val="center"/>
          </w:tcPr>
          <w:p w14:paraId="64D95519">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Finance</w:t>
            </w:r>
          </w:p>
        </w:tc>
        <w:tc>
          <w:tcPr>
            <w:tcW w:w="3840" w:type="dxa"/>
            <w:vAlign w:val="center"/>
          </w:tcPr>
          <w:p w14:paraId="6A37DB1D">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National fiscal and public-finance policy</w:t>
            </w:r>
          </w:p>
        </w:tc>
        <w:tc>
          <w:tcPr>
            <w:tcW w:w="2194" w:type="dxa"/>
            <w:vAlign w:val="center"/>
          </w:tcPr>
          <w:p w14:paraId="6C1F2F02">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Multiple SDGs</w:t>
            </w:r>
          </w:p>
        </w:tc>
        <w:tc>
          <w:tcPr>
            <w:tcW w:w="3232" w:type="dxa"/>
            <w:vAlign w:val="center"/>
          </w:tcPr>
          <w:p w14:paraId="61B17085">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fiscal policy and cross-sectoral resource-allocation functions.</w:t>
            </w:r>
          </w:p>
        </w:tc>
      </w:tr>
      <w:tr w14:paraId="74377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621C1F22">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6</w:t>
            </w:r>
          </w:p>
        </w:tc>
        <w:tc>
          <w:tcPr>
            <w:tcW w:w="2862" w:type="dxa"/>
            <w:vAlign w:val="center"/>
          </w:tcPr>
          <w:p w14:paraId="2B108D94">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Chinese Academy of Sciences</w:t>
            </w:r>
          </w:p>
        </w:tc>
        <w:tc>
          <w:tcPr>
            <w:tcW w:w="3840" w:type="dxa"/>
            <w:vAlign w:val="center"/>
          </w:tcPr>
          <w:p w14:paraId="5E33E02B">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Scientific research and scientific advisory functions</w:t>
            </w:r>
          </w:p>
        </w:tc>
        <w:tc>
          <w:tcPr>
            <w:tcW w:w="2194" w:type="dxa"/>
            <w:vAlign w:val="center"/>
          </w:tcPr>
          <w:p w14:paraId="20871B1E">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SDG9</w:t>
            </w:r>
          </w:p>
        </w:tc>
        <w:tc>
          <w:tcPr>
            <w:tcW w:w="3232" w:type="dxa"/>
            <w:vAlign w:val="center"/>
          </w:tcPr>
          <w:p w14:paraId="1629F9A1">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national scientific research and advisory capacity.</w:t>
            </w:r>
          </w:p>
        </w:tc>
      </w:tr>
      <w:tr w14:paraId="315B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016E4815">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7</w:t>
            </w:r>
          </w:p>
        </w:tc>
        <w:tc>
          <w:tcPr>
            <w:tcW w:w="2862" w:type="dxa"/>
            <w:vAlign w:val="center"/>
          </w:tcPr>
          <w:p w14:paraId="14B9AAD5">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Education</w:t>
            </w:r>
          </w:p>
        </w:tc>
        <w:tc>
          <w:tcPr>
            <w:tcW w:w="3840" w:type="dxa"/>
            <w:vAlign w:val="center"/>
          </w:tcPr>
          <w:p w14:paraId="552E421C">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National education policy</w:t>
            </w:r>
          </w:p>
        </w:tc>
        <w:tc>
          <w:tcPr>
            <w:tcW w:w="2194" w:type="dxa"/>
            <w:vAlign w:val="center"/>
          </w:tcPr>
          <w:p w14:paraId="43EE4B10">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SDG4</w:t>
            </w:r>
          </w:p>
        </w:tc>
        <w:tc>
          <w:tcPr>
            <w:tcW w:w="3232" w:type="dxa"/>
            <w:vAlign w:val="center"/>
          </w:tcPr>
          <w:p w14:paraId="00E88FF7">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the education sector.</w:t>
            </w:r>
          </w:p>
        </w:tc>
      </w:tr>
      <w:tr w14:paraId="701C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60B62073">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8</w:t>
            </w:r>
          </w:p>
        </w:tc>
        <w:tc>
          <w:tcPr>
            <w:tcW w:w="2862" w:type="dxa"/>
            <w:vAlign w:val="center"/>
          </w:tcPr>
          <w:p w14:paraId="5A2A4B6F">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Agriculture and Rural Affairs</w:t>
            </w:r>
          </w:p>
        </w:tc>
        <w:tc>
          <w:tcPr>
            <w:tcW w:w="3840" w:type="dxa"/>
            <w:vAlign w:val="center"/>
          </w:tcPr>
          <w:p w14:paraId="5723BF2B">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Agriculture, food systems, and rural development</w:t>
            </w:r>
          </w:p>
        </w:tc>
        <w:tc>
          <w:tcPr>
            <w:tcW w:w="2194" w:type="dxa"/>
            <w:vAlign w:val="center"/>
          </w:tcPr>
          <w:p w14:paraId="160B7954">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SDG1, SDG2</w:t>
            </w:r>
          </w:p>
        </w:tc>
        <w:tc>
          <w:tcPr>
            <w:tcW w:w="3232" w:type="dxa"/>
            <w:vAlign w:val="center"/>
          </w:tcPr>
          <w:p w14:paraId="04CACD8C">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agricultural and rural-development policy.</w:t>
            </w:r>
          </w:p>
        </w:tc>
      </w:tr>
      <w:tr w14:paraId="251B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014B433A">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9</w:t>
            </w:r>
          </w:p>
        </w:tc>
        <w:tc>
          <w:tcPr>
            <w:tcW w:w="2862" w:type="dxa"/>
            <w:vAlign w:val="center"/>
          </w:tcPr>
          <w:p w14:paraId="218CF3B5">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Ecology and Environment</w:t>
            </w:r>
          </w:p>
        </w:tc>
        <w:tc>
          <w:tcPr>
            <w:tcW w:w="3840" w:type="dxa"/>
            <w:vAlign w:val="center"/>
          </w:tcPr>
          <w:p w14:paraId="00F29B1B">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Environmental protection and environmental governance</w:t>
            </w:r>
          </w:p>
        </w:tc>
        <w:tc>
          <w:tcPr>
            <w:tcW w:w="2194" w:type="dxa"/>
            <w:vAlign w:val="center"/>
          </w:tcPr>
          <w:p w14:paraId="71A14517">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SDG6, SDG12, SDG13, SDG14, SDG15</w:t>
            </w:r>
          </w:p>
        </w:tc>
        <w:tc>
          <w:tcPr>
            <w:tcW w:w="3232" w:type="dxa"/>
            <w:vAlign w:val="center"/>
          </w:tcPr>
          <w:p w14:paraId="4A020323">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environmental policy and regulation.</w:t>
            </w:r>
          </w:p>
        </w:tc>
      </w:tr>
      <w:tr w14:paraId="6937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0DF3E270">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10</w:t>
            </w:r>
          </w:p>
        </w:tc>
        <w:tc>
          <w:tcPr>
            <w:tcW w:w="2862" w:type="dxa"/>
            <w:vAlign w:val="center"/>
          </w:tcPr>
          <w:p w14:paraId="3879E142">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Ministry of Foreign Affairs</w:t>
            </w:r>
          </w:p>
        </w:tc>
        <w:tc>
          <w:tcPr>
            <w:tcW w:w="3840" w:type="dxa"/>
            <w:vAlign w:val="center"/>
          </w:tcPr>
          <w:p w14:paraId="04493CCC">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Foreign affairs and international cooperation</w:t>
            </w:r>
          </w:p>
        </w:tc>
        <w:tc>
          <w:tcPr>
            <w:tcW w:w="2194" w:type="dxa"/>
            <w:vAlign w:val="center"/>
          </w:tcPr>
          <w:p w14:paraId="49442843">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SDG17</w:t>
            </w:r>
          </w:p>
        </w:tc>
        <w:tc>
          <w:tcPr>
            <w:tcW w:w="3232" w:type="dxa"/>
            <w:vAlign w:val="center"/>
          </w:tcPr>
          <w:p w14:paraId="5DB52CB0">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international cooperation and foreign-policy processes.</w:t>
            </w:r>
          </w:p>
        </w:tc>
      </w:tr>
      <w:tr w14:paraId="12A5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269321BA">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11</w:t>
            </w:r>
          </w:p>
        </w:tc>
        <w:tc>
          <w:tcPr>
            <w:tcW w:w="2862" w:type="dxa"/>
            <w:vAlign w:val="center"/>
          </w:tcPr>
          <w:p w14:paraId="07E7A0C4">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sans-serif" w:cs="Times New Roman"/>
                <w:i w:val="0"/>
                <w:iCs w:val="0"/>
                <w:color w:val="000000"/>
                <w:kern w:val="0"/>
                <w:sz w:val="22"/>
                <w:szCs w:val="22"/>
                <w:u w:val="none"/>
                <w:lang w:val="en-US" w:eastAsia="zh-CN" w:bidi="ar"/>
              </w:rPr>
              <w:t>Ministry of Justice</w:t>
            </w:r>
          </w:p>
        </w:tc>
        <w:tc>
          <w:tcPr>
            <w:tcW w:w="3840" w:type="dxa"/>
            <w:vAlign w:val="center"/>
          </w:tcPr>
          <w:p w14:paraId="1472DA36">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Legal affairs, legislation and administrative governance</w:t>
            </w:r>
          </w:p>
        </w:tc>
        <w:tc>
          <w:tcPr>
            <w:tcW w:w="2194" w:type="dxa"/>
            <w:vAlign w:val="center"/>
          </w:tcPr>
          <w:p w14:paraId="63A16D87">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u w:val="none"/>
                <w:lang w:val="en-US" w:eastAsia="zh-CN" w:bidi="ar"/>
              </w:rPr>
              <w:t>SDG16</w:t>
            </w:r>
          </w:p>
        </w:tc>
        <w:tc>
          <w:tcPr>
            <w:tcW w:w="3232" w:type="dxa"/>
            <w:vAlign w:val="center"/>
          </w:tcPr>
          <w:p w14:paraId="25251198">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legal and regulatory dimensions of national policy-making.</w:t>
            </w:r>
          </w:p>
        </w:tc>
      </w:tr>
      <w:tr w14:paraId="26B50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60BAECFC">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12</w:t>
            </w:r>
          </w:p>
        </w:tc>
        <w:tc>
          <w:tcPr>
            <w:tcW w:w="2862" w:type="dxa"/>
            <w:vAlign w:val="center"/>
          </w:tcPr>
          <w:p w14:paraId="5AC1AE19">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sans-serif" w:cs="Times New Roman"/>
                <w:i w:val="0"/>
                <w:iCs w:val="0"/>
                <w:color w:val="000000"/>
                <w:kern w:val="0"/>
                <w:sz w:val="22"/>
                <w:szCs w:val="22"/>
                <w:u w:val="none"/>
                <w:lang w:val="en-US" w:eastAsia="zh-CN" w:bidi="ar"/>
              </w:rPr>
              <w:t>National Development and Reform Commission</w:t>
            </w:r>
          </w:p>
        </w:tc>
        <w:tc>
          <w:tcPr>
            <w:tcW w:w="3840" w:type="dxa"/>
            <w:vAlign w:val="center"/>
          </w:tcPr>
          <w:p w14:paraId="7A7635BA">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sans-serif" w:cs="Times New Roman"/>
                <w:i w:val="0"/>
                <w:iCs w:val="0"/>
                <w:color w:val="000000"/>
                <w:kern w:val="0"/>
                <w:sz w:val="22"/>
                <w:szCs w:val="22"/>
                <w:u w:val="none"/>
                <w:lang w:val="en-US" w:eastAsia="zh-CN" w:bidi="ar"/>
              </w:rPr>
              <w:t>National economic and social development planning and cross-sectoral policy coordination</w:t>
            </w:r>
          </w:p>
        </w:tc>
        <w:tc>
          <w:tcPr>
            <w:tcW w:w="2194" w:type="dxa"/>
            <w:vAlign w:val="center"/>
          </w:tcPr>
          <w:p w14:paraId="48B63225">
            <w:pPr>
              <w:keepNext w:val="0"/>
              <w:keepLines w:val="0"/>
              <w:widowControl/>
              <w:suppressLineNumbers w:val="0"/>
              <w:jc w:val="left"/>
              <w:textAlignment w:val="top"/>
              <w:rPr>
                <w:rFonts w:hint="default" w:ascii="Times New Roman" w:hAnsi="Times New Roman" w:eastAsia="宋体" w:cs="Times New Roman"/>
                <w:sz w:val="22"/>
                <w:szCs w:val="22"/>
                <w:vertAlign w:val="baseline"/>
              </w:rPr>
            </w:pPr>
            <w:r>
              <w:rPr>
                <w:rFonts w:hint="default" w:ascii="Times New Roman" w:hAnsi="Times New Roman" w:eastAsia="sans-serif" w:cs="Times New Roman"/>
                <w:i w:val="0"/>
                <w:iCs w:val="0"/>
                <w:color w:val="000000"/>
                <w:kern w:val="0"/>
                <w:sz w:val="22"/>
                <w:szCs w:val="22"/>
                <w:highlight w:val="none"/>
                <w:u w:val="none"/>
                <w:lang w:val="en-US" w:eastAsia="zh-CN" w:bidi="ar"/>
              </w:rPr>
              <w:t>Multiple SDGs</w:t>
            </w:r>
          </w:p>
        </w:tc>
        <w:tc>
          <w:tcPr>
            <w:tcW w:w="3232" w:type="dxa"/>
            <w:vAlign w:val="center"/>
          </w:tcPr>
          <w:p w14:paraId="3373BA2E">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Included for its broad cross-sectoral role in national development planning and policy coordination.</w:t>
            </w:r>
          </w:p>
        </w:tc>
      </w:tr>
      <w:tr w14:paraId="75B6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92" w:type="dxa"/>
            <w:vAlign w:val="center"/>
          </w:tcPr>
          <w:p w14:paraId="0320C4E0">
            <w:pPr>
              <w:jc w:val="left"/>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13</w:t>
            </w:r>
          </w:p>
        </w:tc>
        <w:tc>
          <w:tcPr>
            <w:tcW w:w="2862" w:type="dxa"/>
            <w:vAlign w:val="center"/>
          </w:tcPr>
          <w:p w14:paraId="5CC3B281">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sans-serif" w:cs="Times New Roman"/>
                <w:i w:val="0"/>
                <w:iCs w:val="0"/>
                <w:color w:val="000000"/>
                <w:kern w:val="0"/>
                <w:sz w:val="22"/>
                <w:szCs w:val="22"/>
                <w:u w:val="none"/>
                <w:lang w:val="en-US" w:eastAsia="zh-CN" w:bidi="ar"/>
              </w:rPr>
              <w:t>Ministry of Human Resources and Social Security</w:t>
            </w:r>
          </w:p>
        </w:tc>
        <w:tc>
          <w:tcPr>
            <w:tcW w:w="3840" w:type="dxa"/>
            <w:vAlign w:val="center"/>
          </w:tcPr>
          <w:p w14:paraId="0964EDA0">
            <w:pPr>
              <w:keepNext w:val="0"/>
              <w:keepLines w:val="0"/>
              <w:widowControl/>
              <w:suppressLineNumbers w:val="0"/>
              <w:jc w:val="left"/>
              <w:textAlignment w:val="top"/>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sans-serif" w:cs="Times New Roman"/>
                <w:i w:val="0"/>
                <w:iCs w:val="0"/>
                <w:color w:val="000000"/>
                <w:kern w:val="0"/>
                <w:sz w:val="22"/>
                <w:szCs w:val="22"/>
                <w:u w:val="none"/>
                <w:lang w:val="en-US" w:eastAsia="zh-CN" w:bidi="ar"/>
              </w:rPr>
              <w:t>Employment, labour, and social-security policy</w:t>
            </w:r>
          </w:p>
        </w:tc>
        <w:tc>
          <w:tcPr>
            <w:tcW w:w="2194" w:type="dxa"/>
            <w:vAlign w:val="center"/>
          </w:tcPr>
          <w:p w14:paraId="1B8897DD">
            <w:pPr>
              <w:keepNext w:val="0"/>
              <w:keepLines w:val="0"/>
              <w:widowControl/>
              <w:suppressLineNumbers w:val="0"/>
              <w:jc w:val="left"/>
              <w:textAlignment w:val="top"/>
              <w:rPr>
                <w:rFonts w:hint="default" w:ascii="Times New Roman" w:hAnsi="Times New Roman" w:eastAsia="宋体" w:cs="Times New Roman"/>
                <w:sz w:val="22"/>
                <w:szCs w:val="22"/>
                <w:vertAlign w:val="baseline"/>
                <w:lang w:val="en-US"/>
              </w:rPr>
            </w:pPr>
            <w:r>
              <w:rPr>
                <w:rFonts w:hint="default" w:ascii="Times New Roman" w:hAnsi="Times New Roman" w:eastAsia="sans-serif" w:cs="Times New Roman"/>
                <w:i w:val="0"/>
                <w:iCs w:val="0"/>
                <w:color w:val="000000"/>
                <w:kern w:val="0"/>
                <w:sz w:val="22"/>
                <w:szCs w:val="22"/>
                <w:u w:val="none"/>
                <w:lang w:val="en-US" w:eastAsia="zh-CN" w:bidi="ar"/>
              </w:rPr>
              <w:t>SDG8</w:t>
            </w:r>
          </w:p>
        </w:tc>
        <w:tc>
          <w:tcPr>
            <w:tcW w:w="3232" w:type="dxa"/>
            <w:vAlign w:val="center"/>
          </w:tcPr>
          <w:p w14:paraId="27A1C9FB">
            <w:pPr>
              <w:jc w:val="left"/>
              <w:rPr>
                <w:rFonts w:hint="default" w:ascii="Times New Roman" w:hAnsi="Times New Roman" w:eastAsia="sans-serif" w:cs="Times New Roman"/>
                <w:i w:val="0"/>
                <w:iCs w:val="0"/>
                <w:color w:val="000000"/>
                <w:kern w:val="0"/>
                <w:sz w:val="22"/>
                <w:szCs w:val="22"/>
                <w:u w:val="none"/>
                <w:lang w:val="en-US" w:eastAsia="zh-CN" w:bidi="ar"/>
              </w:rPr>
            </w:pPr>
            <w:r>
              <w:rPr>
                <w:rFonts w:hint="default" w:ascii="Times New Roman" w:hAnsi="Times New Roman" w:eastAsia="宋体" w:cs="Times New Roman"/>
                <w:sz w:val="22"/>
                <w:szCs w:val="22"/>
                <w:vertAlign w:val="baseline"/>
                <w:lang w:val="en-US" w:eastAsia="zh-CN"/>
              </w:rPr>
              <w:t>Represents employment, labour, and social-protection policy.</w:t>
            </w:r>
          </w:p>
        </w:tc>
      </w:tr>
    </w:tbl>
    <w:p w14:paraId="07AFCAD4">
      <w:pPr>
        <w:ind w:firstLine="2209" w:firstLineChars="1000"/>
        <w:rPr>
          <w:rStyle w:val="11"/>
          <w:rFonts w:hint="default" w:ascii="Times New Roman" w:hAnsi="Times New Roman" w:eastAsia="宋体" w:cs="Times New Roman"/>
          <w:b w:val="0"/>
          <w:bCs/>
          <w:sz w:val="22"/>
          <w:szCs w:val="22"/>
        </w:rPr>
      </w:pPr>
      <w:r>
        <w:rPr>
          <w:rStyle w:val="11"/>
          <w:rFonts w:hint="default" w:ascii="Times New Roman" w:hAnsi="Times New Roman" w:eastAsia="宋体" w:cs="Times New Roman"/>
          <w:sz w:val="22"/>
          <w:szCs w:val="22"/>
        </w:rPr>
        <w:t xml:space="preserve">Note: </w:t>
      </w:r>
      <w:r>
        <w:rPr>
          <w:rStyle w:val="11"/>
          <w:rFonts w:hint="default" w:ascii="Times New Roman" w:hAnsi="Times New Roman" w:eastAsia="宋体" w:cs="Times New Roman"/>
          <w:b w:val="0"/>
          <w:bCs/>
          <w:sz w:val="22"/>
          <w:szCs w:val="22"/>
        </w:rPr>
        <w:t xml:space="preserve">Institutions were purposively selected from the official State Council institutional structure based on their national policy </w:t>
      </w:r>
    </w:p>
    <w:p w14:paraId="295D9F01">
      <w:pPr>
        <w:ind w:left="2184" w:leftChars="1040" w:firstLine="0" w:firstLineChars="0"/>
        <w:rPr>
          <w:rStyle w:val="11"/>
          <w:rFonts w:hint="default" w:ascii="Times New Roman" w:hAnsi="Times New Roman" w:eastAsia="宋体" w:cs="Times New Roman"/>
          <w:b w:val="0"/>
          <w:bCs/>
          <w:sz w:val="22"/>
          <w:szCs w:val="22"/>
        </w:rPr>
      </w:pPr>
      <w:r>
        <w:rPr>
          <w:rStyle w:val="11"/>
          <w:rFonts w:hint="default" w:ascii="Times New Roman" w:hAnsi="Times New Roman" w:eastAsia="宋体" w:cs="Times New Roman"/>
          <w:b w:val="0"/>
          <w:bCs/>
          <w:sz w:val="22"/>
          <w:szCs w:val="22"/>
        </w:rPr>
        <w:t xml:space="preserve">mandates and their contribution to broad cross-sectoral coverage across major policy domains informed by the SDG framework. </w:t>
      </w:r>
    </w:p>
    <w:p w14:paraId="0634F7BD">
      <w:pPr>
        <w:ind w:left="2184" w:leftChars="1040" w:firstLine="0" w:firstLineChars="0"/>
        <w:rPr>
          <w:rStyle w:val="11"/>
          <w:rFonts w:hint="default" w:ascii="Times New Roman" w:hAnsi="Times New Roman" w:eastAsia="宋体" w:cs="Times New Roman"/>
          <w:b w:val="0"/>
          <w:bCs/>
          <w:sz w:val="22"/>
          <w:szCs w:val="22"/>
        </w:rPr>
      </w:pPr>
      <w:r>
        <w:rPr>
          <w:rStyle w:val="11"/>
          <w:rFonts w:hint="default" w:ascii="Times New Roman" w:hAnsi="Times New Roman" w:eastAsia="宋体" w:cs="Times New Roman"/>
          <w:b w:val="0"/>
          <w:bCs/>
          <w:sz w:val="22"/>
          <w:szCs w:val="22"/>
        </w:rPr>
        <w:t>The SDGs shown here indicate the major policy sectors represented by each</w:t>
      </w:r>
      <w:r>
        <w:rPr>
          <w:rStyle w:val="11"/>
          <w:rFonts w:hint="default" w:ascii="Times New Roman" w:hAnsi="Times New Roman" w:eastAsia="宋体" w:cs="Times New Roman"/>
          <w:b w:val="0"/>
          <w:bCs/>
          <w:sz w:val="22"/>
          <w:szCs w:val="22"/>
          <w:lang w:val="en-US" w:eastAsia="zh-CN"/>
        </w:rPr>
        <w:t xml:space="preserve"> </w:t>
      </w:r>
      <w:r>
        <w:rPr>
          <w:rStyle w:val="11"/>
          <w:rFonts w:hint="default" w:ascii="Times New Roman" w:hAnsi="Times New Roman" w:eastAsia="宋体" w:cs="Times New Roman"/>
          <w:b w:val="0"/>
          <w:bCs/>
          <w:sz w:val="22"/>
          <w:szCs w:val="22"/>
        </w:rPr>
        <w:t xml:space="preserve">institution and were not used to determine the SDG coding of </w:t>
      </w:r>
    </w:p>
    <w:p w14:paraId="7372FEF6">
      <w:pPr>
        <w:ind w:left="2184" w:leftChars="1040" w:firstLine="0" w:firstLineChars="0"/>
        <w:rPr>
          <w:rStyle w:val="11"/>
          <w:rFonts w:hint="default" w:ascii="Times New Roman" w:hAnsi="Times New Roman" w:eastAsia="宋体" w:cs="Times New Roman"/>
          <w:b w:val="0"/>
          <w:bCs/>
          <w:sz w:val="22"/>
          <w:szCs w:val="22"/>
        </w:rPr>
        <w:sectPr>
          <w:pgSz w:w="16838" w:h="11906" w:orient="landscape"/>
          <w:pgMar w:top="567" w:right="283" w:bottom="567" w:left="283" w:header="851" w:footer="992" w:gutter="0"/>
          <w:cols w:space="425" w:num="1"/>
          <w:docGrid w:type="lines" w:linePitch="312" w:charSpace="0"/>
        </w:sectPr>
      </w:pPr>
      <w:r>
        <w:rPr>
          <w:rStyle w:val="11"/>
          <w:rFonts w:hint="default" w:ascii="Times New Roman" w:hAnsi="Times New Roman" w:eastAsia="宋体" w:cs="Times New Roman"/>
          <w:b w:val="0"/>
          <w:bCs/>
          <w:sz w:val="22"/>
          <w:szCs w:val="22"/>
        </w:rPr>
        <w:t>individual records.</w:t>
      </w:r>
    </w:p>
    <w:p w14:paraId="6034A1D8">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eastAsia="微软雅黑" w:cs="Times New Roman"/>
          <w:sz w:val="22"/>
          <w:szCs w:val="22"/>
        </w:rPr>
      </w:pPr>
      <w:bookmarkStart w:id="4" w:name="_Toc20506"/>
      <w:r>
        <w:rPr>
          <w:rFonts w:hint="default" w:ascii="Times New Roman" w:hAnsi="Times New Roman" w:eastAsia="微软雅黑" w:cs="Times New Roman"/>
          <w:sz w:val="22"/>
          <w:szCs w:val="22"/>
          <w:lang w:val="en-GB"/>
        </w:rPr>
        <w:t>Table S</w:t>
      </w:r>
      <w:r>
        <w:rPr>
          <w:rFonts w:hint="default" w:ascii="Times New Roman" w:hAnsi="Times New Roman" w:eastAsia="微软雅黑" w:cs="Times New Roman"/>
          <w:sz w:val="22"/>
          <w:szCs w:val="22"/>
          <w:lang w:val="en-US" w:eastAsia="zh-CN"/>
        </w:rPr>
        <w:t>4</w:t>
      </w:r>
      <w:r>
        <w:rPr>
          <w:rFonts w:hint="default" w:ascii="Times New Roman" w:hAnsi="Times New Roman" w:eastAsia="微软雅黑" w:cs="Times New Roman"/>
          <w:sz w:val="22"/>
          <w:szCs w:val="22"/>
          <w:lang w:val="en-GB"/>
        </w:rPr>
        <w:t>a. List of included academic studies</w:t>
      </w:r>
      <w:bookmarkEnd w:id="4"/>
    </w:p>
    <w:tbl>
      <w:tblPr>
        <w:tblStyle w:val="9"/>
        <w:tblpPr w:leftFromText="180" w:rightFromText="180" w:vertAnchor="text" w:horzAnchor="page" w:tblpXSpec="center" w:tblpY="299"/>
        <w:tblOverlap w:val="never"/>
        <w:tblW w:w="10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3030"/>
        <w:gridCol w:w="5009"/>
        <w:gridCol w:w="1720"/>
      </w:tblGrid>
      <w:tr w14:paraId="7065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195" w:type="dxa"/>
            <w:shd w:val="clear" w:color="auto" w:fill="D7D7D7" w:themeFill="background1" w:themeFillShade="D8"/>
            <w:vAlign w:val="center"/>
          </w:tcPr>
          <w:p w14:paraId="3382D3C5">
            <w:pPr>
              <w:pStyle w:val="7"/>
              <w:widowControl/>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lang w:val="en-US" w:eastAsia="zh-CN"/>
              </w:rPr>
              <w:t>Ref.</w:t>
            </w:r>
          </w:p>
        </w:tc>
        <w:tc>
          <w:tcPr>
            <w:tcW w:w="3030" w:type="dxa"/>
            <w:shd w:val="clear" w:color="auto" w:fill="D7D7D7" w:themeFill="background1" w:themeFillShade="D8"/>
            <w:vAlign w:val="center"/>
          </w:tcPr>
          <w:p w14:paraId="5E31B8E7">
            <w:pPr>
              <w:pStyle w:val="7"/>
              <w:widowControl/>
              <w:jc w:val="left"/>
              <w:rPr>
                <w:rFonts w:hint="default" w:ascii="Times New Roman" w:hAnsi="Times New Roman" w:eastAsia="微软雅黑" w:cs="Times New Roman"/>
                <w:b/>
                <w:bCs/>
                <w:sz w:val="22"/>
                <w:szCs w:val="22"/>
              </w:rPr>
            </w:pPr>
            <w:r>
              <w:rPr>
                <w:rFonts w:hint="default" w:ascii="Times New Roman" w:hAnsi="Times New Roman" w:cs="Times New Roman"/>
                <w:b/>
                <w:bCs/>
                <w:sz w:val="22"/>
                <w:szCs w:val="22"/>
              </w:rPr>
              <w:t>Author</w:t>
            </w:r>
            <w:r>
              <w:rPr>
                <w:rFonts w:hint="default" w:ascii="Times New Roman" w:hAnsi="Times New Roman" w:eastAsia="微软雅黑" w:cs="Times New Roman"/>
                <w:b/>
                <w:bCs/>
                <w:sz w:val="22"/>
                <w:szCs w:val="22"/>
              </w:rPr>
              <w:t>/Year</w:t>
            </w:r>
          </w:p>
        </w:tc>
        <w:tc>
          <w:tcPr>
            <w:tcW w:w="5009" w:type="dxa"/>
            <w:shd w:val="clear" w:color="auto" w:fill="D7D7D7" w:themeFill="background1" w:themeFillShade="D8"/>
            <w:vAlign w:val="center"/>
          </w:tcPr>
          <w:p w14:paraId="4C216C15">
            <w:pPr>
              <w:pStyle w:val="7"/>
              <w:widowControl/>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lang w:val="en-US" w:eastAsia="zh-CN"/>
              </w:rPr>
              <w:t>Title</w:t>
            </w:r>
          </w:p>
        </w:tc>
        <w:tc>
          <w:tcPr>
            <w:tcW w:w="1720" w:type="dxa"/>
            <w:shd w:val="clear" w:color="auto" w:fill="D7D7D7" w:themeFill="background1" w:themeFillShade="D8"/>
            <w:vAlign w:val="center"/>
          </w:tcPr>
          <w:p w14:paraId="7BDC15A6">
            <w:pPr>
              <w:pStyle w:val="7"/>
              <w:widowControl/>
              <w:spacing w:beforeAutospacing="0" w:afterAutospacing="0"/>
              <w:jc w:val="left"/>
              <w:rPr>
                <w:rFonts w:hint="default" w:ascii="Times New Roman" w:hAnsi="Times New Roman" w:eastAsia="微软雅黑" w:cs="Times New Roman"/>
                <w:b/>
                <w:bCs/>
                <w:sz w:val="22"/>
                <w:szCs w:val="22"/>
              </w:rPr>
            </w:pPr>
            <w:r>
              <w:rPr>
                <w:rFonts w:hint="default" w:ascii="Times New Roman" w:hAnsi="Times New Roman" w:eastAsia="微软雅黑" w:cs="Times New Roman"/>
                <w:b/>
                <w:bCs/>
                <w:sz w:val="22"/>
                <w:szCs w:val="22"/>
              </w:rPr>
              <w:t>Language</w:t>
            </w:r>
          </w:p>
        </w:tc>
      </w:tr>
      <w:tr w14:paraId="40FC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608926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25</w:t>
            </w:r>
          </w:p>
        </w:tc>
        <w:tc>
          <w:tcPr>
            <w:tcW w:w="3030" w:type="dxa"/>
            <w:vAlign w:val="center"/>
          </w:tcPr>
          <w:p w14:paraId="7BECF485">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Dongjing Yu</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76E5EBD7">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Factors influencing information dissemination and optimization paths of university sports think tanks in China under the background of new media</w:t>
            </w:r>
          </w:p>
        </w:tc>
        <w:tc>
          <w:tcPr>
            <w:tcW w:w="1720" w:type="dxa"/>
            <w:vAlign w:val="center"/>
          </w:tcPr>
          <w:p w14:paraId="23BA3D22">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D8B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5" w:type="dxa"/>
            <w:vAlign w:val="center"/>
          </w:tcPr>
          <w:p w14:paraId="6DCEC83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26</w:t>
            </w:r>
          </w:p>
        </w:tc>
        <w:tc>
          <w:tcPr>
            <w:tcW w:w="3030" w:type="dxa"/>
            <w:vAlign w:val="center"/>
          </w:tcPr>
          <w:p w14:paraId="405F4026">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Yuming Ye</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78994EE1">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construction of China's open science policy system</w:t>
            </w:r>
          </w:p>
        </w:tc>
        <w:tc>
          <w:tcPr>
            <w:tcW w:w="1720" w:type="dxa"/>
            <w:vAlign w:val="center"/>
          </w:tcPr>
          <w:p w14:paraId="4BD889C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3BE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6E8938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27</w:t>
            </w:r>
          </w:p>
        </w:tc>
        <w:tc>
          <w:tcPr>
            <w:tcW w:w="3030" w:type="dxa"/>
            <w:vAlign w:val="center"/>
          </w:tcPr>
          <w:p w14:paraId="2042AC75">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Zhiming Xu</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71E54307">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construction of evaluation index system for achievement transformation capacity of university think tanks</w:t>
            </w:r>
          </w:p>
        </w:tc>
        <w:tc>
          <w:tcPr>
            <w:tcW w:w="1720" w:type="dxa"/>
            <w:vAlign w:val="center"/>
          </w:tcPr>
          <w:p w14:paraId="57BFD641">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F2A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AD79776">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28</w:t>
            </w:r>
          </w:p>
        </w:tc>
        <w:tc>
          <w:tcPr>
            <w:tcW w:w="3030" w:type="dxa"/>
            <w:vAlign w:val="center"/>
          </w:tcPr>
          <w:p w14:paraId="31A7C3F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rPr>
              <w:t>Feng Tong</w:t>
            </w:r>
            <w:r>
              <w:rPr>
                <w:rFonts w:hint="default" w:ascii="Times New Roman" w:hAnsi="Times New Roman" w:eastAsia="宋体" w:cs="Times New Roman"/>
                <w:color w:val="0F1115"/>
                <w:sz w:val="22"/>
                <w:szCs w:val="22"/>
                <w:shd w:val="clear" w:color="auto" w:fill="FFFFFF"/>
                <w:lang w:val="en-US" w:eastAsia="zh-CN"/>
              </w:rPr>
              <w:t>, 2022</w:t>
            </w:r>
          </w:p>
        </w:tc>
        <w:tc>
          <w:tcPr>
            <w:tcW w:w="5009" w:type="dxa"/>
            <w:vAlign w:val="center"/>
          </w:tcPr>
          <w:p w14:paraId="606368B4">
            <w:pPr>
              <w:keepNext w:val="0"/>
              <w:keepLines w:val="0"/>
              <w:widowControl/>
              <w:suppressLineNumbers w:val="0"/>
              <w:jc w:val="left"/>
              <w:textAlignment w:val="top"/>
              <w:rPr>
                <w:rFonts w:hint="default" w:ascii="Times New Roman" w:hAnsi="Times New Roman" w:eastAsia="宋体"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practice model of medical social work in collaborative prevention and control of public health emergencies</w:t>
            </w:r>
          </w:p>
        </w:tc>
        <w:tc>
          <w:tcPr>
            <w:tcW w:w="1720" w:type="dxa"/>
            <w:vAlign w:val="center"/>
          </w:tcPr>
          <w:p w14:paraId="5E7CF86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6CE6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1C95A1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29</w:t>
            </w:r>
          </w:p>
        </w:tc>
        <w:tc>
          <w:tcPr>
            <w:tcW w:w="3030" w:type="dxa"/>
            <w:vAlign w:val="center"/>
          </w:tcPr>
          <w:p w14:paraId="45D6262B">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Jiahao Feng</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7F6A7CAE">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Classification of the Evidence of Think Tank and Construction of Decision Path Based on Evidence-Based Policy Making</w:t>
            </w:r>
          </w:p>
        </w:tc>
        <w:tc>
          <w:tcPr>
            <w:tcW w:w="1720" w:type="dxa"/>
            <w:vAlign w:val="center"/>
          </w:tcPr>
          <w:p w14:paraId="150D713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1B7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99997FA">
            <w:pPr>
              <w:widowControl/>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30</w:t>
            </w:r>
          </w:p>
        </w:tc>
        <w:tc>
          <w:tcPr>
            <w:tcW w:w="3030" w:type="dxa"/>
            <w:vAlign w:val="center"/>
          </w:tcPr>
          <w:p w14:paraId="63254144">
            <w:pPr>
              <w:widowControl/>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Zeqi Dai</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0F61A8E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Feasibility Analysis of EVIDEM Framework in Health Technology Assessment of Traditional Chinese Medicine</w:t>
            </w:r>
          </w:p>
        </w:tc>
        <w:tc>
          <w:tcPr>
            <w:tcW w:w="1720" w:type="dxa"/>
            <w:vAlign w:val="center"/>
          </w:tcPr>
          <w:p w14:paraId="3A72208B">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4996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FB0A57E">
            <w:pPr>
              <w:widowControl/>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31</w:t>
            </w:r>
          </w:p>
        </w:tc>
        <w:tc>
          <w:tcPr>
            <w:tcW w:w="3030" w:type="dxa"/>
            <w:vAlign w:val="center"/>
          </w:tcPr>
          <w:p w14:paraId="618E6995">
            <w:pPr>
              <w:widowControl/>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Zeqi Dai</w:t>
            </w:r>
            <w:r>
              <w:rPr>
                <w:rFonts w:hint="default" w:ascii="Times New Roman" w:hAnsi="Times New Roman" w:eastAsia="宋体" w:cs="Times New Roman"/>
                <w:color w:val="0F1115"/>
                <w:sz w:val="22"/>
                <w:szCs w:val="22"/>
                <w:shd w:val="clear" w:color="auto" w:fill="FFFFFF"/>
              </w:rPr>
              <w:t>, 2022</w:t>
            </w:r>
          </w:p>
        </w:tc>
        <w:tc>
          <w:tcPr>
            <w:tcW w:w="5009" w:type="dxa"/>
            <w:vAlign w:val="center"/>
          </w:tcPr>
          <w:p w14:paraId="74FC3D59">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Enlightenment of WHO guideline on institutionalizing health technology assessment mechanism for traditional Chinese medicine</w:t>
            </w:r>
          </w:p>
        </w:tc>
        <w:tc>
          <w:tcPr>
            <w:tcW w:w="1720" w:type="dxa"/>
            <w:vAlign w:val="center"/>
          </w:tcPr>
          <w:p w14:paraId="472735C9">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C33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3F17158">
            <w:pPr>
              <w:widowControl/>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32</w:t>
            </w:r>
          </w:p>
        </w:tc>
        <w:tc>
          <w:tcPr>
            <w:tcW w:w="3030" w:type="dxa"/>
            <w:vAlign w:val="center"/>
          </w:tcPr>
          <w:p w14:paraId="3EAADAE3">
            <w:pPr>
              <w:widowControl/>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Jingyi Zhang</w:t>
            </w:r>
            <w:r>
              <w:rPr>
                <w:rFonts w:hint="default" w:ascii="Times New Roman" w:hAnsi="Times New Roman" w:eastAsia="宋体" w:cs="Times New Roman"/>
                <w:color w:val="0F1115"/>
                <w:sz w:val="22"/>
                <w:szCs w:val="22"/>
                <w:shd w:val="clear" w:color="auto" w:fill="FFFFFF"/>
              </w:rPr>
              <w:t>, 2021</w:t>
            </w:r>
          </w:p>
        </w:tc>
        <w:tc>
          <w:tcPr>
            <w:tcW w:w="5009" w:type="dxa"/>
            <w:vAlign w:val="center"/>
          </w:tcPr>
          <w:p w14:paraId="7FD47164">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Reporting Standard Research on Evidence based Health Policy Brief</w:t>
            </w:r>
          </w:p>
        </w:tc>
        <w:tc>
          <w:tcPr>
            <w:tcW w:w="1720" w:type="dxa"/>
            <w:vAlign w:val="center"/>
          </w:tcPr>
          <w:p w14:paraId="6EE21E3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900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EB591A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33</w:t>
            </w:r>
          </w:p>
        </w:tc>
        <w:tc>
          <w:tcPr>
            <w:tcW w:w="3030" w:type="dxa"/>
            <w:vAlign w:val="center"/>
          </w:tcPr>
          <w:p w14:paraId="2D8205A1">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Jianing Zhang</w:t>
            </w:r>
            <w:r>
              <w:rPr>
                <w:rFonts w:hint="default" w:ascii="Times New Roman" w:hAnsi="Times New Roman" w:eastAsia="宋体" w:cs="Times New Roman"/>
                <w:color w:val="0F1115"/>
                <w:sz w:val="22"/>
                <w:szCs w:val="22"/>
                <w:shd w:val="clear" w:color="auto" w:fill="FFFFFF"/>
              </w:rPr>
              <w:t>, 2012</w:t>
            </w:r>
          </w:p>
        </w:tc>
        <w:tc>
          <w:tcPr>
            <w:tcW w:w="5009" w:type="dxa"/>
            <w:vAlign w:val="center"/>
          </w:tcPr>
          <w:p w14:paraId="13CA8E10">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expert consultation system in China's government decision-making process</w:t>
            </w:r>
          </w:p>
        </w:tc>
        <w:tc>
          <w:tcPr>
            <w:tcW w:w="1720" w:type="dxa"/>
            <w:vAlign w:val="center"/>
          </w:tcPr>
          <w:p w14:paraId="66F857DE">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A08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EC697C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34</w:t>
            </w:r>
          </w:p>
        </w:tc>
        <w:tc>
          <w:tcPr>
            <w:tcW w:w="3030" w:type="dxa"/>
            <w:vAlign w:val="center"/>
          </w:tcPr>
          <w:p w14:paraId="560C7B1E">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Yuying Qian</w:t>
            </w:r>
            <w:r>
              <w:rPr>
                <w:rFonts w:hint="default" w:ascii="Times New Roman" w:hAnsi="Times New Roman" w:eastAsia="宋体" w:cs="Times New Roman"/>
                <w:color w:val="0F1115"/>
                <w:sz w:val="22"/>
                <w:szCs w:val="22"/>
                <w:shd w:val="clear" w:color="auto" w:fill="FFFFFF"/>
              </w:rPr>
              <w:t>, 2010</w:t>
            </w:r>
          </w:p>
        </w:tc>
        <w:tc>
          <w:tcPr>
            <w:tcW w:w="5009" w:type="dxa"/>
            <w:vAlign w:val="center"/>
          </w:tcPr>
          <w:p w14:paraId="36E17781">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System Construction and the Optimization of Local Government Policy-making Mechanism in China</w:t>
            </w:r>
          </w:p>
        </w:tc>
        <w:tc>
          <w:tcPr>
            <w:tcW w:w="1720" w:type="dxa"/>
            <w:vAlign w:val="center"/>
          </w:tcPr>
          <w:p w14:paraId="0EFC5104">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937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B0BA34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35</w:t>
            </w:r>
          </w:p>
        </w:tc>
        <w:tc>
          <w:tcPr>
            <w:tcW w:w="3030" w:type="dxa"/>
            <w:vAlign w:val="center"/>
          </w:tcPr>
          <w:p w14:paraId="3C0290A8">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Xiaoguang Li</w:t>
            </w:r>
            <w:r>
              <w:rPr>
                <w:rFonts w:hint="default" w:ascii="Times New Roman" w:hAnsi="Times New Roman" w:eastAsia="宋体" w:cs="Times New Roman"/>
                <w:color w:val="0F1115"/>
                <w:sz w:val="22"/>
                <w:szCs w:val="22"/>
                <w:shd w:val="clear" w:color="auto" w:fill="FFFFFF"/>
              </w:rPr>
              <w:t>, 2009</w:t>
            </w:r>
          </w:p>
        </w:tc>
        <w:tc>
          <w:tcPr>
            <w:tcW w:w="5009" w:type="dxa"/>
            <w:vAlign w:val="center"/>
          </w:tcPr>
          <w:p w14:paraId="2134FFFE">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Expert advisory system in government decision-making</w:t>
            </w:r>
          </w:p>
        </w:tc>
        <w:tc>
          <w:tcPr>
            <w:tcW w:w="1720" w:type="dxa"/>
            <w:vAlign w:val="center"/>
          </w:tcPr>
          <w:p w14:paraId="112F63ED">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4EC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FFFF70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36</w:t>
            </w:r>
          </w:p>
        </w:tc>
        <w:tc>
          <w:tcPr>
            <w:tcW w:w="3030" w:type="dxa"/>
            <w:vAlign w:val="center"/>
          </w:tcPr>
          <w:p w14:paraId="3EBC2510">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 xml:space="preserve">Yimin </w:t>
            </w:r>
            <w:r>
              <w:rPr>
                <w:rFonts w:hint="default" w:ascii="Times New Roman" w:hAnsi="Times New Roman" w:eastAsia="宋体" w:cs="Times New Roman"/>
                <w:color w:val="0F1115"/>
                <w:sz w:val="22"/>
                <w:szCs w:val="22"/>
                <w:shd w:val="clear" w:color="auto" w:fill="FFFFFF"/>
              </w:rPr>
              <w:t>Cao, 2001</w:t>
            </w:r>
          </w:p>
        </w:tc>
        <w:tc>
          <w:tcPr>
            <w:tcW w:w="5009" w:type="dxa"/>
            <w:vAlign w:val="center"/>
          </w:tcPr>
          <w:p w14:paraId="6C8ABB63">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Establish and improve a public decision-making consultation mechanism with Chinese characteristics</w:t>
            </w:r>
          </w:p>
        </w:tc>
        <w:tc>
          <w:tcPr>
            <w:tcW w:w="1720" w:type="dxa"/>
            <w:vAlign w:val="center"/>
          </w:tcPr>
          <w:p w14:paraId="76D76B0D">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228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063A62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37</w:t>
            </w:r>
          </w:p>
        </w:tc>
        <w:tc>
          <w:tcPr>
            <w:tcW w:w="3030" w:type="dxa"/>
            <w:vAlign w:val="center"/>
          </w:tcPr>
          <w:p w14:paraId="0EC6A694">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Wenyan Xu</w:t>
            </w:r>
            <w:r>
              <w:rPr>
                <w:rFonts w:hint="default" w:ascii="Times New Roman" w:hAnsi="Times New Roman" w:eastAsia="宋体" w:cs="Times New Roman"/>
                <w:color w:val="0F1115"/>
                <w:sz w:val="22"/>
                <w:szCs w:val="22"/>
                <w:shd w:val="clear" w:color="auto" w:fill="FFFFFF"/>
              </w:rPr>
              <w:t>, 2023</w:t>
            </w:r>
          </w:p>
        </w:tc>
        <w:tc>
          <w:tcPr>
            <w:tcW w:w="5009" w:type="dxa"/>
            <w:vAlign w:val="center"/>
          </w:tcPr>
          <w:p w14:paraId="2FCEA719">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From evidence to decision-making: Research on the evidence-based decision-making process of science and technology policies</w:t>
            </w:r>
          </w:p>
        </w:tc>
        <w:tc>
          <w:tcPr>
            <w:tcW w:w="1720" w:type="dxa"/>
            <w:vAlign w:val="center"/>
          </w:tcPr>
          <w:p w14:paraId="419704B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33F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F4958E1">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38</w:t>
            </w:r>
          </w:p>
        </w:tc>
        <w:tc>
          <w:tcPr>
            <w:tcW w:w="3030" w:type="dxa"/>
            <w:vAlign w:val="center"/>
          </w:tcPr>
          <w:p w14:paraId="7221B51A">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Yeman Tang</w:t>
            </w:r>
            <w:r>
              <w:rPr>
                <w:rFonts w:hint="default" w:ascii="Times New Roman" w:hAnsi="Times New Roman" w:eastAsia="宋体" w:cs="Times New Roman"/>
                <w:color w:val="0F1115"/>
                <w:sz w:val="22"/>
                <w:szCs w:val="22"/>
                <w:shd w:val="clear" w:color="auto" w:fill="FFFFFF"/>
              </w:rPr>
              <w:t>, 2023</w:t>
            </w:r>
          </w:p>
        </w:tc>
        <w:tc>
          <w:tcPr>
            <w:tcW w:w="5009" w:type="dxa"/>
            <w:vAlign w:val="center"/>
          </w:tcPr>
          <w:p w14:paraId="6FF8A54C">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participation mechanism of think tanks in the emergency management of global public health emergencies</w:t>
            </w:r>
          </w:p>
        </w:tc>
        <w:tc>
          <w:tcPr>
            <w:tcW w:w="1720" w:type="dxa"/>
            <w:vAlign w:val="center"/>
          </w:tcPr>
          <w:p w14:paraId="77EF930F">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D01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AE2BA7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39</w:t>
            </w:r>
          </w:p>
        </w:tc>
        <w:tc>
          <w:tcPr>
            <w:tcW w:w="3030" w:type="dxa"/>
            <w:vAlign w:val="center"/>
          </w:tcPr>
          <w:p w14:paraId="4998BC6C">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Feng Liu</w:t>
            </w:r>
            <w:r>
              <w:rPr>
                <w:rFonts w:hint="default" w:ascii="Times New Roman" w:hAnsi="Times New Roman" w:eastAsia="宋体" w:cs="Times New Roman"/>
                <w:color w:val="0F1115"/>
                <w:sz w:val="22"/>
                <w:szCs w:val="22"/>
                <w:shd w:val="clear" w:color="auto" w:fill="FFFFFF"/>
              </w:rPr>
              <w:t>, 2023</w:t>
            </w:r>
          </w:p>
        </w:tc>
        <w:tc>
          <w:tcPr>
            <w:tcW w:w="5009" w:type="dxa"/>
            <w:vAlign w:val="center"/>
          </w:tcPr>
          <w:p w14:paraId="18A05B8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evaluation index system of service capacity of science and technology think tanks</w:t>
            </w:r>
          </w:p>
        </w:tc>
        <w:tc>
          <w:tcPr>
            <w:tcW w:w="1720" w:type="dxa"/>
            <w:vAlign w:val="center"/>
          </w:tcPr>
          <w:p w14:paraId="132DF123">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318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1519D3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40</w:t>
            </w:r>
          </w:p>
        </w:tc>
        <w:tc>
          <w:tcPr>
            <w:tcW w:w="3030" w:type="dxa"/>
            <w:vAlign w:val="center"/>
          </w:tcPr>
          <w:p w14:paraId="134E6E9F">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Bingling Xu</w:t>
            </w:r>
            <w:r>
              <w:rPr>
                <w:rFonts w:hint="default" w:ascii="Times New Roman" w:hAnsi="Times New Roman" w:eastAsia="宋体" w:cs="Times New Roman"/>
                <w:color w:val="0F1115"/>
                <w:sz w:val="22"/>
                <w:szCs w:val="22"/>
                <w:shd w:val="clear" w:color="auto" w:fill="FFFFFF"/>
              </w:rPr>
              <w:t>, 2023</w:t>
            </w:r>
          </w:p>
        </w:tc>
        <w:tc>
          <w:tcPr>
            <w:tcW w:w="5009" w:type="dxa"/>
            <w:vAlign w:val="center"/>
          </w:tcPr>
          <w:p w14:paraId="686FAC44">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Practical paths and suggestions for evidence-based teaching in kindergartens</w:t>
            </w:r>
          </w:p>
        </w:tc>
        <w:tc>
          <w:tcPr>
            <w:tcW w:w="1720" w:type="dxa"/>
            <w:vAlign w:val="center"/>
          </w:tcPr>
          <w:p w14:paraId="05AAF946">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975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4C77165">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41</w:t>
            </w:r>
          </w:p>
        </w:tc>
        <w:tc>
          <w:tcPr>
            <w:tcW w:w="3030" w:type="dxa"/>
            <w:vAlign w:val="center"/>
          </w:tcPr>
          <w:p w14:paraId="2529EF75">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Qing L</w:t>
            </w:r>
            <w:r>
              <w:rPr>
                <w:rFonts w:hint="default" w:ascii="Times New Roman" w:hAnsi="Times New Roman" w:eastAsia="宋体" w:cs="Times New Roman"/>
                <w:color w:val="0F1115"/>
                <w:sz w:val="22"/>
                <w:szCs w:val="22"/>
                <w:shd w:val="clear" w:color="auto" w:fill="FFFFFF"/>
              </w:rPr>
              <w:t>v, 2024</w:t>
            </w:r>
          </w:p>
        </w:tc>
        <w:tc>
          <w:tcPr>
            <w:tcW w:w="5009" w:type="dxa"/>
            <w:vAlign w:val="center"/>
          </w:tcPr>
          <w:p w14:paraId="5DE138B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development status and influence promotion strategies of academic journal publishing think tanks in China</w:t>
            </w:r>
          </w:p>
        </w:tc>
        <w:tc>
          <w:tcPr>
            <w:tcW w:w="1720" w:type="dxa"/>
            <w:vAlign w:val="center"/>
          </w:tcPr>
          <w:p w14:paraId="67F0521A">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7F3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D2D767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42</w:t>
            </w:r>
          </w:p>
        </w:tc>
        <w:tc>
          <w:tcPr>
            <w:tcW w:w="3030" w:type="dxa"/>
            <w:vAlign w:val="center"/>
          </w:tcPr>
          <w:p w14:paraId="0C340CD0">
            <w:pPr>
              <w:pStyle w:val="7"/>
              <w:widowControl/>
              <w:spacing w:beforeAutospacing="0" w:afterAutospacing="0"/>
              <w:jc w:val="left"/>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sz w:val="22"/>
                <w:szCs w:val="22"/>
                <w:shd w:val="clear" w:color="auto" w:fill="FFFFFF"/>
              </w:rPr>
              <w:t>Charlene Hoi Lam Wong</w:t>
            </w:r>
            <w:r>
              <w:rPr>
                <w:rFonts w:hint="default" w:ascii="Times New Roman" w:hAnsi="Times New Roman" w:eastAsia="宋体" w:cs="Times New Roman"/>
                <w:color w:val="0F1115"/>
                <w:sz w:val="22"/>
                <w:szCs w:val="22"/>
                <w:shd w:val="clear" w:color="auto" w:fill="FFFFFF"/>
              </w:rPr>
              <w:t>, 2021</w:t>
            </w:r>
          </w:p>
        </w:tc>
        <w:tc>
          <w:tcPr>
            <w:tcW w:w="5009" w:type="dxa"/>
            <w:vAlign w:val="center"/>
          </w:tcPr>
          <w:p w14:paraId="7015090B">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Barriers and facilitators to promoting evidence uptake in Chinese medicine: a qualitative study in Hong Kong</w:t>
            </w:r>
          </w:p>
        </w:tc>
        <w:tc>
          <w:tcPr>
            <w:tcW w:w="1720" w:type="dxa"/>
            <w:vAlign w:val="center"/>
          </w:tcPr>
          <w:p w14:paraId="7455CED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24A6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1B26293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43</w:t>
            </w:r>
          </w:p>
        </w:tc>
        <w:tc>
          <w:tcPr>
            <w:tcW w:w="3030" w:type="dxa"/>
            <w:vAlign w:val="center"/>
          </w:tcPr>
          <w:p w14:paraId="44533DA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Helen Pineo</w:t>
            </w:r>
            <w:r>
              <w:rPr>
                <w:rFonts w:hint="default" w:ascii="Times New Roman" w:hAnsi="Times New Roman" w:eastAsia="宋体" w:cs="Times New Roman"/>
                <w:color w:val="0F1115"/>
                <w:sz w:val="22"/>
                <w:szCs w:val="22"/>
                <w:shd w:val="clear" w:color="auto" w:fill="FFFFFF"/>
              </w:rPr>
              <w:t>, 2021</w:t>
            </w:r>
          </w:p>
        </w:tc>
        <w:tc>
          <w:tcPr>
            <w:tcW w:w="5009" w:type="dxa"/>
            <w:vAlign w:val="center"/>
          </w:tcPr>
          <w:p w14:paraId="370BCC3F">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Evidence-informed urban health and sustainability governance in two Chinese cities</w:t>
            </w:r>
          </w:p>
        </w:tc>
        <w:tc>
          <w:tcPr>
            <w:tcW w:w="1720" w:type="dxa"/>
            <w:vAlign w:val="center"/>
          </w:tcPr>
          <w:p w14:paraId="15802BB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7208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9464E1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44</w:t>
            </w:r>
          </w:p>
        </w:tc>
        <w:tc>
          <w:tcPr>
            <w:tcW w:w="3030" w:type="dxa"/>
            <w:vAlign w:val="center"/>
          </w:tcPr>
          <w:p w14:paraId="2D381E4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Shishi Wu</w:t>
            </w:r>
            <w:r>
              <w:rPr>
                <w:rFonts w:hint="default" w:ascii="Times New Roman" w:hAnsi="Times New Roman" w:eastAsia="宋体" w:cs="Times New Roman"/>
                <w:color w:val="0F1115"/>
                <w:sz w:val="22"/>
                <w:szCs w:val="22"/>
                <w:shd w:val="clear" w:color="auto" w:fill="FFFFFF"/>
              </w:rPr>
              <w:t>, 2020</w:t>
            </w:r>
          </w:p>
        </w:tc>
        <w:tc>
          <w:tcPr>
            <w:tcW w:w="5009" w:type="dxa"/>
            <w:vAlign w:val="center"/>
          </w:tcPr>
          <w:p w14:paraId="3D687E0C">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What steps can researchers take to increase research uptake by policymakers? A case study in China</w:t>
            </w:r>
          </w:p>
        </w:tc>
        <w:tc>
          <w:tcPr>
            <w:tcW w:w="1720" w:type="dxa"/>
            <w:vAlign w:val="center"/>
          </w:tcPr>
          <w:p w14:paraId="3D017719">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6137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198B2CB3">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45</w:t>
            </w:r>
          </w:p>
        </w:tc>
        <w:tc>
          <w:tcPr>
            <w:tcW w:w="3030" w:type="dxa"/>
            <w:vAlign w:val="center"/>
          </w:tcPr>
          <w:p w14:paraId="471EF05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Fan Feng</w:t>
            </w:r>
            <w:r>
              <w:rPr>
                <w:rFonts w:hint="default" w:ascii="Times New Roman" w:hAnsi="Times New Roman" w:eastAsia="宋体" w:cs="Times New Roman"/>
                <w:color w:val="0F1115"/>
                <w:sz w:val="22"/>
                <w:szCs w:val="22"/>
                <w:shd w:val="clear" w:color="auto" w:fill="FFFFFF"/>
              </w:rPr>
              <w:t>, 2020</w:t>
            </w:r>
          </w:p>
        </w:tc>
        <w:tc>
          <w:tcPr>
            <w:tcW w:w="5009" w:type="dxa"/>
            <w:vAlign w:val="center"/>
          </w:tcPr>
          <w:p w14:paraId="35028AC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General practitioners’ perceptions of their practice of evidence-based chronic disease prevention interventions: a quantitative study in Shanghai, China</w:t>
            </w:r>
          </w:p>
        </w:tc>
        <w:tc>
          <w:tcPr>
            <w:tcW w:w="1720" w:type="dxa"/>
            <w:vAlign w:val="center"/>
          </w:tcPr>
          <w:p w14:paraId="1B1F0560">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426B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1D37799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46</w:t>
            </w:r>
          </w:p>
        </w:tc>
        <w:tc>
          <w:tcPr>
            <w:tcW w:w="3030" w:type="dxa"/>
            <w:vAlign w:val="center"/>
          </w:tcPr>
          <w:p w14:paraId="31D24C5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Jianwei Shi</w:t>
            </w:r>
            <w:r>
              <w:rPr>
                <w:rFonts w:hint="default" w:ascii="Times New Roman" w:hAnsi="Times New Roman" w:eastAsia="宋体" w:cs="Times New Roman"/>
                <w:color w:val="0F1115"/>
                <w:sz w:val="22"/>
                <w:szCs w:val="22"/>
                <w:shd w:val="clear" w:color="auto" w:fill="FFFFFF"/>
              </w:rPr>
              <w:t>, 2019</w:t>
            </w:r>
          </w:p>
        </w:tc>
        <w:tc>
          <w:tcPr>
            <w:tcW w:w="5009" w:type="dxa"/>
            <w:vAlign w:val="center"/>
          </w:tcPr>
          <w:p w14:paraId="2F18FE0F">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Status of evidence‐based chronic diseases prevention implementation in Shanghai, China: A qualitative study</w:t>
            </w:r>
          </w:p>
        </w:tc>
        <w:tc>
          <w:tcPr>
            <w:tcW w:w="1720" w:type="dxa"/>
            <w:vAlign w:val="center"/>
          </w:tcPr>
          <w:p w14:paraId="5F3D4C6A">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1FE9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B4E74D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47</w:t>
            </w:r>
          </w:p>
        </w:tc>
        <w:tc>
          <w:tcPr>
            <w:tcW w:w="3030" w:type="dxa"/>
            <w:vAlign w:val="center"/>
          </w:tcPr>
          <w:p w14:paraId="20EFF54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Emilomo Ogbe</w:t>
            </w:r>
            <w:r>
              <w:rPr>
                <w:rFonts w:hint="default" w:ascii="Times New Roman" w:hAnsi="Times New Roman" w:eastAsia="宋体" w:cs="Times New Roman"/>
                <w:color w:val="0F1115"/>
                <w:sz w:val="22"/>
                <w:szCs w:val="22"/>
                <w:shd w:val="clear" w:color="auto" w:fill="FFFFFF"/>
              </w:rPr>
              <w:t>, 2018</w:t>
            </w:r>
          </w:p>
        </w:tc>
        <w:tc>
          <w:tcPr>
            <w:tcW w:w="5009" w:type="dxa"/>
            <w:vAlign w:val="center"/>
          </w:tcPr>
          <w:p w14:paraId="0F54A157">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Opportunities for linking research to policy: lessons learned from implementation research in sexual and reproductive health within the ANSER network</w:t>
            </w:r>
          </w:p>
        </w:tc>
        <w:tc>
          <w:tcPr>
            <w:tcW w:w="1720" w:type="dxa"/>
            <w:vAlign w:val="center"/>
          </w:tcPr>
          <w:p w14:paraId="63CE110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1C76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0E22D0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48</w:t>
            </w:r>
          </w:p>
        </w:tc>
        <w:tc>
          <w:tcPr>
            <w:tcW w:w="3030" w:type="dxa"/>
            <w:vAlign w:val="center"/>
          </w:tcPr>
          <w:p w14:paraId="6695FD2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Kim MacQuilkan</w:t>
            </w:r>
            <w:r>
              <w:rPr>
                <w:rFonts w:hint="default" w:ascii="Times New Roman" w:hAnsi="Times New Roman" w:eastAsia="宋体" w:cs="Times New Roman"/>
                <w:color w:val="0F1115"/>
                <w:sz w:val="22"/>
                <w:szCs w:val="22"/>
                <w:shd w:val="clear" w:color="auto" w:fill="FFFFFF"/>
              </w:rPr>
              <w:t>, 2018</w:t>
            </w:r>
          </w:p>
        </w:tc>
        <w:tc>
          <w:tcPr>
            <w:tcW w:w="5009" w:type="dxa"/>
            <w:vAlign w:val="center"/>
          </w:tcPr>
          <w:p w14:paraId="16C4607B">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Strengthening health technology assessment systems in the global south: a comparative analysis of the HTA journeys of China, India and South Africa</w:t>
            </w:r>
          </w:p>
        </w:tc>
        <w:tc>
          <w:tcPr>
            <w:tcW w:w="1720" w:type="dxa"/>
            <w:vAlign w:val="center"/>
          </w:tcPr>
          <w:p w14:paraId="31EA2486">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0116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5E6E42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49</w:t>
            </w:r>
          </w:p>
        </w:tc>
        <w:tc>
          <w:tcPr>
            <w:tcW w:w="3030" w:type="dxa"/>
            <w:vAlign w:val="center"/>
          </w:tcPr>
          <w:p w14:paraId="0553DA5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Dohyeong Kim, 2018</w:t>
            </w:r>
          </w:p>
        </w:tc>
        <w:tc>
          <w:tcPr>
            <w:tcW w:w="5009" w:type="dxa"/>
            <w:vAlign w:val="center"/>
          </w:tcPr>
          <w:p w14:paraId="77F65B16">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Understanding needs and barriers to using geospatial tools for public health policymaking in China</w:t>
            </w:r>
          </w:p>
        </w:tc>
        <w:tc>
          <w:tcPr>
            <w:tcW w:w="1720" w:type="dxa"/>
            <w:vAlign w:val="center"/>
          </w:tcPr>
          <w:p w14:paraId="027F0776">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75B9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56426B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50</w:t>
            </w:r>
          </w:p>
        </w:tc>
        <w:tc>
          <w:tcPr>
            <w:tcW w:w="3030" w:type="dxa"/>
            <w:vAlign w:val="center"/>
          </w:tcPr>
          <w:p w14:paraId="58DDEFA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Yingyao Chen, 2018</w:t>
            </w:r>
          </w:p>
        </w:tc>
        <w:tc>
          <w:tcPr>
            <w:tcW w:w="5009" w:type="dxa"/>
            <w:vAlign w:val="center"/>
          </w:tcPr>
          <w:p w14:paraId="1778A3BD">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Development of health technology assessment in China: New challenges</w:t>
            </w:r>
          </w:p>
        </w:tc>
        <w:tc>
          <w:tcPr>
            <w:tcW w:w="1720" w:type="dxa"/>
            <w:vAlign w:val="center"/>
          </w:tcPr>
          <w:p w14:paraId="376F5B27">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41C2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072791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51</w:t>
            </w:r>
          </w:p>
        </w:tc>
        <w:tc>
          <w:tcPr>
            <w:tcW w:w="3030" w:type="dxa"/>
            <w:vAlign w:val="center"/>
          </w:tcPr>
          <w:p w14:paraId="60F3343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Syed Mohamed Aljunid, 2012</w:t>
            </w:r>
          </w:p>
        </w:tc>
        <w:tc>
          <w:tcPr>
            <w:tcW w:w="5009" w:type="dxa"/>
            <w:vAlign w:val="center"/>
          </w:tcPr>
          <w:p w14:paraId="1E1C5DE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Health-care data collecting, sharing, and using in Thailand, China mainland, South Korea, China Taiwan, Japan, and Malaysia</w:t>
            </w:r>
          </w:p>
        </w:tc>
        <w:tc>
          <w:tcPr>
            <w:tcW w:w="1720" w:type="dxa"/>
            <w:vAlign w:val="center"/>
          </w:tcPr>
          <w:p w14:paraId="0B8BF97B">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5C91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E038C5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52</w:t>
            </w:r>
          </w:p>
        </w:tc>
        <w:tc>
          <w:tcPr>
            <w:tcW w:w="3030" w:type="dxa"/>
            <w:vAlign w:val="center"/>
          </w:tcPr>
          <w:p w14:paraId="6B1CE33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Xiaoning Zhu, 2008</w:t>
            </w:r>
          </w:p>
        </w:tc>
        <w:tc>
          <w:tcPr>
            <w:tcW w:w="5009" w:type="dxa"/>
            <w:vAlign w:val="center"/>
          </w:tcPr>
          <w:p w14:paraId="7686E5BC">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Studies on Improvement of Government Decision-making Mechanism</w:t>
            </w:r>
          </w:p>
        </w:tc>
        <w:tc>
          <w:tcPr>
            <w:tcW w:w="1720" w:type="dxa"/>
            <w:vAlign w:val="center"/>
          </w:tcPr>
          <w:p w14:paraId="456675D4">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0FBA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6EEA845">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53</w:t>
            </w:r>
          </w:p>
        </w:tc>
        <w:tc>
          <w:tcPr>
            <w:tcW w:w="3030" w:type="dxa"/>
            <w:vAlign w:val="center"/>
          </w:tcPr>
          <w:p w14:paraId="59F6D9C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Bernard C. K., 2016</w:t>
            </w:r>
          </w:p>
        </w:tc>
        <w:tc>
          <w:tcPr>
            <w:tcW w:w="5009" w:type="dxa"/>
            <w:vAlign w:val="center"/>
          </w:tcPr>
          <w:p w14:paraId="27C4A989">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Bridging the gap between science and policy: an international survey of scientists and policy makers in China and Canada</w:t>
            </w:r>
          </w:p>
        </w:tc>
        <w:tc>
          <w:tcPr>
            <w:tcW w:w="1720" w:type="dxa"/>
            <w:vAlign w:val="center"/>
          </w:tcPr>
          <w:p w14:paraId="734583F5">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34CB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E944CA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54</w:t>
            </w:r>
          </w:p>
        </w:tc>
        <w:tc>
          <w:tcPr>
            <w:tcW w:w="3030" w:type="dxa"/>
            <w:vAlign w:val="center"/>
          </w:tcPr>
          <w:p w14:paraId="7FE7B34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Vincent CH Chung, 2023</w:t>
            </w:r>
          </w:p>
        </w:tc>
        <w:tc>
          <w:tcPr>
            <w:tcW w:w="5009" w:type="dxa"/>
            <w:vAlign w:val="center"/>
          </w:tcPr>
          <w:p w14:paraId="0D7FFE2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Implementation science in traditional, complementary and integrative medicine: an overview of experiences from China and the United States</w:t>
            </w:r>
          </w:p>
        </w:tc>
        <w:tc>
          <w:tcPr>
            <w:tcW w:w="1720" w:type="dxa"/>
            <w:vAlign w:val="center"/>
          </w:tcPr>
          <w:p w14:paraId="27688E27">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English</w:t>
            </w:r>
          </w:p>
        </w:tc>
      </w:tr>
      <w:tr w14:paraId="0D42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C708416">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55</w:t>
            </w:r>
          </w:p>
        </w:tc>
        <w:tc>
          <w:tcPr>
            <w:tcW w:w="3030" w:type="dxa"/>
            <w:vAlign w:val="center"/>
          </w:tcPr>
          <w:p w14:paraId="6AD8D62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Xuan Yu, 2024</w:t>
            </w:r>
          </w:p>
        </w:tc>
        <w:tc>
          <w:tcPr>
            <w:tcW w:w="5009" w:type="dxa"/>
            <w:vAlign w:val="center"/>
          </w:tcPr>
          <w:p w14:paraId="1985C720">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Definition of Evidence and Pathways to Translation in Evidence-based Decision-making</w:t>
            </w:r>
          </w:p>
        </w:tc>
        <w:tc>
          <w:tcPr>
            <w:tcW w:w="1720" w:type="dxa"/>
            <w:vAlign w:val="center"/>
          </w:tcPr>
          <w:p w14:paraId="076914D0">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B6C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5D0870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56</w:t>
            </w:r>
          </w:p>
        </w:tc>
        <w:tc>
          <w:tcPr>
            <w:tcW w:w="3030" w:type="dxa"/>
            <w:vAlign w:val="center"/>
          </w:tcPr>
          <w:p w14:paraId="434FDA6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Weichao Zhang, 2022</w:t>
            </w:r>
          </w:p>
        </w:tc>
        <w:tc>
          <w:tcPr>
            <w:tcW w:w="5009" w:type="dxa"/>
            <w:vAlign w:val="center"/>
          </w:tcPr>
          <w:p w14:paraId="4514F1AB">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fact-finding of difficult justifiable defense cases based on evidence-based methods</w:t>
            </w:r>
          </w:p>
        </w:tc>
        <w:tc>
          <w:tcPr>
            <w:tcW w:w="1720" w:type="dxa"/>
            <w:vAlign w:val="center"/>
          </w:tcPr>
          <w:p w14:paraId="23D5DD0F">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6E59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324F5D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57</w:t>
            </w:r>
          </w:p>
        </w:tc>
        <w:tc>
          <w:tcPr>
            <w:tcW w:w="3030" w:type="dxa"/>
            <w:vAlign w:val="center"/>
          </w:tcPr>
          <w:p w14:paraId="0717E12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Siyue Zhang, 2022</w:t>
            </w:r>
          </w:p>
        </w:tc>
        <w:tc>
          <w:tcPr>
            <w:tcW w:w="5009" w:type="dxa"/>
            <w:vAlign w:val="center"/>
          </w:tcPr>
          <w:p w14:paraId="5720BD6D">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optimization of rural governance decision-making models from the perspective of evidence-based decision-making theory</w:t>
            </w:r>
          </w:p>
        </w:tc>
        <w:tc>
          <w:tcPr>
            <w:tcW w:w="1720" w:type="dxa"/>
            <w:vAlign w:val="center"/>
          </w:tcPr>
          <w:p w14:paraId="5C14971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D64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3B0016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58</w:t>
            </w:r>
          </w:p>
        </w:tc>
        <w:tc>
          <w:tcPr>
            <w:tcW w:w="3030" w:type="dxa"/>
            <w:vAlign w:val="center"/>
          </w:tcPr>
          <w:p w14:paraId="072E5BE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Guoxian Bao, 2021</w:t>
            </w:r>
          </w:p>
        </w:tc>
        <w:tc>
          <w:tcPr>
            <w:tcW w:w="5009" w:type="dxa"/>
            <w:vAlign w:val="center"/>
          </w:tcPr>
          <w:p w14:paraId="5DE72D7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logic in China's national governance: theoretical framework and research agenda</w:t>
            </w:r>
          </w:p>
        </w:tc>
        <w:tc>
          <w:tcPr>
            <w:tcW w:w="1720" w:type="dxa"/>
            <w:vAlign w:val="center"/>
          </w:tcPr>
          <w:p w14:paraId="6EA5DC82">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AA1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87920F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59</w:t>
            </w:r>
          </w:p>
        </w:tc>
        <w:tc>
          <w:tcPr>
            <w:tcW w:w="3030" w:type="dxa"/>
            <w:vAlign w:val="center"/>
          </w:tcPr>
          <w:p w14:paraId="26A0E3C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Xiaofei Wang, 2021</w:t>
            </w:r>
          </w:p>
        </w:tc>
        <w:tc>
          <w:tcPr>
            <w:tcW w:w="5009" w:type="dxa"/>
            <w:vAlign w:val="center"/>
          </w:tcPr>
          <w:p w14:paraId="03C3DF4D">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Path dependence and breakthrough of government educational think tanks in serving educational decision-making</w:t>
            </w:r>
          </w:p>
        </w:tc>
        <w:tc>
          <w:tcPr>
            <w:tcW w:w="1720" w:type="dxa"/>
            <w:vAlign w:val="center"/>
          </w:tcPr>
          <w:p w14:paraId="32DC14AD">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4BE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08212C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60</w:t>
            </w:r>
          </w:p>
        </w:tc>
        <w:tc>
          <w:tcPr>
            <w:tcW w:w="3030" w:type="dxa"/>
            <w:vAlign w:val="center"/>
          </w:tcPr>
          <w:p w14:paraId="17F40FC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Min Wang, 2020</w:t>
            </w:r>
          </w:p>
        </w:tc>
        <w:tc>
          <w:tcPr>
            <w:tcW w:w="5009" w:type="dxa"/>
            <w:vAlign w:val="center"/>
          </w:tcPr>
          <w:p w14:paraId="4746CBD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How to realize teacher leadership: the perspective of evidence-based education</w:t>
            </w:r>
          </w:p>
        </w:tc>
        <w:tc>
          <w:tcPr>
            <w:tcW w:w="1720" w:type="dxa"/>
            <w:vAlign w:val="center"/>
          </w:tcPr>
          <w:p w14:paraId="50E8F211">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143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B8A04B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61</w:t>
            </w:r>
          </w:p>
        </w:tc>
        <w:tc>
          <w:tcPr>
            <w:tcW w:w="3030" w:type="dxa"/>
            <w:vAlign w:val="center"/>
          </w:tcPr>
          <w:p w14:paraId="3C5EDB88">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Lining Tang, 2022</w:t>
            </w:r>
          </w:p>
        </w:tc>
        <w:tc>
          <w:tcPr>
            <w:tcW w:w="5009" w:type="dxa"/>
            <w:vAlign w:val="center"/>
          </w:tcPr>
          <w:p w14:paraId="2C89F851">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How educational research influences educational decision-making</w:t>
            </w:r>
          </w:p>
        </w:tc>
        <w:tc>
          <w:tcPr>
            <w:tcW w:w="1720" w:type="dxa"/>
            <w:vAlign w:val="center"/>
          </w:tcPr>
          <w:p w14:paraId="37E5A6A1">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4AC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AF9E0D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62</w:t>
            </w:r>
          </w:p>
        </w:tc>
        <w:tc>
          <w:tcPr>
            <w:tcW w:w="3030" w:type="dxa"/>
            <w:vAlign w:val="center"/>
          </w:tcPr>
          <w:p w14:paraId="5E435536">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Jin Wen, 2019</w:t>
            </w:r>
          </w:p>
        </w:tc>
        <w:tc>
          <w:tcPr>
            <w:tcW w:w="5009" w:type="dxa"/>
            <w:vAlign w:val="center"/>
          </w:tcPr>
          <w:p w14:paraId="1A7C481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healthcare management under the historical setting of healthy China: evolution, challenges and future</w:t>
            </w:r>
          </w:p>
        </w:tc>
        <w:tc>
          <w:tcPr>
            <w:tcW w:w="1720" w:type="dxa"/>
            <w:vAlign w:val="center"/>
          </w:tcPr>
          <w:p w14:paraId="32B6D1D0">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C1A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2622243">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63</w:t>
            </w:r>
          </w:p>
        </w:tc>
        <w:tc>
          <w:tcPr>
            <w:tcW w:w="3030" w:type="dxa"/>
            <w:vAlign w:val="center"/>
          </w:tcPr>
          <w:p w14:paraId="5EF3D40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Ya Fang, 2018</w:t>
            </w:r>
          </w:p>
        </w:tc>
        <w:tc>
          <w:tcPr>
            <w:tcW w:w="5009" w:type="dxa"/>
            <w:vAlign w:val="center"/>
          </w:tcPr>
          <w:p w14:paraId="2AC6008E">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Application of Health Technology Assessment in Health Insurance and Health Management</w:t>
            </w:r>
          </w:p>
        </w:tc>
        <w:tc>
          <w:tcPr>
            <w:tcW w:w="1720" w:type="dxa"/>
            <w:vAlign w:val="center"/>
          </w:tcPr>
          <w:p w14:paraId="486D7715">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95C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1A9B12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64</w:t>
            </w:r>
          </w:p>
        </w:tc>
        <w:tc>
          <w:tcPr>
            <w:tcW w:w="3030" w:type="dxa"/>
            <w:vAlign w:val="center"/>
          </w:tcPr>
          <w:p w14:paraId="2E19385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Xiuxia Li, 2018</w:t>
            </w:r>
          </w:p>
        </w:tc>
        <w:tc>
          <w:tcPr>
            <w:tcW w:w="5009" w:type="dxa"/>
            <w:vAlign w:val="center"/>
          </w:tcPr>
          <w:p w14:paraId="5EFC3BE3">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Health Policy:Development and Prospect</w:t>
            </w:r>
          </w:p>
        </w:tc>
        <w:tc>
          <w:tcPr>
            <w:tcW w:w="1720" w:type="dxa"/>
            <w:vAlign w:val="center"/>
          </w:tcPr>
          <w:p w14:paraId="3BC4DE17">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EEA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4984D1B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65</w:t>
            </w:r>
          </w:p>
        </w:tc>
        <w:tc>
          <w:tcPr>
            <w:tcW w:w="3030" w:type="dxa"/>
            <w:vAlign w:val="center"/>
          </w:tcPr>
          <w:p w14:paraId="66502D6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Yan Zhao, 2016</w:t>
            </w:r>
          </w:p>
        </w:tc>
        <w:tc>
          <w:tcPr>
            <w:tcW w:w="5009" w:type="dxa"/>
            <w:vAlign w:val="center"/>
          </w:tcPr>
          <w:p w14:paraId="7AA5EEDF">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influence of non-governmental think tanks from the perspective of national governance</w:t>
            </w:r>
          </w:p>
        </w:tc>
        <w:tc>
          <w:tcPr>
            <w:tcW w:w="1720" w:type="dxa"/>
            <w:vAlign w:val="center"/>
          </w:tcPr>
          <w:p w14:paraId="6E747CE4">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404F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5F3EBF3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66</w:t>
            </w:r>
          </w:p>
        </w:tc>
        <w:tc>
          <w:tcPr>
            <w:tcW w:w="3030" w:type="dxa"/>
            <w:vAlign w:val="center"/>
          </w:tcPr>
          <w:p w14:paraId="623FA607">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Yue Xiao, 2017</w:t>
            </w:r>
          </w:p>
        </w:tc>
        <w:tc>
          <w:tcPr>
            <w:tcW w:w="5009" w:type="dxa"/>
            <w:vAlign w:val="center"/>
          </w:tcPr>
          <w:p w14:paraId="41C4C974">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public health:analysis on international experiences and its development in China under new scenario of public health</w:t>
            </w:r>
          </w:p>
        </w:tc>
        <w:tc>
          <w:tcPr>
            <w:tcW w:w="1720" w:type="dxa"/>
            <w:vAlign w:val="center"/>
          </w:tcPr>
          <w:p w14:paraId="7E2EDE9A">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653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13663F8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67</w:t>
            </w:r>
          </w:p>
        </w:tc>
        <w:tc>
          <w:tcPr>
            <w:tcW w:w="3030" w:type="dxa"/>
            <w:vAlign w:val="center"/>
          </w:tcPr>
          <w:p w14:paraId="338D90C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Zhenni Li, 2017</w:t>
            </w:r>
          </w:p>
        </w:tc>
        <w:tc>
          <w:tcPr>
            <w:tcW w:w="5009" w:type="dxa"/>
            <w:vAlign w:val="center"/>
          </w:tcPr>
          <w:p w14:paraId="33186A94">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The Exploration on the Path of Constructing New Think-tanks with Chinese Characteristics under the Perspective of National Governance</w:t>
            </w:r>
          </w:p>
        </w:tc>
        <w:tc>
          <w:tcPr>
            <w:tcW w:w="1720" w:type="dxa"/>
            <w:vAlign w:val="center"/>
          </w:tcPr>
          <w:p w14:paraId="1E92AF75">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E81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58AD092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68</w:t>
            </w:r>
          </w:p>
        </w:tc>
        <w:tc>
          <w:tcPr>
            <w:tcW w:w="3030" w:type="dxa"/>
            <w:vAlign w:val="center"/>
          </w:tcPr>
          <w:p w14:paraId="7644253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Fei Dong, 2017</w:t>
            </w:r>
          </w:p>
        </w:tc>
        <w:tc>
          <w:tcPr>
            <w:tcW w:w="5009" w:type="dxa"/>
            <w:vAlign w:val="center"/>
          </w:tcPr>
          <w:p w14:paraId="62933254">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New paths to achieve the scientificity of public policies under the background of big data</w:t>
            </w:r>
          </w:p>
        </w:tc>
        <w:tc>
          <w:tcPr>
            <w:tcW w:w="1720" w:type="dxa"/>
            <w:vAlign w:val="center"/>
          </w:tcPr>
          <w:p w14:paraId="0AD574DE">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BAF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404363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69</w:t>
            </w:r>
          </w:p>
        </w:tc>
        <w:tc>
          <w:tcPr>
            <w:tcW w:w="3030" w:type="dxa"/>
            <w:vAlign w:val="center"/>
          </w:tcPr>
          <w:p w14:paraId="04DC0023">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Zhou Zhong, 2016</w:t>
            </w:r>
          </w:p>
        </w:tc>
        <w:tc>
          <w:tcPr>
            <w:tcW w:w="5009" w:type="dxa"/>
            <w:vAlign w:val="center"/>
          </w:tcPr>
          <w:p w14:paraId="67EF5208">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The optimization analysis of the research methods of the government decision consulting institutions in China Taking 2009-2014 as the time interval</w:t>
            </w:r>
          </w:p>
        </w:tc>
        <w:tc>
          <w:tcPr>
            <w:tcW w:w="1720" w:type="dxa"/>
            <w:vAlign w:val="center"/>
          </w:tcPr>
          <w:p w14:paraId="578EAFFB">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E32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47077B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70</w:t>
            </w:r>
          </w:p>
        </w:tc>
        <w:tc>
          <w:tcPr>
            <w:tcW w:w="3030" w:type="dxa"/>
            <w:vAlign w:val="center"/>
          </w:tcPr>
          <w:p w14:paraId="056836D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Chen Tian</w:t>
            </w:r>
            <w:r>
              <w:rPr>
                <w:rFonts w:hint="default" w:ascii="Times New Roman" w:hAnsi="Times New Roman" w:eastAsia="宋体" w:cs="Times New Roman"/>
                <w:color w:val="0F1115"/>
                <w:sz w:val="22"/>
                <w:szCs w:val="22"/>
                <w:shd w:val="clear" w:color="auto" w:fill="FFFFFF"/>
              </w:rPr>
              <w:t>, 2016</w:t>
            </w:r>
          </w:p>
        </w:tc>
        <w:tc>
          <w:tcPr>
            <w:tcW w:w="5009" w:type="dxa"/>
            <w:vAlign w:val="center"/>
          </w:tcPr>
          <w:p w14:paraId="3B4A7EB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The research on the application of evidence-based decision-making under the background of big data</w:t>
            </w:r>
          </w:p>
        </w:tc>
        <w:tc>
          <w:tcPr>
            <w:tcW w:w="1720" w:type="dxa"/>
            <w:vAlign w:val="center"/>
          </w:tcPr>
          <w:p w14:paraId="26A9675A">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716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2D4C478">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71</w:t>
            </w:r>
          </w:p>
        </w:tc>
        <w:tc>
          <w:tcPr>
            <w:tcW w:w="3030" w:type="dxa"/>
            <w:vAlign w:val="center"/>
          </w:tcPr>
          <w:p w14:paraId="3375BB0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Xiaoming Chen, 2016</w:t>
            </w:r>
          </w:p>
        </w:tc>
        <w:tc>
          <w:tcPr>
            <w:tcW w:w="5009" w:type="dxa"/>
            <w:vAlign w:val="center"/>
          </w:tcPr>
          <w:p w14:paraId="6C6799C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cooperation between universities and scientific research institutes in the construction of government decision-making consulting institutions in China</w:t>
            </w:r>
          </w:p>
        </w:tc>
        <w:tc>
          <w:tcPr>
            <w:tcW w:w="1720" w:type="dxa"/>
            <w:vAlign w:val="center"/>
          </w:tcPr>
          <w:p w14:paraId="2D02E37F">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B5B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89E18F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72</w:t>
            </w:r>
          </w:p>
        </w:tc>
        <w:tc>
          <w:tcPr>
            <w:tcW w:w="3030" w:type="dxa"/>
            <w:vAlign w:val="center"/>
          </w:tcPr>
          <w:p w14:paraId="1612F9D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Duanhong Zhang, 2014</w:t>
            </w:r>
          </w:p>
        </w:tc>
        <w:tc>
          <w:tcPr>
            <w:tcW w:w="5009" w:type="dxa"/>
            <w:vAlign w:val="center"/>
          </w:tcPr>
          <w:p w14:paraId="3A13F0D7">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Policy Making Model Applied in the University Discipline Planning: A Case Study of A University</w:t>
            </w:r>
          </w:p>
        </w:tc>
        <w:tc>
          <w:tcPr>
            <w:tcW w:w="1720" w:type="dxa"/>
            <w:vAlign w:val="center"/>
          </w:tcPr>
          <w:p w14:paraId="6E267593">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D0C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3C9774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73</w:t>
            </w:r>
          </w:p>
        </w:tc>
        <w:tc>
          <w:tcPr>
            <w:tcW w:w="3030" w:type="dxa"/>
            <w:vAlign w:val="center"/>
          </w:tcPr>
          <w:p w14:paraId="7CAF550D">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Han Yang, 2014</w:t>
            </w:r>
          </w:p>
        </w:tc>
        <w:tc>
          <w:tcPr>
            <w:tcW w:w="5009" w:type="dxa"/>
            <w:vAlign w:val="center"/>
          </w:tcPr>
          <w:p w14:paraId="4A4F98D3">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crime prevention: Theory and its localized construction</w:t>
            </w:r>
          </w:p>
        </w:tc>
        <w:tc>
          <w:tcPr>
            <w:tcW w:w="1720" w:type="dxa"/>
            <w:vAlign w:val="center"/>
          </w:tcPr>
          <w:p w14:paraId="66D5E0CC">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694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4E8F3C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74</w:t>
            </w:r>
          </w:p>
        </w:tc>
        <w:tc>
          <w:tcPr>
            <w:tcW w:w="3030" w:type="dxa"/>
            <w:vAlign w:val="center"/>
          </w:tcPr>
          <w:p w14:paraId="64BEB2F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Shan Xiao, 2013</w:t>
            </w:r>
          </w:p>
        </w:tc>
        <w:tc>
          <w:tcPr>
            <w:tcW w:w="5009" w:type="dxa"/>
            <w:vAlign w:val="center"/>
          </w:tcPr>
          <w:p w14:paraId="5F7B429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policy learning of government decision-making consulting institutions in China</w:t>
            </w:r>
          </w:p>
        </w:tc>
        <w:tc>
          <w:tcPr>
            <w:tcW w:w="1720" w:type="dxa"/>
            <w:vAlign w:val="center"/>
          </w:tcPr>
          <w:p w14:paraId="4218AD07">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580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6E3C4F5">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75</w:t>
            </w:r>
          </w:p>
        </w:tc>
        <w:tc>
          <w:tcPr>
            <w:tcW w:w="3030" w:type="dxa"/>
            <w:vAlign w:val="center"/>
          </w:tcPr>
          <w:p w14:paraId="75261521">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Yan Zhou, 2013</w:t>
            </w:r>
          </w:p>
        </w:tc>
        <w:tc>
          <w:tcPr>
            <w:tcW w:w="5009" w:type="dxa"/>
            <w:vAlign w:val="center"/>
          </w:tcPr>
          <w:p w14:paraId="6A01AF56">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Analysis of the current situation and development thinking of China's government decision-making consultation</w:t>
            </w:r>
          </w:p>
        </w:tc>
        <w:tc>
          <w:tcPr>
            <w:tcW w:w="1720" w:type="dxa"/>
            <w:vAlign w:val="center"/>
          </w:tcPr>
          <w:p w14:paraId="5CB8FE4F">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F28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5" w:type="dxa"/>
            <w:vAlign w:val="center"/>
          </w:tcPr>
          <w:p w14:paraId="7461A5D3">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76</w:t>
            </w:r>
          </w:p>
        </w:tc>
        <w:tc>
          <w:tcPr>
            <w:tcW w:w="3030" w:type="dxa"/>
            <w:vAlign w:val="center"/>
          </w:tcPr>
          <w:p w14:paraId="312D3E6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Ruihong Yang, 2013</w:t>
            </w:r>
          </w:p>
        </w:tc>
        <w:tc>
          <w:tcPr>
            <w:tcW w:w="5009" w:type="dxa"/>
            <w:vAlign w:val="center"/>
          </w:tcPr>
          <w:p w14:paraId="0008772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Exploration of the communication mechanism of government decision-making consulting institutions in China</w:t>
            </w:r>
          </w:p>
        </w:tc>
        <w:tc>
          <w:tcPr>
            <w:tcW w:w="1720" w:type="dxa"/>
            <w:vAlign w:val="center"/>
          </w:tcPr>
          <w:p w14:paraId="4D3690F3">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0F9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382D1E8">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77</w:t>
            </w:r>
          </w:p>
        </w:tc>
        <w:tc>
          <w:tcPr>
            <w:tcW w:w="3030" w:type="dxa"/>
            <w:vAlign w:val="center"/>
          </w:tcPr>
          <w:p w14:paraId="261B2BC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Qing Li, 2014</w:t>
            </w:r>
          </w:p>
        </w:tc>
        <w:tc>
          <w:tcPr>
            <w:tcW w:w="5009" w:type="dxa"/>
            <w:vAlign w:val="center"/>
          </w:tcPr>
          <w:p w14:paraId="342AD97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existing problems and countermeasures of administrative decision-making consultation mechanism in China</w:t>
            </w:r>
          </w:p>
        </w:tc>
        <w:tc>
          <w:tcPr>
            <w:tcW w:w="1720" w:type="dxa"/>
            <w:vAlign w:val="center"/>
          </w:tcPr>
          <w:p w14:paraId="4809A80E">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64D4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7E49D58">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78</w:t>
            </w:r>
          </w:p>
        </w:tc>
        <w:tc>
          <w:tcPr>
            <w:tcW w:w="3030" w:type="dxa"/>
            <w:vAlign w:val="center"/>
          </w:tcPr>
          <w:p w14:paraId="70D6B86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Juan Wang, 2013</w:t>
            </w:r>
          </w:p>
        </w:tc>
        <w:tc>
          <w:tcPr>
            <w:tcW w:w="5009" w:type="dxa"/>
            <w:vAlign w:val="center"/>
          </w:tcPr>
          <w:p w14:paraId="461D1751">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optimization of the policy education function of government decision-making consulting institutions</w:t>
            </w:r>
          </w:p>
        </w:tc>
        <w:tc>
          <w:tcPr>
            <w:tcW w:w="1720" w:type="dxa"/>
            <w:vAlign w:val="center"/>
          </w:tcPr>
          <w:p w14:paraId="74F95A42">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1A31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97DDF22">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79</w:t>
            </w:r>
          </w:p>
        </w:tc>
        <w:tc>
          <w:tcPr>
            <w:tcW w:w="3030" w:type="dxa"/>
            <w:vAlign w:val="center"/>
          </w:tcPr>
          <w:p w14:paraId="436B68D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Fang Wang, 2013</w:t>
            </w:r>
          </w:p>
        </w:tc>
        <w:tc>
          <w:tcPr>
            <w:tcW w:w="5009" w:type="dxa"/>
            <w:vAlign w:val="center"/>
          </w:tcPr>
          <w:p w14:paraId="3CE661AB">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construction of decision-making consulting institutions of prefecture-level municipal governments in China</w:t>
            </w:r>
          </w:p>
        </w:tc>
        <w:tc>
          <w:tcPr>
            <w:tcW w:w="1720" w:type="dxa"/>
            <w:vAlign w:val="center"/>
          </w:tcPr>
          <w:p w14:paraId="0D475CE8">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53C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3914C2B1">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80</w:t>
            </w:r>
          </w:p>
        </w:tc>
        <w:tc>
          <w:tcPr>
            <w:tcW w:w="3030" w:type="dxa"/>
            <w:vAlign w:val="center"/>
          </w:tcPr>
          <w:p w14:paraId="7635716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Chen Xu, 2012</w:t>
            </w:r>
          </w:p>
        </w:tc>
        <w:tc>
          <w:tcPr>
            <w:tcW w:w="5009" w:type="dxa"/>
            <w:vAlign w:val="center"/>
          </w:tcPr>
          <w:p w14:paraId="33115AD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construction of think tanks in public decision-making</w:t>
            </w:r>
          </w:p>
        </w:tc>
        <w:tc>
          <w:tcPr>
            <w:tcW w:w="1720" w:type="dxa"/>
            <w:vAlign w:val="center"/>
          </w:tcPr>
          <w:p w14:paraId="2DB4E7FD">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3F50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76B83E6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81</w:t>
            </w:r>
          </w:p>
        </w:tc>
        <w:tc>
          <w:tcPr>
            <w:tcW w:w="3030" w:type="dxa"/>
            <w:vAlign w:val="center"/>
          </w:tcPr>
          <w:p w14:paraId="165AD2A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Zhenyu Shi, 2020</w:t>
            </w:r>
          </w:p>
        </w:tc>
        <w:tc>
          <w:tcPr>
            <w:tcW w:w="5009" w:type="dxa"/>
            <w:vAlign w:val="center"/>
          </w:tcPr>
          <w:p w14:paraId="17E05EB9">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Policy translation of health policy and systems research in China</w:t>
            </w:r>
          </w:p>
        </w:tc>
        <w:tc>
          <w:tcPr>
            <w:tcW w:w="1720" w:type="dxa"/>
            <w:vAlign w:val="center"/>
          </w:tcPr>
          <w:p w14:paraId="31FC1AEE">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4DB7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57EA3A46">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82</w:t>
            </w:r>
          </w:p>
        </w:tc>
        <w:tc>
          <w:tcPr>
            <w:tcW w:w="3030" w:type="dxa"/>
            <w:vAlign w:val="center"/>
          </w:tcPr>
          <w:p w14:paraId="0B8BC68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Qingyue Meng, 2020</w:t>
            </w:r>
          </w:p>
        </w:tc>
        <w:tc>
          <w:tcPr>
            <w:tcW w:w="5009" w:type="dxa"/>
            <w:vAlign w:val="center"/>
          </w:tcPr>
          <w:p w14:paraId="64BBE663">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An overview of health policy and systems research capacity in China</w:t>
            </w:r>
          </w:p>
        </w:tc>
        <w:tc>
          <w:tcPr>
            <w:tcW w:w="1720" w:type="dxa"/>
            <w:vAlign w:val="center"/>
          </w:tcPr>
          <w:p w14:paraId="63CB258B">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7F2F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2EDDD88F">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83</w:t>
            </w:r>
          </w:p>
        </w:tc>
        <w:tc>
          <w:tcPr>
            <w:tcW w:w="3030" w:type="dxa"/>
            <w:vAlign w:val="center"/>
          </w:tcPr>
          <w:p w14:paraId="170924B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Jingjing Chen, 2020</w:t>
            </w:r>
          </w:p>
        </w:tc>
        <w:tc>
          <w:tcPr>
            <w:tcW w:w="5009" w:type="dxa"/>
            <w:vAlign w:val="center"/>
          </w:tcPr>
          <w:p w14:paraId="02D05380">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Development and application of evidence-based public health decision-making</w:t>
            </w:r>
          </w:p>
        </w:tc>
        <w:tc>
          <w:tcPr>
            <w:tcW w:w="1720" w:type="dxa"/>
            <w:vAlign w:val="center"/>
          </w:tcPr>
          <w:p w14:paraId="3084A75A">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2671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0CABFC0A">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84</w:t>
            </w:r>
          </w:p>
        </w:tc>
        <w:tc>
          <w:tcPr>
            <w:tcW w:w="3030" w:type="dxa"/>
            <w:vAlign w:val="center"/>
          </w:tcPr>
          <w:p w14:paraId="5A69B0D8">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Xin Sun, 2019</w:t>
            </w:r>
          </w:p>
        </w:tc>
        <w:tc>
          <w:tcPr>
            <w:tcW w:w="5009" w:type="dxa"/>
            <w:vAlign w:val="center"/>
          </w:tcPr>
          <w:p w14:paraId="6F55E0F9">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Developing technical guidance for real-world data and studies to achieve better production and use of real-world evidence in China</w:t>
            </w:r>
          </w:p>
        </w:tc>
        <w:tc>
          <w:tcPr>
            <w:tcW w:w="1720" w:type="dxa"/>
            <w:vAlign w:val="center"/>
          </w:tcPr>
          <w:p w14:paraId="0425F75C">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872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692548EE">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85</w:t>
            </w:r>
          </w:p>
        </w:tc>
        <w:tc>
          <w:tcPr>
            <w:tcW w:w="3030" w:type="dxa"/>
            <w:vAlign w:val="center"/>
          </w:tcPr>
          <w:p w14:paraId="6E052D44">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Kangqing Wang, 2017</w:t>
            </w:r>
          </w:p>
        </w:tc>
        <w:tc>
          <w:tcPr>
            <w:tcW w:w="5009" w:type="dxa"/>
            <w:vAlign w:val="center"/>
          </w:tcPr>
          <w:p w14:paraId="7261C94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Research on the application of evidence-based policing investigation</w:t>
            </w:r>
          </w:p>
        </w:tc>
        <w:tc>
          <w:tcPr>
            <w:tcW w:w="1720" w:type="dxa"/>
            <w:vAlign w:val="center"/>
          </w:tcPr>
          <w:p w14:paraId="2975CCEE">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55B7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95" w:type="dxa"/>
            <w:vAlign w:val="center"/>
          </w:tcPr>
          <w:p w14:paraId="2749DBB0">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86</w:t>
            </w:r>
          </w:p>
        </w:tc>
        <w:tc>
          <w:tcPr>
            <w:tcW w:w="3030" w:type="dxa"/>
            <w:vAlign w:val="center"/>
          </w:tcPr>
          <w:p w14:paraId="23F9ACCB">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Le Li, 2022</w:t>
            </w:r>
          </w:p>
        </w:tc>
        <w:tc>
          <w:tcPr>
            <w:tcW w:w="5009" w:type="dxa"/>
            <w:vAlign w:val="center"/>
          </w:tcPr>
          <w:p w14:paraId="5C224BB2">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The theory and practice of evidence-based decision-making in British social policy: implications for China</w:t>
            </w:r>
          </w:p>
        </w:tc>
        <w:tc>
          <w:tcPr>
            <w:tcW w:w="1720" w:type="dxa"/>
            <w:vAlign w:val="center"/>
          </w:tcPr>
          <w:p w14:paraId="49A53120">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r w14:paraId="069F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Align w:val="center"/>
          </w:tcPr>
          <w:p w14:paraId="5D93FFEC">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宋体" w:cs="Times New Roman"/>
                <w:color w:val="0F1115"/>
                <w:sz w:val="22"/>
                <w:szCs w:val="22"/>
                <w:shd w:val="clear" w:color="auto" w:fill="FFFFFF"/>
                <w:lang w:val="en-US" w:eastAsia="zh-CN"/>
              </w:rPr>
              <w:t>87</w:t>
            </w:r>
          </w:p>
        </w:tc>
        <w:tc>
          <w:tcPr>
            <w:tcW w:w="3030" w:type="dxa"/>
            <w:vAlign w:val="center"/>
          </w:tcPr>
          <w:p w14:paraId="052C92C9">
            <w:pPr>
              <w:pStyle w:val="7"/>
              <w:widowControl/>
              <w:spacing w:beforeAutospacing="0" w:afterAutospacing="0"/>
              <w:jc w:val="left"/>
              <w:rPr>
                <w:rFonts w:hint="default" w:ascii="Times New Roman" w:hAnsi="Times New Roman" w:eastAsia="宋体" w:cs="Times New Roman"/>
                <w:color w:val="0F1115"/>
                <w:sz w:val="22"/>
                <w:szCs w:val="22"/>
                <w:shd w:val="clear" w:color="auto" w:fill="FFFFFF"/>
                <w:lang w:val="en-US" w:eastAsia="zh-CN"/>
              </w:rPr>
            </w:pPr>
            <w:r>
              <w:rPr>
                <w:rFonts w:hint="default" w:ascii="Times New Roman" w:hAnsi="Times New Roman" w:eastAsia="Segoe UI" w:cs="Times New Roman"/>
                <w:color w:val="0F1115"/>
                <w:sz w:val="22"/>
                <w:szCs w:val="22"/>
                <w:shd w:val="clear" w:color="auto" w:fill="FFFFFF"/>
              </w:rPr>
              <w:t>Feng Tong, 2015</w:t>
            </w:r>
          </w:p>
        </w:tc>
        <w:tc>
          <w:tcPr>
            <w:tcW w:w="5009" w:type="dxa"/>
            <w:vAlign w:val="center"/>
          </w:tcPr>
          <w:p w14:paraId="40A7C3DA">
            <w:pPr>
              <w:keepNext w:val="0"/>
              <w:keepLines w:val="0"/>
              <w:widowControl/>
              <w:suppressLineNumbers w:val="0"/>
              <w:jc w:val="left"/>
              <w:textAlignment w:val="top"/>
              <w:rPr>
                <w:rFonts w:hint="default" w:ascii="Times New Roman" w:hAnsi="Times New Roman" w:eastAsia="Segoe UI" w:cs="Times New Roman"/>
                <w:color w:val="0F1115"/>
                <w:sz w:val="22"/>
                <w:szCs w:val="22"/>
                <w:shd w:val="clear" w:color="auto" w:fill="FFFFFF"/>
              </w:rPr>
            </w:pPr>
            <w:r>
              <w:rPr>
                <w:rFonts w:hint="default" w:ascii="Times New Roman" w:hAnsi="Times New Roman" w:eastAsia="sans-serif" w:cs="Times New Roman"/>
                <w:i w:val="0"/>
                <w:iCs w:val="0"/>
                <w:color w:val="000000"/>
                <w:kern w:val="0"/>
                <w:sz w:val="22"/>
                <w:szCs w:val="22"/>
                <w:u w:val="none"/>
                <w:lang w:val="en-US" w:eastAsia="zh-CN" w:bidi="ar"/>
              </w:rPr>
              <w:t>Evidence-based Decision-making: a decision-making model basing on the evidence of public health</w:t>
            </w:r>
          </w:p>
        </w:tc>
        <w:tc>
          <w:tcPr>
            <w:tcW w:w="1720" w:type="dxa"/>
            <w:vAlign w:val="center"/>
          </w:tcPr>
          <w:p w14:paraId="3B2F9F79">
            <w:pPr>
              <w:pStyle w:val="7"/>
              <w:widowControl/>
              <w:spacing w:beforeAutospacing="0" w:afterAutospacing="0"/>
              <w:jc w:val="left"/>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r>
    </w:tbl>
    <w:p w14:paraId="65204D26">
      <w:pPr>
        <w:widowControl/>
        <w:textAlignment w:val="center"/>
        <w:rPr>
          <w:rFonts w:hint="default" w:ascii="Times New Roman" w:hAnsi="Times New Roman" w:eastAsia="Segoe UI" w:cs="Times New Roman"/>
          <w:color w:val="0F1115"/>
          <w:kern w:val="0"/>
          <w:sz w:val="22"/>
          <w:szCs w:val="22"/>
          <w:lang w:bidi="ar"/>
        </w:rPr>
      </w:pPr>
      <w:r>
        <w:rPr>
          <w:rFonts w:hint="default" w:ascii="Times New Roman" w:hAnsi="Times New Roman" w:eastAsia="Segoe UI" w:cs="Times New Roman"/>
          <w:color w:val="0F1115"/>
          <w:kern w:val="0"/>
          <w:sz w:val="22"/>
          <w:szCs w:val="22"/>
          <w:lang w:bidi="ar"/>
        </w:rPr>
        <w:br w:type="page"/>
      </w:r>
    </w:p>
    <w:p w14:paraId="453CFA7F">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eastAsia="微软雅黑" w:cs="Times New Roman"/>
          <w:sz w:val="22"/>
          <w:szCs w:val="22"/>
          <w:lang w:val="en-US" w:eastAsia="zh-CN"/>
        </w:rPr>
      </w:pPr>
      <w:bookmarkStart w:id="5" w:name="_Toc21268"/>
      <w:r>
        <w:rPr>
          <w:rFonts w:hint="default" w:ascii="Times New Roman" w:hAnsi="Times New Roman" w:eastAsia="微软雅黑" w:cs="Times New Roman"/>
          <w:sz w:val="22"/>
          <w:szCs w:val="22"/>
          <w:lang w:val="en-GB"/>
        </w:rPr>
        <w:t>Table S</w:t>
      </w:r>
      <w:r>
        <w:rPr>
          <w:rFonts w:hint="default" w:ascii="Times New Roman" w:hAnsi="Times New Roman" w:eastAsia="微软雅黑" w:cs="Times New Roman"/>
          <w:sz w:val="22"/>
          <w:szCs w:val="22"/>
          <w:lang w:val="en-US" w:eastAsia="zh-CN"/>
        </w:rPr>
        <w:t>4</w:t>
      </w:r>
      <w:r>
        <w:rPr>
          <w:rFonts w:hint="default" w:ascii="Times New Roman" w:hAnsi="Times New Roman" w:eastAsia="微软雅黑" w:cs="Times New Roman"/>
          <w:sz w:val="22"/>
          <w:szCs w:val="22"/>
          <w:lang w:val="en-GB"/>
        </w:rPr>
        <w:t>b. List of included policy documents</w:t>
      </w:r>
      <w:bookmarkEnd w:id="5"/>
    </w:p>
    <w:tbl>
      <w:tblPr>
        <w:tblStyle w:val="9"/>
        <w:tblW w:w="13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5359"/>
        <w:gridCol w:w="1849"/>
        <w:gridCol w:w="1553"/>
        <w:gridCol w:w="3727"/>
      </w:tblGrid>
      <w:tr w14:paraId="5829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shd w:val="clear" w:color="auto" w:fill="D9D9D9"/>
            <w:vAlign w:val="center"/>
          </w:tcPr>
          <w:p w14:paraId="58E8847D">
            <w:pPr>
              <w:widowControl/>
              <w:jc w:val="both"/>
              <w:textAlignment w:val="center"/>
              <w:rPr>
                <w:rFonts w:hint="default" w:ascii="Times New Roman" w:hAnsi="Times New Roman" w:eastAsia="宋体" w:cs="Times New Roman"/>
                <w:b/>
                <w:bCs/>
                <w:color w:val="0F1115"/>
                <w:kern w:val="0"/>
                <w:sz w:val="22"/>
                <w:szCs w:val="22"/>
                <w:lang w:val="en-US" w:eastAsia="zh-CN" w:bidi="ar"/>
              </w:rPr>
            </w:pPr>
            <w:r>
              <w:rPr>
                <w:rFonts w:hint="default" w:ascii="Times New Roman" w:hAnsi="Times New Roman" w:eastAsia="宋体" w:cs="Times New Roman"/>
                <w:b/>
                <w:bCs/>
                <w:color w:val="0F1115"/>
                <w:kern w:val="0"/>
                <w:sz w:val="22"/>
                <w:szCs w:val="22"/>
                <w:lang w:val="en-US" w:eastAsia="zh-CN" w:bidi="ar"/>
              </w:rPr>
              <w:t>Ref.</w:t>
            </w:r>
          </w:p>
        </w:tc>
        <w:tc>
          <w:tcPr>
            <w:tcW w:w="5359" w:type="dxa"/>
            <w:shd w:val="clear" w:color="auto" w:fill="D9D9D9"/>
            <w:vAlign w:val="center"/>
          </w:tcPr>
          <w:p w14:paraId="51C2A443">
            <w:pPr>
              <w:widowControl/>
              <w:jc w:val="both"/>
              <w:textAlignment w:val="center"/>
              <w:rPr>
                <w:rFonts w:hint="default" w:ascii="Times New Roman" w:hAnsi="Times New Roman" w:eastAsia="Segoe UI" w:cs="Times New Roman"/>
                <w:b/>
                <w:bCs/>
                <w:color w:val="0F1115"/>
                <w:kern w:val="0"/>
                <w:sz w:val="22"/>
                <w:szCs w:val="22"/>
                <w:lang w:bidi="ar"/>
              </w:rPr>
            </w:pPr>
            <w:r>
              <w:rPr>
                <w:rFonts w:hint="default" w:ascii="Times New Roman" w:hAnsi="Times New Roman" w:eastAsia="Segoe UI" w:cs="Times New Roman"/>
                <w:b/>
                <w:bCs/>
                <w:color w:val="0F1115"/>
                <w:kern w:val="0"/>
                <w:sz w:val="22"/>
                <w:szCs w:val="22"/>
                <w:lang w:bidi="ar"/>
              </w:rPr>
              <w:t xml:space="preserve">Document </w:t>
            </w:r>
            <w:r>
              <w:rPr>
                <w:rFonts w:hint="default" w:ascii="Times New Roman" w:hAnsi="Times New Roman" w:eastAsia="宋体" w:cs="Times New Roman"/>
                <w:b/>
                <w:bCs/>
                <w:color w:val="0F1115"/>
                <w:kern w:val="0"/>
                <w:sz w:val="22"/>
                <w:szCs w:val="22"/>
                <w:lang w:val="en-US" w:eastAsia="zh-CN" w:bidi="ar"/>
              </w:rPr>
              <w:t>T</w:t>
            </w:r>
            <w:r>
              <w:rPr>
                <w:rFonts w:hint="default" w:ascii="Times New Roman" w:hAnsi="Times New Roman" w:eastAsia="Segoe UI" w:cs="Times New Roman"/>
                <w:b/>
                <w:bCs/>
                <w:color w:val="0F1115"/>
                <w:kern w:val="0"/>
                <w:sz w:val="22"/>
                <w:szCs w:val="22"/>
                <w:lang w:bidi="ar"/>
              </w:rPr>
              <w:t>itle</w:t>
            </w:r>
          </w:p>
        </w:tc>
        <w:tc>
          <w:tcPr>
            <w:tcW w:w="1849" w:type="dxa"/>
            <w:shd w:val="clear" w:color="auto" w:fill="D9D9D9"/>
            <w:vAlign w:val="center"/>
          </w:tcPr>
          <w:p w14:paraId="3335C6F9">
            <w:pPr>
              <w:widowControl/>
              <w:jc w:val="both"/>
              <w:textAlignment w:val="center"/>
              <w:rPr>
                <w:rFonts w:hint="default" w:ascii="Times New Roman" w:hAnsi="Times New Roman" w:cs="Times New Roman"/>
                <w:b/>
                <w:bCs/>
                <w:sz w:val="22"/>
                <w:szCs w:val="22"/>
              </w:rPr>
            </w:pPr>
            <w:r>
              <w:rPr>
                <w:rFonts w:hint="default" w:ascii="Times New Roman" w:hAnsi="Times New Roman" w:eastAsia="宋体" w:cs="Times New Roman"/>
                <w:b/>
                <w:bCs/>
                <w:color w:val="0F1115"/>
                <w:kern w:val="0"/>
                <w:sz w:val="22"/>
                <w:szCs w:val="22"/>
                <w:lang w:val="en-US" w:eastAsia="zh-CN" w:bidi="ar"/>
              </w:rPr>
              <w:t>URL</w:t>
            </w:r>
          </w:p>
        </w:tc>
        <w:tc>
          <w:tcPr>
            <w:tcW w:w="1553" w:type="dxa"/>
            <w:shd w:val="clear" w:color="auto" w:fill="D9D9D9"/>
            <w:vAlign w:val="center"/>
          </w:tcPr>
          <w:p w14:paraId="16C9285B">
            <w:pPr>
              <w:widowControl/>
              <w:jc w:val="both"/>
              <w:textAlignment w:val="center"/>
              <w:rPr>
                <w:rFonts w:hint="default" w:ascii="Times New Roman" w:hAnsi="Times New Roman" w:eastAsia="宋体" w:cs="Times New Roman"/>
                <w:b/>
                <w:bCs/>
                <w:color w:val="0F1115"/>
                <w:kern w:val="0"/>
                <w:sz w:val="22"/>
                <w:szCs w:val="22"/>
                <w:lang w:val="en-US" w:eastAsia="zh-CN" w:bidi="ar"/>
              </w:rPr>
            </w:pPr>
            <w:r>
              <w:rPr>
                <w:rFonts w:hint="default" w:ascii="Times New Roman" w:hAnsi="Times New Roman" w:eastAsia="宋体" w:cs="Times New Roman"/>
                <w:b/>
                <w:bCs/>
                <w:color w:val="0F1115"/>
                <w:kern w:val="0"/>
                <w:sz w:val="22"/>
                <w:szCs w:val="22"/>
                <w:lang w:val="en-US" w:eastAsia="zh-CN" w:bidi="ar"/>
              </w:rPr>
              <w:t>Language</w:t>
            </w:r>
          </w:p>
        </w:tc>
        <w:tc>
          <w:tcPr>
            <w:tcW w:w="3727" w:type="dxa"/>
            <w:shd w:val="clear" w:color="auto" w:fill="D9D9D9"/>
            <w:vAlign w:val="center"/>
          </w:tcPr>
          <w:p w14:paraId="24F717E1">
            <w:pPr>
              <w:widowControl/>
              <w:jc w:val="both"/>
              <w:textAlignment w:val="center"/>
              <w:rPr>
                <w:rFonts w:hint="default" w:ascii="Times New Roman" w:hAnsi="Times New Roman" w:eastAsia="宋体" w:cs="Times New Roman"/>
                <w:b/>
                <w:bCs/>
                <w:color w:val="0F1115"/>
                <w:kern w:val="0"/>
                <w:sz w:val="22"/>
                <w:szCs w:val="22"/>
                <w:lang w:val="en-US" w:eastAsia="zh-CN" w:bidi="ar"/>
              </w:rPr>
            </w:pPr>
            <w:r>
              <w:rPr>
                <w:rFonts w:hint="default" w:ascii="Times New Roman" w:hAnsi="Times New Roman" w:eastAsia="宋体" w:cs="Times New Roman"/>
                <w:b/>
                <w:bCs/>
                <w:color w:val="0F1115"/>
                <w:kern w:val="0"/>
                <w:sz w:val="22"/>
                <w:szCs w:val="22"/>
                <w:lang w:val="en-US" w:eastAsia="zh-CN" w:bidi="ar"/>
              </w:rPr>
              <w:t>Policy Institution</w:t>
            </w:r>
          </w:p>
        </w:tc>
      </w:tr>
      <w:tr w14:paraId="4DF2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70393DF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88</w:t>
            </w:r>
          </w:p>
        </w:tc>
        <w:tc>
          <w:tcPr>
            <w:tcW w:w="5359" w:type="dxa"/>
            <w:vAlign w:val="center"/>
          </w:tcPr>
          <w:p w14:paraId="357528FF">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Ninth Report of the People's Republic of China on the Implementation of the "Convention on the Elimination of All Forms of Discrimination against Women"</w:t>
            </w:r>
          </w:p>
        </w:tc>
        <w:tc>
          <w:tcPr>
            <w:tcW w:w="1849" w:type="dxa"/>
            <w:vAlign w:val="center"/>
          </w:tcPr>
          <w:p w14:paraId="6AB2883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"https://www.fmprc.gov.cn/web/ziliao_674904/tytj_674911/tyfg_674913/" \o "https://www.fmprc.gov.cn/web/ziliao_674904/tytj_674911/tyfg_674913/"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https://www.fmprc.gov.cn/web/ziliao_674904/tytj_674911/tyfg_674913/</w:t>
            </w:r>
            <w:r>
              <w:rPr>
                <w:rStyle w:val="13"/>
                <w:rFonts w:hint="default" w:ascii="Times New Roman" w:hAnsi="Times New Roman" w:eastAsia="宋体" w:cs="Times New Roman"/>
                <w:color w:val="auto"/>
                <w:sz w:val="22"/>
                <w:szCs w:val="22"/>
              </w:rPr>
              <w:fldChar w:fldCharType="end"/>
            </w:r>
          </w:p>
        </w:tc>
        <w:tc>
          <w:tcPr>
            <w:tcW w:w="1553" w:type="dxa"/>
            <w:vAlign w:val="center"/>
          </w:tcPr>
          <w:p w14:paraId="5E208E0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BA789FC">
            <w:pPr>
              <w:widowControl/>
              <w:jc w:val="both"/>
              <w:rPr>
                <w:rFonts w:hint="default" w:ascii="Times New Roman" w:hAnsi="Times New Roman" w:eastAsia="微软雅黑" w:cs="Times New Roman"/>
                <w:sz w:val="22"/>
                <w:szCs w:val="22"/>
              </w:rPr>
            </w:pPr>
          </w:p>
          <w:p w14:paraId="3565513A">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Ministry of Foreign Affairs</w:t>
            </w:r>
          </w:p>
          <w:p w14:paraId="0AE9FF42">
            <w:pPr>
              <w:widowControl/>
              <w:jc w:val="both"/>
              <w:rPr>
                <w:rFonts w:hint="default" w:ascii="Times New Roman" w:hAnsi="Times New Roman" w:eastAsia="微软雅黑" w:cs="Times New Roman"/>
                <w:sz w:val="22"/>
                <w:szCs w:val="22"/>
              </w:rPr>
            </w:pPr>
          </w:p>
        </w:tc>
      </w:tr>
      <w:tr w14:paraId="1E7B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3B52104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89</w:t>
            </w:r>
          </w:p>
        </w:tc>
        <w:tc>
          <w:tcPr>
            <w:tcW w:w="5359" w:type="dxa"/>
            <w:vAlign w:val="center"/>
          </w:tcPr>
          <w:p w14:paraId="5E5AC119">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Combined Seventh and Eighth Periodic Reports of the People's Republic of China on the Implementation of the "Convention on the Elimination of All Forms of Discrimination against Women"</w:t>
            </w:r>
          </w:p>
        </w:tc>
        <w:tc>
          <w:tcPr>
            <w:tcW w:w="1849" w:type="dxa"/>
            <w:vAlign w:val="center"/>
          </w:tcPr>
          <w:p w14:paraId="5AAECF05">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"https://www.mfa.gov.cn/web/ziliao_674904/tytj_674911/tyfg_674913/index_1.shtml" \o "https://www.mfa.gov.cn/web/ziliao_674904/tytj_674911/tyfg_674913/index_1.shtml"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https://www.mfa.gov.cn/web/ziliao_674904/tytj_674911/tyfg_674913/index_1.shtml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F48E514">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C181D22">
            <w:pPr>
              <w:widowControl/>
              <w:jc w:val="both"/>
              <w:rPr>
                <w:rFonts w:hint="default" w:ascii="Times New Roman" w:hAnsi="Times New Roman" w:eastAsia="微软雅黑" w:cs="Times New Roman"/>
                <w:sz w:val="22"/>
                <w:szCs w:val="22"/>
              </w:rPr>
            </w:pPr>
          </w:p>
          <w:p w14:paraId="74229CFB">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Ministry of Foreign Affairs</w:t>
            </w:r>
          </w:p>
          <w:p w14:paraId="6EED3E4B">
            <w:pPr>
              <w:widowControl/>
              <w:jc w:val="both"/>
              <w:rPr>
                <w:rFonts w:hint="default" w:ascii="Times New Roman" w:hAnsi="Times New Roman" w:eastAsia="微软雅黑" w:cs="Times New Roman"/>
                <w:sz w:val="22"/>
                <w:szCs w:val="22"/>
              </w:rPr>
            </w:pPr>
          </w:p>
        </w:tc>
      </w:tr>
      <w:tr w14:paraId="206F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127DC06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90</w:t>
            </w:r>
          </w:p>
        </w:tc>
        <w:tc>
          <w:tcPr>
            <w:tcW w:w="5359" w:type="dxa"/>
            <w:vAlign w:val="center"/>
          </w:tcPr>
          <w:p w14:paraId="0C7BEABC">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Combined Third and Fourth Reports of the People's Republic of China on the Implementation of the "Convention on the Rights of the Child"</w:t>
            </w:r>
          </w:p>
        </w:tc>
        <w:tc>
          <w:tcPr>
            <w:tcW w:w="1849" w:type="dxa"/>
            <w:vAlign w:val="center"/>
          </w:tcPr>
          <w:p w14:paraId="08E8EE4A">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"https://www.mfa.gov.cn/web/ziliao_674904/tytj_674911/tyfg_674913/201009/t20100907_7949645.shtml" \o "https://www.mfa.gov.cn/web/ziliao_674904/tytj_674911/tyfg_674913/201009/t20100907_7949645.shtml"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https://www.mfa.gov.cn/web/ziliao_674904/tytj_674911/tyfg_674913/201009/t20100907_7949645.shtml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B0A450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816A654">
            <w:pPr>
              <w:widowControl/>
              <w:jc w:val="both"/>
              <w:rPr>
                <w:rFonts w:hint="default" w:ascii="Times New Roman" w:hAnsi="Times New Roman" w:eastAsia="微软雅黑" w:cs="Times New Roman"/>
                <w:sz w:val="22"/>
                <w:szCs w:val="22"/>
              </w:rPr>
            </w:pPr>
          </w:p>
          <w:p w14:paraId="17F7C9F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Ministry of Foreign Affairs</w:t>
            </w:r>
          </w:p>
          <w:p w14:paraId="180C06D6">
            <w:pPr>
              <w:widowControl/>
              <w:jc w:val="both"/>
              <w:rPr>
                <w:rFonts w:hint="default" w:ascii="Times New Roman" w:hAnsi="Times New Roman" w:eastAsia="微软雅黑" w:cs="Times New Roman"/>
                <w:sz w:val="22"/>
                <w:szCs w:val="22"/>
              </w:rPr>
            </w:pPr>
          </w:p>
        </w:tc>
      </w:tr>
      <w:tr w14:paraId="1277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128E695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91</w:t>
            </w:r>
          </w:p>
        </w:tc>
        <w:tc>
          <w:tcPr>
            <w:tcW w:w="5359" w:type="dxa"/>
            <w:vAlign w:val="center"/>
          </w:tcPr>
          <w:p w14:paraId="5F7D6E9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Letter from the General Office of the State Council on Approving the Establishment of an External Evaluation Mechanism for the Suggestions and Achievements of Counsellors of the State Council</w:t>
            </w:r>
          </w:p>
        </w:tc>
        <w:tc>
          <w:tcPr>
            <w:tcW w:w="1849" w:type="dxa"/>
            <w:vAlign w:val="center"/>
          </w:tcPr>
          <w:p w14:paraId="6A085A9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"http://www.counsellor.gov.cn/2022-03/04/c_1211596094.htm"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http://www.counsellor.gov.cn/2022-03/04/c_1211596094.htm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5D88347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E281342">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46DD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66292A39">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92</w:t>
            </w:r>
          </w:p>
        </w:tc>
        <w:tc>
          <w:tcPr>
            <w:tcW w:w="5359" w:type="dxa"/>
            <w:vAlign w:val="center"/>
          </w:tcPr>
          <w:p w14:paraId="1713E86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State Council on Further Strengthening and Regulating Government Supervision Work through the Implementation of the "Government Supervision Work Regulations"</w:t>
            </w:r>
          </w:p>
        </w:tc>
        <w:tc>
          <w:tcPr>
            <w:tcW w:w="1849" w:type="dxa"/>
            <w:vAlign w:val="center"/>
          </w:tcPr>
          <w:p w14:paraId="71C73C10">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"http://www.counsellor.gov.cn/2021-02/11/c_1211023446.htm" \o "http://www.counsellor.gov.cn/2021-02/11/c_1211023446.htm"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http://www.counsellor.gov.cn/2021-02/11/c_1211023446.htm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035815B2">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4074B37">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60DE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71415780">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93</w:t>
            </w:r>
          </w:p>
        </w:tc>
        <w:tc>
          <w:tcPr>
            <w:tcW w:w="5359" w:type="dxa"/>
            <w:vAlign w:val="center"/>
          </w:tcPr>
          <w:p w14:paraId="33C30EB0">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Regulations on the United Front Work of the Communist Party of China</w:t>
            </w:r>
          </w:p>
        </w:tc>
        <w:tc>
          <w:tcPr>
            <w:tcW w:w="1849" w:type="dxa"/>
            <w:vAlign w:val="center"/>
          </w:tcPr>
          <w:p w14:paraId="5D173F7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"http://www.counsellor.gov.cn/2021-01/05/c_1210967078.htm" \o "http://www.counsellor.gov.cn/2021-01/05/c_1210967078.htm"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http://www.counsellor.gov.cn/2021-01/05/c_1210967078.htm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5FE9B32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3FDF649">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695B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2074A84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94</w:t>
            </w:r>
          </w:p>
        </w:tc>
        <w:tc>
          <w:tcPr>
            <w:tcW w:w="5359" w:type="dxa"/>
            <w:vAlign w:val="center"/>
          </w:tcPr>
          <w:p w14:paraId="43B3FAA2">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Regulations on the United Front Work of the Communist Party of China</w:t>
            </w:r>
          </w:p>
        </w:tc>
        <w:tc>
          <w:tcPr>
            <w:tcW w:w="1849" w:type="dxa"/>
            <w:vAlign w:val="center"/>
          </w:tcPr>
          <w:p w14:paraId="6AA2E10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"http://www.counsellor.gov.cn/2015-09/23/c_1210711007.htm" \o "http://www.counsellor.gov.cn/2015-09/23/c_1210711007.htm"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http://www.counsellor.gov.cn/2015-09/23/c_1210711007.htm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059EE07F">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27F5135">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357B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0604B95E">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95</w:t>
            </w:r>
          </w:p>
        </w:tc>
        <w:tc>
          <w:tcPr>
            <w:tcW w:w="5359" w:type="dxa"/>
            <w:vAlign w:val="center"/>
          </w:tcPr>
          <w:p w14:paraId="6778F0F3">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The Central Committee of the Communist Party of China Issued the "Opinions on Strengthening the Construction of Socialist Consultative Democracy"</w:t>
            </w:r>
          </w:p>
        </w:tc>
        <w:tc>
          <w:tcPr>
            <w:tcW w:w="1849" w:type="dxa"/>
            <w:vAlign w:val="center"/>
          </w:tcPr>
          <w:p w14:paraId="25C07E15">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"http://www.counsellor.gov.cn/2015-02/09/c_1211574105.htm" \o "http://www.counsellor.gov.cn/2015-02/09/c_1211574105.htm"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http://www.counsellor.gov.cn/2015-02/09/c_1211574105.htm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64B1C35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1069B27">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4848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7EEEEBC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96</w:t>
            </w:r>
          </w:p>
        </w:tc>
        <w:tc>
          <w:tcPr>
            <w:tcW w:w="5359" w:type="dxa"/>
            <w:vAlign w:val="center"/>
          </w:tcPr>
          <w:p w14:paraId="4D523F5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The General Office of the Central Committee of the Communist Party of China and the General Office of the State Council Issued the "Opinions on Strengthening the Construction of New Think Tanks with Chinese Characteristics"</w:t>
            </w:r>
          </w:p>
        </w:tc>
        <w:tc>
          <w:tcPr>
            <w:tcW w:w="1849" w:type="dxa"/>
            <w:vAlign w:val="center"/>
          </w:tcPr>
          <w:p w14:paraId="675493B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"http://www.counsellor.gov.cn/2015-01/20/c_1210711004.htm" \o "http://www.counsellor.gov.cn/2015-01/20/c_1210711004.htm"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http://www.counsellor.gov.cn/2015-01/20/c_1210711004.htm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32B3CCA4">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504128E">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5DB2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2732624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97</w:t>
            </w:r>
          </w:p>
        </w:tc>
        <w:tc>
          <w:tcPr>
            <w:tcW w:w="5359" w:type="dxa"/>
            <w:vAlign w:val="center"/>
          </w:tcPr>
          <w:p w14:paraId="25A074E3">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Regulations on the Work of Government Counsellors</w:t>
            </w:r>
          </w:p>
        </w:tc>
        <w:tc>
          <w:tcPr>
            <w:tcW w:w="1849" w:type="dxa"/>
            <w:vAlign w:val="center"/>
          </w:tcPr>
          <w:p w14:paraId="17B0E0D0">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"http://www.counsellor.gov.cn/2009-11/09/c_1210406905.htm" \o "http://www.counsellor.gov.cn/2009-11/09/c_1210406905.htm"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http://www.counsellor.gov.cn/2009-11/09/c_1210406905.htm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77AD55D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2792CA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5D34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7A4495C3">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98</w:t>
            </w:r>
          </w:p>
        </w:tc>
        <w:tc>
          <w:tcPr>
            <w:tcW w:w="5359" w:type="dxa"/>
            <w:vAlign w:val="center"/>
          </w:tcPr>
          <w:p w14:paraId="1AEE5FD2">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State Council on Printing and Distributing the Main Responsibilities, Internal Organizations, and Staffing Provisions of the Counsellors' Office of the State Council (2008)</w:t>
            </w:r>
          </w:p>
        </w:tc>
        <w:tc>
          <w:tcPr>
            <w:tcW w:w="1849" w:type="dxa"/>
            <w:vAlign w:val="center"/>
          </w:tcPr>
          <w:p w14:paraId="45DEBD3A">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"http://www.counsellor.gov.cn/2010-11/19/c_1210778258.htm" \o "http://www.counsellor.gov.cn/2010-11/19/c_1210778258.htm"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http://www.counsellor.gov.cn/2010-11/19/c_1210778258.htm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0D0E2DEB">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4243C8F">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Counsellors’ Office of the State Council</w:t>
            </w:r>
          </w:p>
        </w:tc>
      </w:tr>
      <w:tr w14:paraId="1F18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4" w:type="dxa"/>
            <w:vAlign w:val="center"/>
          </w:tcPr>
          <w:p w14:paraId="2C7B7C84">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99</w:t>
            </w:r>
          </w:p>
        </w:tc>
        <w:tc>
          <w:tcPr>
            <w:tcW w:w="5359" w:type="dxa"/>
            <w:vAlign w:val="center"/>
          </w:tcPr>
          <w:p w14:paraId="372F014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Ministry of Agriculture and Rural Affairs and the General Office of the Ministry of Finance on Printing and Distributing the "2024-2026 National List of Central Government Funded Maximum Subsidy Amounts for General-purpose Agricultural Machinery"</w:t>
            </w:r>
          </w:p>
        </w:tc>
        <w:tc>
          <w:tcPr>
            <w:tcW w:w="1849" w:type="dxa"/>
            <w:vAlign w:val="center"/>
          </w:tcPr>
          <w:p w14:paraId="2150A11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"https://www.moa.gov.cn/govpublic/NYJXHGLS/202409/t20240913_6462452.htm"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https://www.moa.gov.cn/govpublic/NYJXHGLS/202409/t20240913_6462452.htm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2D40ADD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E25750B">
            <w:pPr>
              <w:widowControl/>
              <w:jc w:val="both"/>
              <w:rPr>
                <w:rFonts w:hint="default" w:ascii="Times New Roman" w:hAnsi="Times New Roman" w:eastAsia="sans-serif" w:cs="Times New Roman"/>
                <w:spacing w:val="-4"/>
                <w:kern w:val="0"/>
                <w:sz w:val="22"/>
                <w:szCs w:val="22"/>
                <w:shd w:val="clear" w:color="auto" w:fill="FFFFFF"/>
                <w:lang w:bidi="ar"/>
              </w:rPr>
            </w:pPr>
          </w:p>
          <w:p w14:paraId="4E07DF91">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3AAA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802CDD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100</w:t>
            </w:r>
          </w:p>
        </w:tc>
        <w:tc>
          <w:tcPr>
            <w:tcW w:w="5359" w:type="dxa"/>
            <w:vAlign w:val="center"/>
          </w:tcPr>
          <w:p w14:paraId="0E458B72">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Opinions of the Ministry of Agriculture and Rural Affairs on Comprehensively Promoting the Rule of Law in Agriculture and Rural Affairs</w:t>
            </w:r>
          </w:p>
        </w:tc>
        <w:tc>
          <w:tcPr>
            <w:tcW w:w="1849" w:type="dxa"/>
            <w:vAlign w:val="center"/>
          </w:tcPr>
          <w:p w14:paraId="1D0355C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"https://www.moa.gov.cn/govpublic/CYZCFGS/202104/t20210426_6366592.htm" \o "https://www.moa.gov.cn/govpublic/CYZCFGS/202104/t20210426_6366592.htm"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https://www.moa.gov.cn/govpublic/CYZCFGS/202104/t20210426_6366592.htm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23FD8F94">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A79B891">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5FB4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AB06A3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101</w:t>
            </w:r>
          </w:p>
        </w:tc>
        <w:tc>
          <w:tcPr>
            <w:tcW w:w="5359" w:type="dxa"/>
            <w:vAlign w:val="center"/>
          </w:tcPr>
          <w:p w14:paraId="350F4CC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Guidance Issued Jointly by the Ministry of Agriculture and Nine Other Departments: Developing Characteristic Industries to Promote Targeted Poverty Alleviation in Poor Areas</w:t>
            </w:r>
          </w:p>
        </w:tc>
        <w:tc>
          <w:tcPr>
            <w:tcW w:w="1849" w:type="dxa"/>
            <w:vAlign w:val="center"/>
          </w:tcPr>
          <w:p w14:paraId="27012A16">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"https://www.moa.gov.cn/gk/zcfg/qnhnzc/201605/t20160527_5153573.htm"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https://www.moa.gov.cn/gk/zcfg/qnhnzc/201605/t20160527_5153573.htm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72B865E1">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B0A92F4">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5F30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7F38449">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102</w:t>
            </w:r>
          </w:p>
        </w:tc>
        <w:tc>
          <w:tcPr>
            <w:tcW w:w="5359" w:type="dxa"/>
            <w:vAlign w:val="center"/>
          </w:tcPr>
          <w:p w14:paraId="2B71E726">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2016 National Policies and Measures for Implementing the New Development Concepts, Accelerating Agricultural Modernization, and Promoting Sustained Increases in Farmers' Incomes</w:t>
            </w:r>
          </w:p>
        </w:tc>
        <w:tc>
          <w:tcPr>
            <w:tcW w:w="1849" w:type="dxa"/>
            <w:vAlign w:val="center"/>
          </w:tcPr>
          <w:p w14:paraId="4BBD755F">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"https://www.moa.gov.cn/gk/zcfg/qnhnzc/201603/t20160330_5076285.htm" \o "https://www.moa.gov.cn/gk/zcfg/qnhnzc/201603/t20160330_5076285.htm"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https://www.moa.gov.cn/gk/zcfg/qnhnzc/201603/t20160330_5076285.htm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3E4C8BD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37F2161">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7DCD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B6AF830">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103</w:t>
            </w:r>
          </w:p>
        </w:tc>
        <w:tc>
          <w:tcPr>
            <w:tcW w:w="5359" w:type="dxa"/>
            <w:vAlign w:val="center"/>
          </w:tcPr>
          <w:p w14:paraId="593F8659">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Opinions from the Ministry of Agriculture, the Office of the Central Rural Work Leading Group, the Ministry of Finance, the Ministry of Land and Resources, the Legislative Affairs Office of the State Council, and the National Archives Administration on Conscientiously Doing a Good Job in the Confirmation, Registration, and Certification of Rural Land Contractual Management Rights</w:t>
            </w:r>
          </w:p>
        </w:tc>
        <w:tc>
          <w:tcPr>
            <w:tcW w:w="1849" w:type="dxa"/>
            <w:vAlign w:val="center"/>
          </w:tcPr>
          <w:p w14:paraId="7511EBBB">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"https://www.moa.gov.cn/govpublic/zcggs/202011/t20201124_6356933.htm"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https://www.moa.gov.cn/govpublic/zcggs/202011/t20201124_6356933.htm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4B8D583F">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8548709">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5E0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501EF13">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104</w:t>
            </w:r>
          </w:p>
        </w:tc>
        <w:tc>
          <w:tcPr>
            <w:tcW w:w="5359" w:type="dxa"/>
            <w:vAlign w:val="center"/>
          </w:tcPr>
          <w:p w14:paraId="3F909202">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The General Office of the Central Committee of the Communist Party of China and the General Office of the State Council Issued the "Opinions on Guiding the Orderly Transfer of Rural Land Management Rights and Developing Appropriately Scaled Agricultural Operations"</w:t>
            </w:r>
          </w:p>
        </w:tc>
        <w:tc>
          <w:tcPr>
            <w:tcW w:w="1849" w:type="dxa"/>
            <w:vAlign w:val="center"/>
          </w:tcPr>
          <w:p w14:paraId="283E2DDF">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"https://www.moa.gov.cn/gk/zcfg/qnhnzc/201411/t20141121_4246421.htm" \o "https://www.moa.gov.cn/gk/zcfg/qnhnzc/201411/t20141121_4246421.htm"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https://www.moa.gov.cn/gk/zcfg/qnhnzc/201411/t20141121_4246421.htm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7472810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21D2F36">
            <w:pPr>
              <w:widowControl/>
              <w:jc w:val="both"/>
              <w:rPr>
                <w:rFonts w:hint="default" w:ascii="Times New Roman" w:hAnsi="Times New Roman" w:eastAsia="sans-serif" w:cs="Times New Roman"/>
                <w:spacing w:val="-4"/>
                <w:kern w:val="0"/>
                <w:sz w:val="22"/>
                <w:szCs w:val="22"/>
                <w:shd w:val="clear" w:color="auto" w:fill="FFFFFF"/>
                <w:lang w:bidi="ar"/>
              </w:rPr>
            </w:pPr>
          </w:p>
          <w:p w14:paraId="04A8E2AB">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Agriculture and Rural Affairs</w:t>
            </w:r>
          </w:p>
        </w:tc>
      </w:tr>
      <w:tr w14:paraId="1F10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3E01B4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105</w:t>
            </w:r>
          </w:p>
        </w:tc>
        <w:tc>
          <w:tcPr>
            <w:tcW w:w="5359" w:type="dxa"/>
            <w:vAlign w:val="center"/>
          </w:tcPr>
          <w:p w14:paraId="1D11E10D">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"Special Action Plan for the Governance of Unreasonable Medical Examinations"</w:t>
            </w:r>
          </w:p>
        </w:tc>
        <w:tc>
          <w:tcPr>
            <w:tcW w:w="1849" w:type="dxa"/>
            <w:vAlign w:val="center"/>
          </w:tcPr>
          <w:p w14:paraId="51F36E70">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"https://www.nhc.gov.cn/wjw/c100175/202104/0cdf9b0ce9ba4351b8d488ecba10fced.shtml"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https://www.nhc.gov.cn/wjw/c100175/202104/0cdf9b0ce9ba4351b8d488ecba10fced.shtml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2E099C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B2E0204">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68F5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7F5D040">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106</w:t>
            </w:r>
          </w:p>
        </w:tc>
        <w:tc>
          <w:tcPr>
            <w:tcW w:w="5359" w:type="dxa"/>
            <w:vAlign w:val="center"/>
          </w:tcPr>
          <w:p w14:paraId="4792CB5A">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"Opinions of the Central Committee of the Communist Party of China and the State Council on the Comprehensive Implementation of Budget Performance Management"</w:t>
            </w:r>
          </w:p>
        </w:tc>
        <w:tc>
          <w:tcPr>
            <w:tcW w:w="1849" w:type="dxa"/>
            <w:vAlign w:val="center"/>
          </w:tcPr>
          <w:p w14:paraId="659025B8">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"https://www.nhc.gov.cn/wjw/c100175/202104/a458c51577f949098d5bdfaa30d0ce46.shtml"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https://www.nhc.gov.cn/wjw/c100175/202104/a458c51577f949098d5bdfaa30d0ce46.shtml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603DE81">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71F5B1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14D8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ABD4BD2">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107</w:t>
            </w:r>
          </w:p>
        </w:tc>
        <w:tc>
          <w:tcPr>
            <w:tcW w:w="5359" w:type="dxa"/>
            <w:vAlign w:val="center"/>
          </w:tcPr>
          <w:p w14:paraId="35F6F4A1">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National Health Commission on the Establishment of the National Expert Committee on Clinical Use of Medical Devices</w:t>
            </w:r>
          </w:p>
        </w:tc>
        <w:tc>
          <w:tcPr>
            <w:tcW w:w="1849" w:type="dxa"/>
            <w:vAlign w:val="center"/>
          </w:tcPr>
          <w:p w14:paraId="5E1393FC">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"https://www.nhc.gov.cn/wjw/c100175/202105/f09f9f7deaa041b18628ba781bc196ea.shtml"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https://www.nhc.gov.cn/wjw/c100175/202105/f09f9f7deaa041b18628ba781bc196ea.shtml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021200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859B74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0CD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B3EC53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108</w:t>
            </w:r>
          </w:p>
        </w:tc>
        <w:tc>
          <w:tcPr>
            <w:tcW w:w="5359" w:type="dxa"/>
            <w:vAlign w:val="center"/>
          </w:tcPr>
          <w:p w14:paraId="47C33EAF">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National Health Commission on Soliciting Public Comments on the "Measures for the Administration of Health Statistics Work (Draft for Comments)"</w:t>
            </w:r>
          </w:p>
        </w:tc>
        <w:tc>
          <w:tcPr>
            <w:tcW w:w="1849" w:type="dxa"/>
            <w:vAlign w:val="center"/>
          </w:tcPr>
          <w:p w14:paraId="2848A16F">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"https://www.nhc.gov.cn/fzs/c100048/202105/de198fb692b140518265947bf6146c9e.shtml"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https://www.nhc.gov.cn/fzs/c100048/202105/de198fb692b140518265947bf6146c9e.shtml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565DB5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2B6905E">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0B70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BDC7A34">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109</w:t>
            </w:r>
          </w:p>
        </w:tc>
        <w:tc>
          <w:tcPr>
            <w:tcW w:w="5359" w:type="dxa"/>
            <w:vAlign w:val="center"/>
          </w:tcPr>
          <w:p w14:paraId="6C05CB20">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Letter from the Secretariat of the National Food Safety Standard Evaluation Committee on Soliciting Opinions on the 2021 Annual Plan for Establishing National Food Safety Standards (Draft for Comments)</w:t>
            </w:r>
          </w:p>
        </w:tc>
        <w:tc>
          <w:tcPr>
            <w:tcW w:w="1849" w:type="dxa"/>
            <w:vAlign w:val="center"/>
          </w:tcPr>
          <w:p w14:paraId="354E7420">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"https://www.nhc.gov.cn/sps/c100088/202106/28d8eddd9079456d9874d9967b547f2d.shtml"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https://www.nhc.gov.cn/sps/c100088/202106/28d8eddd9079456d9874d9967b547f2d.shtml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DC9BFE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294A44E">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BB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4" w:type="dxa"/>
            <w:vAlign w:val="center"/>
          </w:tcPr>
          <w:p w14:paraId="78B31D38">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110</w:t>
            </w:r>
          </w:p>
        </w:tc>
        <w:tc>
          <w:tcPr>
            <w:tcW w:w="5359" w:type="dxa"/>
            <w:vAlign w:val="center"/>
          </w:tcPr>
          <w:p w14:paraId="6414FA9E">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National Health Commission on Establishing the Expert Group for Promoting the Construction of Hierarchical Diagnosis and Treatment and Medical Alliances</w:t>
            </w:r>
          </w:p>
        </w:tc>
        <w:tc>
          <w:tcPr>
            <w:tcW w:w="1849" w:type="dxa"/>
            <w:vAlign w:val="center"/>
          </w:tcPr>
          <w:p w14:paraId="13DF682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"https://www.nhc.gov.cn/wjw/c100175/202106/95ee91bc65cf4c53a8dfc1c764d0cb74.shtml"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https://www.nhc.gov.cn/wjw/c100175/202106/95ee91bc65cf4c53a8dfc1c764d0cb74.shtml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CAB511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0DAFA25">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1515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541D33E">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111</w:t>
            </w:r>
          </w:p>
        </w:tc>
        <w:tc>
          <w:tcPr>
            <w:tcW w:w="5359" w:type="dxa"/>
            <w:vAlign w:val="center"/>
          </w:tcPr>
          <w:p w14:paraId="349E60DC">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National Health Commission on Studying, Publicizing, and Implementing the "Construction Standards for General Hospitals"</w:t>
            </w:r>
          </w:p>
        </w:tc>
        <w:tc>
          <w:tcPr>
            <w:tcW w:w="1849" w:type="dxa"/>
            <w:vAlign w:val="center"/>
          </w:tcPr>
          <w:p w14:paraId="3AF6ADF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"https://www.nhc.gov.cn/wjw/c100175/202106/db5584e137bb47feb9315ab78477533d.shtml"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https://www.nhc.gov.cn/wjw/c100175/202106/db5584e137bb47feb9315ab78477533d.shtml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47BBE1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7641212">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81B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ECD950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112</w:t>
            </w:r>
          </w:p>
        </w:tc>
        <w:tc>
          <w:tcPr>
            <w:tcW w:w="5359" w:type="dxa"/>
            <w:vAlign w:val="center"/>
          </w:tcPr>
          <w:p w14:paraId="0774664F">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on Printing and Distributing the Guidelines for the Construction of Nutrition and Health Schools</w:t>
            </w:r>
          </w:p>
        </w:tc>
        <w:tc>
          <w:tcPr>
            <w:tcW w:w="1849" w:type="dxa"/>
            <w:vAlign w:val="center"/>
          </w:tcPr>
          <w:p w14:paraId="17858C6A">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"https://www.nhc.gov.cn/wjw/c100175/202106/2a92f342b1ab41c991114dc15512c3c6.shtml"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https://www.nhc.gov.cn/wjw/c100175/202106/2a92f342b1ab41c991114dc15512c3c6.shtml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9687C52">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DF62CA5">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3B62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9F2CB9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113</w:t>
            </w:r>
          </w:p>
        </w:tc>
        <w:tc>
          <w:tcPr>
            <w:tcW w:w="5359" w:type="dxa"/>
            <w:vAlign w:val="center"/>
          </w:tcPr>
          <w:p w14:paraId="34A9DA5B">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Report of the National Health Commission on the Rectification Work Concerning the Prevention, Investigation, and Punishment of Statistical Fraud and Falsification</w:t>
            </w:r>
          </w:p>
        </w:tc>
        <w:tc>
          <w:tcPr>
            <w:tcW w:w="1849" w:type="dxa"/>
            <w:vAlign w:val="center"/>
          </w:tcPr>
          <w:p w14:paraId="732A9C63">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"https://www.nhc.gov.cn/guihuaxxs/c100133/202106/d193018df55f401686030d9137fff503.shtml"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https://www.nhc.gov.cn/guihuaxxs/c100133/202106/d193018df55f401686030d9137fff503.shtml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4BE7F2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F99D3E2">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258B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584D9D0">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114</w:t>
            </w:r>
          </w:p>
        </w:tc>
        <w:tc>
          <w:tcPr>
            <w:tcW w:w="5359" w:type="dxa"/>
            <w:vAlign w:val="center"/>
          </w:tcPr>
          <w:p w14:paraId="43468A3F">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"Implementation Opinions on Consolidating and Expanding the Achievements of Health Poverty Alleviation and Effectively Connecting with Rural Revitalization"</w:t>
            </w:r>
          </w:p>
        </w:tc>
        <w:tc>
          <w:tcPr>
            <w:tcW w:w="1849" w:type="dxa"/>
            <w:vAlign w:val="center"/>
          </w:tcPr>
          <w:p w14:paraId="04326DEE">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"https://www.nhc.gov.cn/wjw/c100175/202106/730727b67b1e42d786bdeccaedc953bf.shtml"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https://www.nhc.gov.cn/wjw/c100175/202106/730727b67b1e42d786bdeccaedc953bf.shtml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DAFEB2D">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A2DAE7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2429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21EB2F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115</w:t>
            </w:r>
          </w:p>
        </w:tc>
        <w:tc>
          <w:tcPr>
            <w:tcW w:w="5359" w:type="dxa"/>
            <w:vAlign w:val="center"/>
          </w:tcPr>
          <w:p w14:paraId="6EB36F2A">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Opinions on Further Strengthening the Work of Traditional Chinese Medicine in General Hospitals and Promoting the Collaborative Development of Traditional Chinese and Western Medicine</w:t>
            </w:r>
          </w:p>
        </w:tc>
        <w:tc>
          <w:tcPr>
            <w:tcW w:w="1849" w:type="dxa"/>
            <w:vAlign w:val="center"/>
          </w:tcPr>
          <w:p w14:paraId="74BC951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"https://www.nhc.gov.cn/wjw/c100175/202106/e3ded5540071420babea8cd35142e2b8.shtml"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https://www.nhc.gov.cn/wjw/c100175/202106/e3ded5540071420babea8cd35142e2b8.shtml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1B096D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D370E36">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0973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92D8894">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116</w:t>
            </w:r>
          </w:p>
        </w:tc>
        <w:tc>
          <w:tcPr>
            <w:tcW w:w="5359" w:type="dxa"/>
            <w:vAlign w:val="center"/>
          </w:tcPr>
          <w:p w14:paraId="58A1FC0D">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on Conducting the Fifth Sampling Survey on the Living Conditions of Urban and Rural Elderly in China</w:t>
            </w:r>
          </w:p>
        </w:tc>
        <w:tc>
          <w:tcPr>
            <w:tcW w:w="1849" w:type="dxa"/>
            <w:vAlign w:val="center"/>
          </w:tcPr>
          <w:p w14:paraId="594F51F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"https://www.nhc.gov.cn/wjw/c100175/202107/c49b8eade50f42478a255e7283a26aae.shtml"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https://www.nhc.gov.cn/wjw/c100175/202107/c49b8eade50f42478a255e7283a26aae.shtml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308695D">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E5EE492">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B18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0ED81B2">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117</w:t>
            </w:r>
          </w:p>
        </w:tc>
        <w:tc>
          <w:tcPr>
            <w:tcW w:w="5359" w:type="dxa"/>
            <w:vAlign w:val="center"/>
          </w:tcPr>
          <w:p w14:paraId="2F93B28D">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National Health Commission on Printing and Distributing the Study and Publicity Outline for the Decision of the Central Committee of the Communist Party of China and the State Council on Optimizing the Birth Policy to Promote Long-term and Balanced Population Developmen</w:t>
            </w:r>
            <w:r>
              <w:rPr>
                <w:rFonts w:hint="default" w:ascii="Times New Roman" w:hAnsi="Times New Roman" w:eastAsia="宋体" w:cs="Times New Roman"/>
                <w:color w:val="0F1115"/>
                <w:kern w:val="0"/>
                <w:sz w:val="22"/>
                <w:szCs w:val="22"/>
                <w:lang w:val="en-US" w:eastAsia="zh-CN" w:bidi="ar"/>
              </w:rPr>
              <w:t>t</w:t>
            </w:r>
          </w:p>
        </w:tc>
        <w:tc>
          <w:tcPr>
            <w:tcW w:w="1849" w:type="dxa"/>
            <w:vAlign w:val="center"/>
          </w:tcPr>
          <w:p w14:paraId="5035A0B7">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"https://www.nhc.gov.cn/wjw/c100175/202108/e29de67449f34adbb1fbd43d90548447.shtml"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https://www.nhc.gov.cn/wjw/c100175/202108/e29de67449f34adbb1fbd43d90548447.shtml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4636FF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D13C927">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3E30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2F517E7">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118</w:t>
            </w:r>
          </w:p>
        </w:tc>
        <w:tc>
          <w:tcPr>
            <w:tcW w:w="5359" w:type="dxa"/>
            <w:vAlign w:val="center"/>
          </w:tcPr>
          <w:p w14:paraId="5DF25C3E">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General Office of the National Health Commission on Regulating the Conduct of Comprehensive Clinical Evaluation of Drugs</w:t>
            </w:r>
          </w:p>
        </w:tc>
        <w:tc>
          <w:tcPr>
            <w:tcW w:w="1849" w:type="dxa"/>
            <w:vAlign w:val="center"/>
          </w:tcPr>
          <w:p w14:paraId="35C99DDA">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"https://www.nhc.gov.cn/wjw/c100175/202107/58a87de5349a484e9ef87b8ac0a32ce7.shtml"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https://www.nhc.gov.cn/wjw/c100175/202107/58a87de5349a484e9ef87b8ac0a32ce7.shtml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2B97A2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63519EB">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02AA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F8339A8">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119</w:t>
            </w:r>
          </w:p>
        </w:tc>
        <w:tc>
          <w:tcPr>
            <w:tcW w:w="5359" w:type="dxa"/>
            <w:vAlign w:val="center"/>
          </w:tcPr>
          <w:p w14:paraId="5317F243">
            <w:pPr>
              <w:widowControl/>
              <w:jc w:val="both"/>
              <w:textAlignment w:val="center"/>
              <w:rPr>
                <w:rFonts w:hint="default" w:ascii="Times New Roman" w:hAnsi="Times New Roman" w:eastAsia="宋体" w:cs="Times New Roman"/>
                <w:sz w:val="22"/>
                <w:szCs w:val="22"/>
                <w:lang w:val="en-US" w:eastAsia="zh-CN"/>
              </w:rPr>
            </w:pPr>
            <w:r>
              <w:rPr>
                <w:rFonts w:hint="default" w:ascii="Times New Roman" w:hAnsi="Times New Roman" w:eastAsia="Segoe UI" w:cs="Times New Roman"/>
                <w:color w:val="0F1115"/>
                <w:kern w:val="0"/>
                <w:sz w:val="22"/>
                <w:szCs w:val="22"/>
                <w:lang w:bidi="ar"/>
              </w:rPr>
              <w:t>Notice of the National Health Commission on Printing and Distributing the Health Children Action Improvement Plan (2021-2025)</w:t>
            </w:r>
          </w:p>
        </w:tc>
        <w:tc>
          <w:tcPr>
            <w:tcW w:w="1849" w:type="dxa"/>
            <w:vAlign w:val="center"/>
          </w:tcPr>
          <w:p w14:paraId="58B5CD2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"https://www.nhc.gov.cn/fys/c100078/202111/a89349aa60f94019bf93648ff377061b.shtml"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https://www.nhc.gov.cn/fys/c100078/202111/a89349aa60f94019bf93648ff377061b.shtml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18B4E31">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48BCFA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6EEF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E6A1A10">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120</w:t>
            </w:r>
          </w:p>
        </w:tc>
        <w:tc>
          <w:tcPr>
            <w:tcW w:w="5359" w:type="dxa"/>
            <w:vAlign w:val="center"/>
          </w:tcPr>
          <w:p w14:paraId="5CC1F4E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General Office of the National Health Commission on Organizing the Application for Projects to Tackle Key Problems for the High-Quality Development of Health Statistics Work</w:t>
            </w:r>
          </w:p>
        </w:tc>
        <w:tc>
          <w:tcPr>
            <w:tcW w:w="1849" w:type="dxa"/>
            <w:vAlign w:val="center"/>
          </w:tcPr>
          <w:p w14:paraId="17DD0895">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"https://www.nhc.gov.cn/wjw/c100175/202111/3da2b7285a294eabafb9c4de9710dfc0.shtml"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https://www.nhc.gov.cn/wjw/c100175/202111/3da2b7285a294eabafb9c4de9710dfc0.shtml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59EEB43">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6351EE9">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3F8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35399AD">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121</w:t>
            </w:r>
          </w:p>
        </w:tc>
        <w:tc>
          <w:tcPr>
            <w:tcW w:w="5359" w:type="dxa"/>
            <w:vAlign w:val="center"/>
          </w:tcPr>
          <w:p w14:paraId="01EC7DFE">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General Office of the National Health Commission on Printing and Distributing the 2022 National Medical Quality and Safety Improvement Goals</w:t>
            </w:r>
          </w:p>
        </w:tc>
        <w:tc>
          <w:tcPr>
            <w:tcW w:w="1849" w:type="dxa"/>
            <w:vAlign w:val="center"/>
          </w:tcPr>
          <w:p w14:paraId="68AA32BE">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"https://www.nhc.gov.cn/yzygj/c100068/202203/d5e4af0c96814da3974d25df0bfad607.shtml"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https://www.nhc.gov.cn/yzygj/c100068/202203/d5e4af0c96814da3974d25df0bfad607.shtml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4698914">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201A3DE">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4281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A1EC095">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122</w:t>
            </w:r>
          </w:p>
        </w:tc>
        <w:tc>
          <w:tcPr>
            <w:tcW w:w="5359" w:type="dxa"/>
            <w:vAlign w:val="center"/>
          </w:tcPr>
          <w:p w14:paraId="7ABD7984">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on Printing and Distributing the "Technology Innovation Implementation Plan for Ecological Protection and High-Quality Development in the Yellow River Basin"</w:t>
            </w:r>
          </w:p>
        </w:tc>
        <w:tc>
          <w:tcPr>
            <w:tcW w:w="1849" w:type="dxa"/>
            <w:vAlign w:val="center"/>
          </w:tcPr>
          <w:p w14:paraId="51EBB9A2">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"https://www.most.gov.cn/xxgk/xinxifenlei/fdzdgknr/fgzc/gfxwj/gfxwj2022/202210/t20221031_183301.html" \o "https://www.most.gov.cn/xxgk/xinxifenlei/fdzdgknr/fgzc/gfxwj/gfxwj2022/202210/t20221031_183301.html"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https://www.most.gov.cn/xxgk/xinxifenlei/fdzdgknr/fgzc/gfxwj/gfxwj2022/202210/t20221031_183301.html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B3D5F4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88473DA">
            <w:pPr>
              <w:widowControl/>
              <w:jc w:val="both"/>
              <w:rPr>
                <w:rFonts w:hint="default" w:ascii="Times New Roman" w:hAnsi="Times New Roman" w:eastAsia="sans-serif" w:cs="Times New Roman"/>
                <w:spacing w:val="-4"/>
                <w:kern w:val="0"/>
                <w:sz w:val="22"/>
                <w:szCs w:val="22"/>
                <w:shd w:val="clear" w:color="auto" w:fill="FFFFFF"/>
                <w:lang w:bidi="ar"/>
              </w:rPr>
            </w:pPr>
          </w:p>
          <w:p w14:paraId="1C5D4A04">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41ED2A6F">
            <w:pPr>
              <w:widowControl/>
              <w:jc w:val="both"/>
              <w:rPr>
                <w:rFonts w:hint="default" w:ascii="Times New Roman" w:hAnsi="Times New Roman" w:eastAsia="微软雅黑" w:cs="Times New Roman"/>
                <w:sz w:val="22"/>
                <w:szCs w:val="22"/>
              </w:rPr>
            </w:pPr>
          </w:p>
        </w:tc>
      </w:tr>
      <w:tr w14:paraId="7835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702D0EE">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123</w:t>
            </w:r>
          </w:p>
        </w:tc>
        <w:tc>
          <w:tcPr>
            <w:tcW w:w="5359" w:type="dxa"/>
            <w:vAlign w:val="center"/>
          </w:tcPr>
          <w:p w14:paraId="05C54A4E">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the Ministry of Ecology and Environment, the Ministry of Housing and Urban-Rural Development, the China Meteorological Administration, and the National Forestry and Grassland Administration on Printing and Distributing the "14th Five-Year Plan" Special Plan for Scientific and Technological Innovation in the Field of Ecology and Environment"</w:t>
            </w:r>
          </w:p>
        </w:tc>
        <w:tc>
          <w:tcPr>
            <w:tcW w:w="1849" w:type="dxa"/>
            <w:vAlign w:val="center"/>
          </w:tcPr>
          <w:p w14:paraId="7CC04A14">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"https://www.most.gov.cn/xxgk/xinxifenlei/fdzdgknr/fgzc/gfxwj/gfxwj2022/202209/t20220926_182638.html" \o "https://www.most.gov.cn/xxgk/xinxifenlei/fdzdgknr/fgzc/gfxwj/gfxwj2022/202209/t20220926_182638.html"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https://www.most.gov.cn/xxgk/xinxifenlei/fdzdgknr/fgzc/gfxwj/gfxwj2022/202209/t20220926_182638.html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7E6E6D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2E9D42C">
            <w:pPr>
              <w:widowControl/>
              <w:jc w:val="both"/>
              <w:rPr>
                <w:rFonts w:hint="default" w:ascii="Times New Roman" w:hAnsi="Times New Roman" w:eastAsia="sans-serif" w:cs="Times New Roman"/>
                <w:spacing w:val="-4"/>
                <w:kern w:val="0"/>
                <w:sz w:val="22"/>
                <w:szCs w:val="22"/>
                <w:shd w:val="clear" w:color="auto" w:fill="FFFFFF"/>
                <w:lang w:bidi="ar"/>
              </w:rPr>
            </w:pPr>
          </w:p>
          <w:p w14:paraId="5F7D3B61">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625BD633">
            <w:pPr>
              <w:widowControl/>
              <w:jc w:val="both"/>
              <w:rPr>
                <w:rFonts w:hint="default" w:ascii="Times New Roman" w:hAnsi="Times New Roman" w:eastAsia="微软雅黑" w:cs="Times New Roman"/>
                <w:sz w:val="22"/>
                <w:szCs w:val="22"/>
              </w:rPr>
            </w:pPr>
          </w:p>
        </w:tc>
      </w:tr>
      <w:tr w14:paraId="2D8D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52BEDB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124</w:t>
            </w:r>
          </w:p>
        </w:tc>
        <w:tc>
          <w:tcPr>
            <w:tcW w:w="5359" w:type="dxa"/>
            <w:vAlign w:val="center"/>
          </w:tcPr>
          <w:p w14:paraId="2F847ADD">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The General Office of the Central Committee of the Communist Party of China and the General Office of the State Council Issued the "Opinions on Further Strengthening Science Popularization in the New Era"</w:t>
            </w:r>
          </w:p>
        </w:tc>
        <w:tc>
          <w:tcPr>
            <w:tcW w:w="1849" w:type="dxa"/>
            <w:vAlign w:val="center"/>
          </w:tcPr>
          <w:p w14:paraId="086A2DA8">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"https://www.most.gov.cn/xxgk/xinxifenlei/fdzdgknr/fgzc/gfxwj/gfxwj2022/202209/t20220905_182273.html"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https://www.most.gov.cn/xxgk/xinxifenlei/fdzdgknr/fgzc/gfxwj/gfxwj2022/202209/t20220905_182273.html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C66307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D42A140">
            <w:pPr>
              <w:widowControl/>
              <w:jc w:val="both"/>
              <w:rPr>
                <w:rFonts w:hint="default" w:ascii="Times New Roman" w:hAnsi="Times New Roman" w:eastAsia="sans-serif" w:cs="Times New Roman"/>
                <w:spacing w:val="-4"/>
                <w:kern w:val="0"/>
                <w:sz w:val="22"/>
                <w:szCs w:val="22"/>
                <w:shd w:val="clear" w:color="auto" w:fill="FFFFFF"/>
                <w:lang w:bidi="ar"/>
              </w:rPr>
            </w:pPr>
          </w:p>
          <w:p w14:paraId="4030E27A">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2E6D2E13">
            <w:pPr>
              <w:widowControl/>
              <w:jc w:val="both"/>
              <w:rPr>
                <w:rFonts w:hint="default" w:ascii="Times New Roman" w:hAnsi="Times New Roman" w:eastAsia="微软雅黑" w:cs="Times New Roman"/>
                <w:sz w:val="22"/>
                <w:szCs w:val="22"/>
              </w:rPr>
            </w:pPr>
          </w:p>
        </w:tc>
      </w:tr>
      <w:tr w14:paraId="3545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136A7E4">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125</w:t>
            </w:r>
          </w:p>
        </w:tc>
        <w:tc>
          <w:tcPr>
            <w:tcW w:w="5359" w:type="dxa"/>
            <w:vAlign w:val="center"/>
          </w:tcPr>
          <w:p w14:paraId="22E44A9F">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and Eight Other Departments on Printing and Distributing the "14th Five-Year Plan" Implementation Plan for East-West Science and Technology Cooperation"</w:t>
            </w:r>
          </w:p>
        </w:tc>
        <w:tc>
          <w:tcPr>
            <w:tcW w:w="1849" w:type="dxa"/>
            <w:vAlign w:val="center"/>
          </w:tcPr>
          <w:p w14:paraId="2B0F8A48">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"https://www.most.gov.cn/xxgk/xinxifenlei/fdzdgknr/fgzc/gfxwj/gfxwj2022/202203/t20220304_179644.html"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https://www.most.gov.cn/xxgk/xinxifenlei/fdzdgknr/fgzc/gfxwj/gfxwj2022/202203/t20220304_179644.html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E38C1CD">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F6F1B35">
            <w:pPr>
              <w:widowControl/>
              <w:jc w:val="both"/>
              <w:rPr>
                <w:rFonts w:hint="default" w:ascii="Times New Roman" w:hAnsi="Times New Roman" w:eastAsia="sans-serif" w:cs="Times New Roman"/>
                <w:spacing w:val="-4"/>
                <w:kern w:val="0"/>
                <w:sz w:val="22"/>
                <w:szCs w:val="22"/>
                <w:shd w:val="clear" w:color="auto" w:fill="FFFFFF"/>
                <w:lang w:bidi="ar"/>
              </w:rPr>
            </w:pPr>
          </w:p>
          <w:p w14:paraId="6473C639">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48887038">
            <w:pPr>
              <w:widowControl/>
              <w:jc w:val="both"/>
              <w:rPr>
                <w:rFonts w:hint="default" w:ascii="Times New Roman" w:hAnsi="Times New Roman" w:eastAsia="微软雅黑" w:cs="Times New Roman"/>
                <w:sz w:val="22"/>
                <w:szCs w:val="22"/>
              </w:rPr>
            </w:pPr>
          </w:p>
        </w:tc>
      </w:tr>
      <w:tr w14:paraId="2956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2CBDD2C">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126</w:t>
            </w:r>
          </w:p>
        </w:tc>
        <w:tc>
          <w:tcPr>
            <w:tcW w:w="5359" w:type="dxa"/>
            <w:vAlign w:val="center"/>
          </w:tcPr>
          <w:p w14:paraId="552E857F">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General Office of the Ministry of Science and Technology on Creating a Better Environment to Support R&amp;D by Technology-based Small and Medium-sized Enterprises</w:t>
            </w:r>
          </w:p>
        </w:tc>
        <w:tc>
          <w:tcPr>
            <w:tcW w:w="1849" w:type="dxa"/>
            <w:vAlign w:val="center"/>
          </w:tcPr>
          <w:p w14:paraId="74C448A1">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"https://www.most.gov.cn/xxgk/xinxifenlei/fdzdgknr/fgzc/gfxwj/gfxwj2022/202201/t20220113_179017.html"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https://www.most.gov.cn/xxgk/xinxifenlei/fdzdgknr/fgzc/gfxwj/gfxwj2022/202201/t20220113_179017.html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9232D1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B0CF4F4">
            <w:pPr>
              <w:widowControl/>
              <w:jc w:val="both"/>
              <w:rPr>
                <w:rFonts w:hint="default" w:ascii="Times New Roman" w:hAnsi="Times New Roman" w:eastAsia="sans-serif" w:cs="Times New Roman"/>
                <w:spacing w:val="-4"/>
                <w:kern w:val="0"/>
                <w:sz w:val="22"/>
                <w:szCs w:val="22"/>
                <w:shd w:val="clear" w:color="auto" w:fill="FFFFFF"/>
                <w:lang w:bidi="ar"/>
              </w:rPr>
            </w:pPr>
          </w:p>
          <w:p w14:paraId="1B1E0E55">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6B18969D">
            <w:pPr>
              <w:widowControl/>
              <w:jc w:val="both"/>
              <w:rPr>
                <w:rFonts w:hint="default" w:ascii="Times New Roman" w:hAnsi="Times New Roman" w:eastAsia="微软雅黑" w:cs="Times New Roman"/>
                <w:sz w:val="22"/>
                <w:szCs w:val="22"/>
              </w:rPr>
            </w:pPr>
          </w:p>
        </w:tc>
      </w:tr>
      <w:tr w14:paraId="0666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D4CF4F3">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127</w:t>
            </w:r>
          </w:p>
        </w:tc>
        <w:tc>
          <w:tcPr>
            <w:tcW w:w="5359" w:type="dxa"/>
            <w:vAlign w:val="center"/>
          </w:tcPr>
          <w:p w14:paraId="05DBFBAD">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Guiding Opinions of the General Office of the State Council on Improving the Evaluation Mechanism for Scientific and Technological Achievements</w:t>
            </w:r>
          </w:p>
        </w:tc>
        <w:tc>
          <w:tcPr>
            <w:tcW w:w="1849" w:type="dxa"/>
            <w:vAlign w:val="center"/>
          </w:tcPr>
          <w:p w14:paraId="6352CF3F">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"https://www.most.gov.cn/xxgk/xinxifenlei/fdzdgknr/fgzc/gfxwj/gfxwj2021/202108/t20210804_176223.html"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https://www.most.gov.cn/xxgk/xinxifenlei/fdzdgknr/fgzc/gfxwj/gfxwj2021/202108/t20210804_176223.html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AE594F3">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AE0D005">
            <w:pPr>
              <w:widowControl/>
              <w:jc w:val="both"/>
              <w:rPr>
                <w:rFonts w:hint="default" w:ascii="Times New Roman" w:hAnsi="Times New Roman" w:eastAsia="sans-serif" w:cs="Times New Roman"/>
                <w:spacing w:val="-4"/>
                <w:kern w:val="0"/>
                <w:sz w:val="22"/>
                <w:szCs w:val="22"/>
                <w:shd w:val="clear" w:color="auto" w:fill="FFFFFF"/>
                <w:lang w:bidi="ar"/>
              </w:rPr>
            </w:pPr>
          </w:p>
          <w:p w14:paraId="5D991F17">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564A95F0">
            <w:pPr>
              <w:widowControl/>
              <w:jc w:val="both"/>
              <w:rPr>
                <w:rFonts w:hint="default" w:ascii="Times New Roman" w:hAnsi="Times New Roman" w:eastAsia="微软雅黑" w:cs="Times New Roman"/>
                <w:sz w:val="22"/>
                <w:szCs w:val="22"/>
              </w:rPr>
            </w:pPr>
          </w:p>
        </w:tc>
      </w:tr>
      <w:tr w14:paraId="4DBE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4741C3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128</w:t>
            </w:r>
          </w:p>
        </w:tc>
        <w:tc>
          <w:tcPr>
            <w:tcW w:w="5359" w:type="dxa"/>
            <w:vAlign w:val="center"/>
          </w:tcPr>
          <w:p w14:paraId="37261F4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on Issuing the "Several Measures to Support Female Sci-Tech Talent in Playing a Greater Role in Scientific and Technological Innovation" by the Ministry of Science and Technology and Twelve Other Departments</w:t>
            </w:r>
          </w:p>
        </w:tc>
        <w:tc>
          <w:tcPr>
            <w:tcW w:w="1849" w:type="dxa"/>
            <w:vAlign w:val="center"/>
          </w:tcPr>
          <w:p w14:paraId="4C8B49D3">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"https://www.most.gov.cn/xxgk/xinxifenlei/fdzdgknr/fgzc/gfxwj/gfxwj2021/202107/t20210719_175960.html"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https://www.most.gov.cn/xxgk/xinxifenlei/fdzdgknr/fgzc/gfxwj/gfxwj2021/202107/t20210719_175960.html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69C0BBB">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FB93208">
            <w:pPr>
              <w:widowControl/>
              <w:jc w:val="both"/>
              <w:rPr>
                <w:rFonts w:hint="default" w:ascii="Times New Roman" w:hAnsi="Times New Roman" w:eastAsia="sans-serif" w:cs="Times New Roman"/>
                <w:spacing w:val="-4"/>
                <w:kern w:val="0"/>
                <w:sz w:val="22"/>
                <w:szCs w:val="22"/>
                <w:shd w:val="clear" w:color="auto" w:fill="FFFFFF"/>
                <w:lang w:bidi="ar"/>
              </w:rPr>
            </w:pPr>
          </w:p>
          <w:p w14:paraId="6EC125A9">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02CEAC8D">
            <w:pPr>
              <w:widowControl/>
              <w:jc w:val="both"/>
              <w:rPr>
                <w:rFonts w:hint="default" w:ascii="Times New Roman" w:hAnsi="Times New Roman" w:eastAsia="微软雅黑" w:cs="Times New Roman"/>
                <w:sz w:val="22"/>
                <w:szCs w:val="22"/>
              </w:rPr>
            </w:pPr>
          </w:p>
        </w:tc>
      </w:tr>
      <w:tr w14:paraId="1C23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ADCC9E9">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129</w:t>
            </w:r>
          </w:p>
        </w:tc>
        <w:tc>
          <w:tcPr>
            <w:tcW w:w="5359" w:type="dxa"/>
            <w:vAlign w:val="center"/>
          </w:tcPr>
          <w:p w14:paraId="1633D6D9">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the National Development and Reform Commission, the Ministry of Industry and Information Technology, the People's Bank of China, the China Banking and Insurance Regulatory Commission, and the China Securities Regulatory Commission on Printing and Distributing the "Construction Plan for the Yangtze River Delta G60 Science and Technology Innovation Corridor"</w:t>
            </w:r>
          </w:p>
        </w:tc>
        <w:tc>
          <w:tcPr>
            <w:tcW w:w="1849" w:type="dxa"/>
            <w:vAlign w:val="center"/>
          </w:tcPr>
          <w:p w14:paraId="5DC5F449">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"https://www.most.gov.cn/xxgk/xinxifenlei/fdzdgknr/fgzc/gfxwj/gfxwj2020/202104/t20210401_173673.html"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https://www.most.gov.cn/xxgk/xinxifenlei/fdzdgknr/fgzc/gfxwj/gfxwj2020/202104/t20210401_173673.html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E3969D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1894DAB">
            <w:pPr>
              <w:widowControl/>
              <w:jc w:val="both"/>
              <w:rPr>
                <w:rFonts w:hint="default" w:ascii="Times New Roman" w:hAnsi="Times New Roman" w:eastAsia="sans-serif" w:cs="Times New Roman"/>
                <w:spacing w:val="-4"/>
                <w:kern w:val="0"/>
                <w:sz w:val="22"/>
                <w:szCs w:val="22"/>
                <w:shd w:val="clear" w:color="auto" w:fill="FFFFFF"/>
                <w:lang w:bidi="ar"/>
              </w:rPr>
            </w:pPr>
          </w:p>
          <w:p w14:paraId="7B75773A">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646BF1AA">
            <w:pPr>
              <w:widowControl/>
              <w:jc w:val="both"/>
              <w:rPr>
                <w:rFonts w:hint="default" w:ascii="Times New Roman" w:hAnsi="Times New Roman" w:eastAsia="微软雅黑" w:cs="Times New Roman"/>
                <w:sz w:val="22"/>
                <w:szCs w:val="22"/>
              </w:rPr>
            </w:pPr>
          </w:p>
        </w:tc>
      </w:tr>
      <w:tr w14:paraId="6ACA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CDF79B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130</w:t>
            </w:r>
          </w:p>
        </w:tc>
        <w:tc>
          <w:tcPr>
            <w:tcW w:w="5359" w:type="dxa"/>
            <w:vAlign w:val="center"/>
          </w:tcPr>
          <w:p w14:paraId="060B65D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and the Ministry of Finance on Printing and Distributing the "Overall Plan for Promoting the Construction of National Technology Innovation Centers (Provisional)"</w:t>
            </w:r>
          </w:p>
        </w:tc>
        <w:tc>
          <w:tcPr>
            <w:tcW w:w="1849" w:type="dxa"/>
            <w:vAlign w:val="center"/>
          </w:tcPr>
          <w:p w14:paraId="7E4E8174">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"https://www.most.gov.cn/xxgk/xinxifenlei/fdzdgknr/fgzc/gfxwj/gfxwj2020/202003/t20200325_152543.html"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https://www.most.gov.cn/xxgk/xinxifenlei/fdzdgknr/fgzc/gfxwj/gfxwj2020/202003/t20200325_152543.html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4C9409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8F0491D">
            <w:pPr>
              <w:widowControl/>
              <w:jc w:val="both"/>
              <w:rPr>
                <w:rFonts w:hint="default" w:ascii="Times New Roman" w:hAnsi="Times New Roman" w:eastAsia="sans-serif" w:cs="Times New Roman"/>
                <w:spacing w:val="-4"/>
                <w:kern w:val="0"/>
                <w:sz w:val="22"/>
                <w:szCs w:val="22"/>
                <w:shd w:val="clear" w:color="auto" w:fill="FFFFFF"/>
                <w:lang w:bidi="ar"/>
              </w:rPr>
            </w:pPr>
          </w:p>
          <w:p w14:paraId="55318BC4">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68CBBAD0">
            <w:pPr>
              <w:widowControl/>
              <w:jc w:val="both"/>
              <w:rPr>
                <w:rFonts w:hint="default" w:ascii="Times New Roman" w:hAnsi="Times New Roman" w:eastAsia="微软雅黑" w:cs="Times New Roman"/>
                <w:sz w:val="22"/>
                <w:szCs w:val="22"/>
              </w:rPr>
            </w:pPr>
          </w:p>
        </w:tc>
      </w:tr>
      <w:tr w14:paraId="1FEB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028B0DB">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131</w:t>
            </w:r>
          </w:p>
        </w:tc>
        <w:tc>
          <w:tcPr>
            <w:tcW w:w="5359" w:type="dxa"/>
            <w:vAlign w:val="center"/>
          </w:tcPr>
          <w:p w14:paraId="7C0A7A76">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on Printing and Distributing the "Measures for the Administration of Science and Technology Statistics of the Ministry of Science and Technology"</w:t>
            </w:r>
          </w:p>
        </w:tc>
        <w:tc>
          <w:tcPr>
            <w:tcW w:w="1849" w:type="dxa"/>
            <w:vAlign w:val="center"/>
          </w:tcPr>
          <w:p w14:paraId="39090378">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"https://www.most.gov.cn/xxgk/xinxifenlei/fdzdgknr/fgzc/gfxwj/gfxwj2018/201812/t20181207_144024.html" </w:instrText>
            </w:r>
            <w:r>
              <w:rPr>
                <w:rFonts w:hint="default" w:ascii="Times New Roman" w:hAnsi="Times New Roman" w:cs="Times New Roman"/>
                <w:sz w:val="22"/>
                <w:szCs w:val="22"/>
              </w:rPr>
              <w:fldChar w:fldCharType="separate"/>
            </w:r>
            <w:r>
              <w:rPr>
                <w:rStyle w:val="12"/>
                <w:rFonts w:hint="default" w:ascii="Times New Roman" w:hAnsi="Times New Roman" w:eastAsia="宋体" w:cs="Times New Roman"/>
                <w:color w:val="auto"/>
                <w:sz w:val="22"/>
                <w:szCs w:val="22"/>
              </w:rPr>
              <w:t>https://www.most.gov.cn/xxgk/xinxifenlei/fdzdgknr/fgzc/gfxwj/gfxwj2018/201812/t20181207_144024.html</w:t>
            </w:r>
            <w:r>
              <w:rPr>
                <w:rStyle w:val="12"/>
                <w:rFonts w:hint="default" w:ascii="Times New Roman" w:hAnsi="Times New Roman" w:eastAsia="宋体" w:cs="Times New Roman"/>
                <w:color w:val="auto"/>
                <w:sz w:val="22"/>
                <w:szCs w:val="22"/>
              </w:rPr>
              <w:fldChar w:fldCharType="end"/>
            </w:r>
          </w:p>
        </w:tc>
        <w:tc>
          <w:tcPr>
            <w:tcW w:w="1553" w:type="dxa"/>
            <w:vAlign w:val="center"/>
          </w:tcPr>
          <w:p w14:paraId="29D6DD26">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DD6C156">
            <w:pPr>
              <w:widowControl/>
              <w:jc w:val="both"/>
              <w:rPr>
                <w:rFonts w:hint="default" w:ascii="Times New Roman" w:hAnsi="Times New Roman" w:eastAsia="sans-serif" w:cs="Times New Roman"/>
                <w:spacing w:val="-4"/>
                <w:kern w:val="0"/>
                <w:sz w:val="22"/>
                <w:szCs w:val="22"/>
                <w:shd w:val="clear" w:color="auto" w:fill="FFFFFF"/>
                <w:lang w:bidi="ar"/>
              </w:rPr>
            </w:pPr>
          </w:p>
          <w:p w14:paraId="02C3A868">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27205F0C">
            <w:pPr>
              <w:widowControl/>
              <w:jc w:val="both"/>
              <w:rPr>
                <w:rFonts w:hint="default" w:ascii="Times New Roman" w:hAnsi="Times New Roman" w:eastAsia="微软雅黑" w:cs="Times New Roman"/>
                <w:sz w:val="22"/>
                <w:szCs w:val="22"/>
              </w:rPr>
            </w:pPr>
          </w:p>
        </w:tc>
      </w:tr>
      <w:tr w14:paraId="6445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E83C4D1">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F1115"/>
                <w:kern w:val="0"/>
                <w:sz w:val="22"/>
                <w:szCs w:val="22"/>
                <w:lang w:val="en-US" w:eastAsia="zh-CN" w:bidi="ar"/>
              </w:rPr>
              <w:t>132</w:t>
            </w:r>
          </w:p>
        </w:tc>
        <w:tc>
          <w:tcPr>
            <w:tcW w:w="5359" w:type="dxa"/>
            <w:vAlign w:val="center"/>
          </w:tcPr>
          <w:p w14:paraId="170C4695">
            <w:pPr>
              <w:widowControl/>
              <w:jc w:val="both"/>
              <w:textAlignment w:val="center"/>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Segoe UI" w:cs="Times New Roman"/>
                <w:color w:val="0F1115"/>
                <w:kern w:val="0"/>
                <w:sz w:val="22"/>
                <w:szCs w:val="22"/>
                <w:lang w:bidi="ar"/>
              </w:rPr>
              <w:t>Notice of the Ministry of Science and Technology on Printing and Distributing the "Several Opinions on the Development of the Technology Market"</w:t>
            </w:r>
          </w:p>
        </w:tc>
        <w:tc>
          <w:tcPr>
            <w:tcW w:w="1849" w:type="dxa"/>
            <w:vAlign w:val="center"/>
          </w:tcPr>
          <w:p w14:paraId="4CFC7F7F">
            <w:pPr>
              <w:widowControl/>
              <w:jc w:val="both"/>
              <w:textAlignment w:val="center"/>
              <w:rPr>
                <w:rFonts w:hint="default" w:ascii="Times New Roman" w:hAnsi="Times New Roman" w:eastAsia="微软雅黑"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"https://www.most.gov.cn/xxgk/xinxifenlei/fdzdgknr/fgzc/gfxwj/gfxwj2018/201805/t20180531_139732.html"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https://www.most.gov.cn/xxgk/xinxifenlei/fdzdgknr/fgzc/gfxwj/gfxwj2018/201805/t20180531_139732.html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DB3FBEA">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916FA64">
            <w:pPr>
              <w:widowControl/>
              <w:jc w:val="both"/>
              <w:rPr>
                <w:rFonts w:hint="default" w:ascii="Times New Roman" w:hAnsi="Times New Roman" w:eastAsia="sans-serif" w:cs="Times New Roman"/>
                <w:spacing w:val="-4"/>
                <w:kern w:val="0"/>
                <w:sz w:val="22"/>
                <w:szCs w:val="22"/>
                <w:shd w:val="clear" w:color="auto" w:fill="FFFFFF"/>
                <w:lang w:bidi="ar"/>
              </w:rPr>
            </w:pPr>
          </w:p>
          <w:p w14:paraId="0190BBF4">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2887293A">
            <w:pPr>
              <w:widowControl/>
              <w:jc w:val="both"/>
              <w:rPr>
                <w:rFonts w:hint="default" w:ascii="Times New Roman" w:hAnsi="Times New Roman" w:eastAsia="微软雅黑" w:cs="Times New Roman"/>
                <w:sz w:val="22"/>
                <w:szCs w:val="22"/>
              </w:rPr>
            </w:pPr>
          </w:p>
        </w:tc>
      </w:tr>
      <w:tr w14:paraId="7761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95A0D98">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133</w:t>
            </w:r>
          </w:p>
        </w:tc>
        <w:tc>
          <w:tcPr>
            <w:tcW w:w="5359" w:type="dxa"/>
            <w:vAlign w:val="center"/>
          </w:tcPr>
          <w:p w14:paraId="55CC475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Party Leadership Group of the Ministry of Science and Technology on Promoting the Implementation of Major Tasks in Scientific and Technological Innovation under the Guidance of Xi Jinping Thought on Socialism with Chinese Characteristics for a New Era, Deepening Institutional Reform, and Accelerating the Construction of an Innovative Country</w:t>
            </w:r>
          </w:p>
        </w:tc>
        <w:tc>
          <w:tcPr>
            <w:tcW w:w="1849" w:type="dxa"/>
            <w:vAlign w:val="center"/>
          </w:tcPr>
          <w:p w14:paraId="18DA8C9C">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"https://www.most.gov.cn/xxgk/xinxifenlei/fdzdgknr/fgzc/gfxwj/gfxwj2018/201805/t20180522_139604.html"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https://www.most.gov.cn/xxgk/xinxifenlei/fdzdgknr/fgzc/gfxwj/gfxwj2018/201805/t20180522_139604.html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350FDA3">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5899D08">
            <w:pPr>
              <w:widowControl/>
              <w:jc w:val="both"/>
              <w:rPr>
                <w:rFonts w:hint="default" w:ascii="Times New Roman" w:hAnsi="Times New Roman" w:eastAsia="sans-serif" w:cs="Times New Roman"/>
                <w:spacing w:val="-4"/>
                <w:kern w:val="0"/>
                <w:sz w:val="22"/>
                <w:szCs w:val="22"/>
                <w:shd w:val="clear" w:color="auto" w:fill="FFFFFF"/>
                <w:lang w:bidi="ar"/>
              </w:rPr>
            </w:pPr>
          </w:p>
          <w:p w14:paraId="7B5A00D6">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46DF1624">
            <w:pPr>
              <w:widowControl/>
              <w:jc w:val="both"/>
              <w:rPr>
                <w:rFonts w:hint="default" w:ascii="Times New Roman" w:hAnsi="Times New Roman" w:eastAsia="微软雅黑" w:cs="Times New Roman"/>
                <w:sz w:val="22"/>
                <w:szCs w:val="22"/>
              </w:rPr>
            </w:pPr>
          </w:p>
        </w:tc>
      </w:tr>
      <w:tr w14:paraId="3F32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4F078C3">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134</w:t>
            </w:r>
          </w:p>
        </w:tc>
        <w:tc>
          <w:tcPr>
            <w:tcW w:w="5359" w:type="dxa"/>
            <w:vAlign w:val="center"/>
          </w:tcPr>
          <w:p w14:paraId="683157A1">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Ministry of Science and Technology on Issuing the '13th Five-Year Plan' for the Development of the Technology Market</w:t>
            </w:r>
          </w:p>
        </w:tc>
        <w:tc>
          <w:tcPr>
            <w:tcW w:w="1849" w:type="dxa"/>
            <w:vAlign w:val="center"/>
          </w:tcPr>
          <w:p w14:paraId="47FB9AB9">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"https://www.most.gov.cn/xxgk/xinxifenlei/fdzdgknr/fgzc/gfxwj/gfxwj2017/201706/t20170622_133693.html"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https://www.most.gov.cn/xxgk/xinxifenlei/fdzdgknr/fgzc/gfxwj/gfxwj2017/201706/t20170622_133693.html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A6B7FE1">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C7354D7">
            <w:pPr>
              <w:widowControl/>
              <w:jc w:val="both"/>
              <w:rPr>
                <w:rFonts w:hint="default" w:ascii="Times New Roman" w:hAnsi="Times New Roman" w:eastAsia="sans-serif" w:cs="Times New Roman"/>
                <w:spacing w:val="-4"/>
                <w:kern w:val="0"/>
                <w:sz w:val="22"/>
                <w:szCs w:val="22"/>
                <w:shd w:val="clear" w:color="auto" w:fill="FFFFFF"/>
                <w:lang w:bidi="ar"/>
              </w:rPr>
            </w:pPr>
          </w:p>
          <w:p w14:paraId="2F8A96D8">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72C9B508">
            <w:pPr>
              <w:widowControl/>
              <w:jc w:val="both"/>
              <w:rPr>
                <w:rFonts w:hint="default" w:ascii="Times New Roman" w:hAnsi="Times New Roman" w:eastAsia="微软雅黑" w:cs="Times New Roman"/>
                <w:sz w:val="22"/>
                <w:szCs w:val="22"/>
              </w:rPr>
            </w:pPr>
          </w:p>
        </w:tc>
      </w:tr>
      <w:tr w14:paraId="7E3D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047C38B">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135</w:t>
            </w:r>
          </w:p>
        </w:tc>
        <w:tc>
          <w:tcPr>
            <w:tcW w:w="5359" w:type="dxa"/>
            <w:vAlign w:val="center"/>
          </w:tcPr>
          <w:p w14:paraId="1F10FBD6">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Ministry of Science and Technology, Ministry of Finance, and National Development and Reform Commission on Issuing the 'Provisions on Science and Technology Evaluation (Trial)'</w:t>
            </w:r>
          </w:p>
        </w:tc>
        <w:tc>
          <w:tcPr>
            <w:tcW w:w="1849" w:type="dxa"/>
            <w:vAlign w:val="center"/>
          </w:tcPr>
          <w:p w14:paraId="699A0F91">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"https://www.most.gov.cn/satp/kjzc/zh/202202/t20220207_179323.html"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https://www.most.gov.cn/satp/kjzc/zh/202202/t20220207_179323.html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6540AD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AF11AB4">
            <w:pPr>
              <w:widowControl/>
              <w:jc w:val="both"/>
              <w:rPr>
                <w:rFonts w:hint="default" w:ascii="Times New Roman" w:hAnsi="Times New Roman" w:eastAsia="sans-serif" w:cs="Times New Roman"/>
                <w:spacing w:val="-4"/>
                <w:kern w:val="0"/>
                <w:sz w:val="22"/>
                <w:szCs w:val="22"/>
                <w:shd w:val="clear" w:color="auto" w:fill="FFFFFF"/>
                <w:lang w:bidi="ar"/>
              </w:rPr>
            </w:pPr>
          </w:p>
          <w:p w14:paraId="1E9A4A2D">
            <w:pPr>
              <w:widowControl/>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Science and Technology</w:t>
            </w:r>
          </w:p>
          <w:p w14:paraId="201C7192">
            <w:pPr>
              <w:widowControl/>
              <w:jc w:val="both"/>
              <w:rPr>
                <w:rFonts w:hint="default" w:ascii="Times New Roman" w:hAnsi="Times New Roman" w:eastAsia="微软雅黑" w:cs="Times New Roman"/>
                <w:sz w:val="22"/>
                <w:szCs w:val="22"/>
              </w:rPr>
            </w:pPr>
          </w:p>
        </w:tc>
      </w:tr>
      <w:tr w14:paraId="6332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D6920A7">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136</w:t>
            </w:r>
          </w:p>
        </w:tc>
        <w:tc>
          <w:tcPr>
            <w:tcW w:w="5359" w:type="dxa"/>
            <w:vAlign w:val="center"/>
          </w:tcPr>
          <w:p w14:paraId="22945B23">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on the Development of Cross-disciplinary Strategic Talent Teams in Medical Prevention, Management, and Integration</w:t>
            </w:r>
          </w:p>
        </w:tc>
        <w:tc>
          <w:tcPr>
            <w:tcW w:w="1849" w:type="dxa"/>
            <w:vAlign w:val="center"/>
          </w:tcPr>
          <w:p w14:paraId="3079175F">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eastAsia="宋体" w:cs="Times New Roman"/>
                <w:kern w:val="0"/>
                <w:sz w:val="22"/>
                <w:szCs w:val="22"/>
                <w:u w:val="single"/>
                <w:lang w:bidi="ar"/>
              </w:rPr>
              <w:t>https://www.nhc.gov.cn/renshi/c100028/202506/123fb6977dda40128569d08f9760040c.shtml</w:t>
            </w:r>
          </w:p>
        </w:tc>
        <w:tc>
          <w:tcPr>
            <w:tcW w:w="1553" w:type="dxa"/>
            <w:vAlign w:val="center"/>
          </w:tcPr>
          <w:p w14:paraId="30826032">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918459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29DD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1101791">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137</w:t>
            </w:r>
          </w:p>
        </w:tc>
        <w:tc>
          <w:tcPr>
            <w:tcW w:w="5359" w:type="dxa"/>
            <w:vAlign w:val="center"/>
          </w:tcPr>
          <w:p w14:paraId="10CD67A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on Promoting the Construction of Childbirth-Friendly Hospitals</w:t>
            </w:r>
          </w:p>
        </w:tc>
        <w:tc>
          <w:tcPr>
            <w:tcW w:w="1849" w:type="dxa"/>
            <w:vAlign w:val="center"/>
          </w:tcPr>
          <w:p w14:paraId="330F23C0">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"https://www.nhc.gov.cn/fys/c100078/202501/ee03d72fa38b4c3d837d17d9a9b5e310.shtml"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https://www.nhc.gov.cn/fys/c100078/202501/ee03d72fa38b4c3d837d17d9a9b5e310.shtml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6DB56A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2E86E54">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021C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162337F">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138</w:t>
            </w:r>
          </w:p>
        </w:tc>
        <w:tc>
          <w:tcPr>
            <w:tcW w:w="5359" w:type="dxa"/>
            <w:vAlign w:val="center"/>
          </w:tcPr>
          <w:p w14:paraId="263D9859">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on Further Promoting the Electronic Information Management of Physicians</w:t>
            </w:r>
          </w:p>
        </w:tc>
        <w:tc>
          <w:tcPr>
            <w:tcW w:w="1849" w:type="dxa"/>
            <w:vAlign w:val="center"/>
          </w:tcPr>
          <w:p w14:paraId="240A5CB6">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"https://www.nhc.gov.cn/yzygj/c100068/202403/497da947a19f472cb5eb59c40d5312da.shtml"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https://www.nhc.gov.cn/yzygj/c100068/202403/497da947a19f472cb5eb59c40d5312da.shtml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C936572">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F6BB570">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5D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6B79E38">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139</w:t>
            </w:r>
          </w:p>
        </w:tc>
        <w:tc>
          <w:tcPr>
            <w:tcW w:w="5359" w:type="dxa"/>
            <w:vAlign w:val="center"/>
          </w:tcPr>
          <w:p w14:paraId="144B98E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on Issuing the 'Guidelines for Cost Accounting in Public Hospitals'</w:t>
            </w:r>
          </w:p>
        </w:tc>
        <w:tc>
          <w:tcPr>
            <w:tcW w:w="1849" w:type="dxa"/>
            <w:vAlign w:val="center"/>
          </w:tcPr>
          <w:p w14:paraId="333686CE">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"https://www.nhc.gov.cn/caiwusi/c100043/202312/6ca4f8df7de14073b754f848de38f9b4.shtml"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https://www.nhc.gov.cn/caiwusi/c100043/202312/6ca4f8df7de14073b754f848de38f9b4.shtml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DDE5AF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46B5CC2">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56EB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78628BA">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140</w:t>
            </w:r>
          </w:p>
        </w:tc>
        <w:tc>
          <w:tcPr>
            <w:tcW w:w="5359" w:type="dxa"/>
            <w:vAlign w:val="center"/>
          </w:tcPr>
          <w:p w14:paraId="08527F60">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 of the National Health Commission on Guiding Primary Health Care Institutions in Providing Health Services for Respiratory Diseases in Winter and Spring</w:t>
            </w:r>
          </w:p>
        </w:tc>
        <w:tc>
          <w:tcPr>
            <w:tcW w:w="1849" w:type="dxa"/>
            <w:vAlign w:val="center"/>
          </w:tcPr>
          <w:p w14:paraId="5FED49C2">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"https://www.nhc.gov.cn/wjw/c100175/202312/914d87137d4e4a09aea36d4d49825d18.shtml"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https://www.nhc.gov.cn/wjw/c100175/202312/914d87137d4e4a09aea36d4d49825d18.shtml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D33870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A1446C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4EBD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6F24250">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141</w:t>
            </w:r>
          </w:p>
        </w:tc>
        <w:tc>
          <w:tcPr>
            <w:tcW w:w="5359" w:type="dxa"/>
            <w:vAlign w:val="center"/>
          </w:tcPr>
          <w:p w14:paraId="26BF61D6">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on Strengthening the 'Five Expansions' to Solidly Promote High-Quality Development of Family Doctor Contracted Services</w:t>
            </w:r>
          </w:p>
        </w:tc>
        <w:tc>
          <w:tcPr>
            <w:tcW w:w="1849" w:type="dxa"/>
            <w:vAlign w:val="center"/>
          </w:tcPr>
          <w:p w14:paraId="171923DD">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"https://www.nhc.gov.cn/jws/c100073/202302/02849472ae334338a6dbb6ec529e8298.shtml"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https://www.nhc.gov.cn/jws/c100073/202302/02849472ae334338a6dbb6ec529e8298.shtml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A8195F3">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066B1BD">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2D4F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213F314">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142</w:t>
            </w:r>
          </w:p>
        </w:tc>
        <w:tc>
          <w:tcPr>
            <w:tcW w:w="5359" w:type="dxa"/>
            <w:vAlign w:val="center"/>
          </w:tcPr>
          <w:p w14:paraId="528F7BD7">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 of the National Health Commission on Further Strengthening the Management of Pediatric Clinical Medication</w:t>
            </w:r>
          </w:p>
        </w:tc>
        <w:tc>
          <w:tcPr>
            <w:tcW w:w="1849" w:type="dxa"/>
            <w:vAlign w:val="center"/>
          </w:tcPr>
          <w:p w14:paraId="658EC510">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"https://www.nhc.gov.cn/yzygj/c100068/202301/f9bf8d16824a463c8e11c21b56813a95.shtml"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https://www.nhc.gov.cn/yzygj/c100068/202301/f9bf8d16824a463c8e11c21b56813a95.shtml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12AEE7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D8F4B7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0FDA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FC63545">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143</w:t>
            </w:r>
          </w:p>
        </w:tc>
        <w:tc>
          <w:tcPr>
            <w:tcW w:w="5359" w:type="dxa"/>
            <w:vAlign w:val="center"/>
          </w:tcPr>
          <w:p w14:paraId="5CAAAD0C">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National Patriotic Health Campaign Committee on Implementing General Secretary Xi Jinping’s Important Instructions on the Patriotic Health Campaign</w:t>
            </w:r>
          </w:p>
        </w:tc>
        <w:tc>
          <w:tcPr>
            <w:tcW w:w="1849" w:type="dxa"/>
            <w:vAlign w:val="center"/>
          </w:tcPr>
          <w:p w14:paraId="1ABD881E">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"https://www.nhc.gov.cn/wjw/c100175/202301/3130cb402ab1497faf47c4e7dcb41b6b.shtml"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https://www.nhc.gov.cn/wjw/c100175/202301/3130cb402ab1497faf47c4e7dcb41b6b.shtml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41BA9C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AC2D7B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6840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6239B61">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144</w:t>
            </w:r>
          </w:p>
        </w:tc>
        <w:tc>
          <w:tcPr>
            <w:tcW w:w="5359" w:type="dxa"/>
            <w:vAlign w:val="center"/>
          </w:tcPr>
          <w:p w14:paraId="57674516">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Circular of the General Office of the National Health Commission on the National Monitoring and Analysis of Performance Evaluation of Tertiary Public Hospitals in 2021</w:t>
            </w:r>
          </w:p>
        </w:tc>
        <w:tc>
          <w:tcPr>
            <w:tcW w:w="1849" w:type="dxa"/>
            <w:vAlign w:val="center"/>
          </w:tcPr>
          <w:p w14:paraId="2FD2369C">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"https://www.nhc.gov.cn/yzygj/c100068/202212/2d54a7413ff745509d2e763c62e13cec.shtml"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https://www.nhc.gov.cn/yzygj/c100068/202212/2d54a7413ff745509d2e763c62e13cec.shtml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E85BB71">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3C8C527">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4E0C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CC110D8">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145</w:t>
            </w:r>
          </w:p>
        </w:tc>
        <w:tc>
          <w:tcPr>
            <w:tcW w:w="5359" w:type="dxa"/>
            <w:vAlign w:val="center"/>
          </w:tcPr>
          <w:p w14:paraId="03D05B7B">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 of the National Health Commission on Establishing a Dynamic Adjustment Mechanism and Accelerating the Construction of Comprehensive Pilot Zones for Primary Health</w:t>
            </w:r>
          </w:p>
        </w:tc>
        <w:tc>
          <w:tcPr>
            <w:tcW w:w="1849" w:type="dxa"/>
            <w:vAlign w:val="center"/>
          </w:tcPr>
          <w:p w14:paraId="6B523295">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"https://www.nhc.gov.cn/wjw/c100175/202211/1b8c922ddca64429ba6638b07a1108a3.shtml"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https://www.nhc.gov.cn/wjw/c100175/202211/1b8c922ddca64429ba6638b07a1108a3.shtml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B6B611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4A80D20">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6687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31C758E">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146</w:t>
            </w:r>
          </w:p>
        </w:tc>
        <w:tc>
          <w:tcPr>
            <w:tcW w:w="5359" w:type="dxa"/>
            <w:vAlign w:val="center"/>
          </w:tcPr>
          <w:p w14:paraId="4A4EDB63">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on Issuing the '14th Five-Year Plan' for National Health Informatization</w:t>
            </w:r>
          </w:p>
        </w:tc>
        <w:tc>
          <w:tcPr>
            <w:tcW w:w="1849" w:type="dxa"/>
            <w:vAlign w:val="center"/>
          </w:tcPr>
          <w:p w14:paraId="4E433F8D">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"https://www.nhc.gov.cn/guihuaxxs/c100133/202211/fae867435fea479c828cb50047526a69.shtml"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https://www.nhc.gov.cn/guihuaxxs/c100133/202211/fae867435fea479c828cb50047526a69.shtml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4E9F53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35387A6">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National Health Commission</w:t>
            </w:r>
          </w:p>
        </w:tc>
      </w:tr>
      <w:tr w14:paraId="73E7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84BF0C8">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147</w:t>
            </w:r>
          </w:p>
        </w:tc>
        <w:tc>
          <w:tcPr>
            <w:tcW w:w="5359" w:type="dxa"/>
            <w:vAlign w:val="center"/>
          </w:tcPr>
          <w:p w14:paraId="05BEFEDC">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Promoting Green and Low-Carbon Transition and Strengthening the Construction of the National Carbon Market</w:t>
            </w:r>
          </w:p>
        </w:tc>
        <w:tc>
          <w:tcPr>
            <w:tcW w:w="1849" w:type="dxa"/>
            <w:vAlign w:val="center"/>
          </w:tcPr>
          <w:p w14:paraId="0B43EBC8">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"https://www.mee.gov.cn/zcwj/zyygwj/202508/t20250825_1126119.shtml"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https://www.mee.gov.cn/zcwj/zyygwj/202508/t20250825_1126119.shtml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7B9116D">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78D544C">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3A63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E714B69">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148</w:t>
            </w:r>
          </w:p>
        </w:tc>
        <w:tc>
          <w:tcPr>
            <w:tcW w:w="5359" w:type="dxa"/>
            <w:vAlign w:val="center"/>
          </w:tcPr>
          <w:p w14:paraId="1C822FA0">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Continuously Promoting Urban Renewal Actions</w:t>
            </w:r>
          </w:p>
        </w:tc>
        <w:tc>
          <w:tcPr>
            <w:tcW w:w="1849" w:type="dxa"/>
            <w:vAlign w:val="center"/>
          </w:tcPr>
          <w:p w14:paraId="4969CBB1">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"https://www.mee.gov.cn/zcwj/zyygwj/202505/t20250516_1119546.shtml"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https://www.mee.gov.cn/zcwj/zyygwj/202505/t20250516_1119546.shtml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AB8127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2C2ACB1">
            <w:pPr>
              <w:widowControl/>
              <w:jc w:val="both"/>
              <w:rPr>
                <w:rFonts w:hint="default" w:ascii="Times New Roman" w:hAnsi="Times New Roman" w:eastAsia="sans-serif" w:cs="Times New Roman"/>
                <w:spacing w:val="-4"/>
                <w:kern w:val="0"/>
                <w:sz w:val="22"/>
                <w:szCs w:val="22"/>
                <w:shd w:val="clear" w:color="auto" w:fill="FFFFFF"/>
                <w:lang w:bidi="ar"/>
              </w:rPr>
            </w:pPr>
          </w:p>
          <w:p w14:paraId="49C58A9F">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6638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FEC0DFE">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149</w:t>
            </w:r>
          </w:p>
        </w:tc>
        <w:tc>
          <w:tcPr>
            <w:tcW w:w="5359" w:type="dxa"/>
            <w:vAlign w:val="center"/>
          </w:tcPr>
          <w:p w14:paraId="232E4C76">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Accelerating the Establishment of a High-Quality Employment Service System for College Graduates</w:t>
            </w:r>
          </w:p>
        </w:tc>
        <w:tc>
          <w:tcPr>
            <w:tcW w:w="1849" w:type="dxa"/>
            <w:vAlign w:val="center"/>
          </w:tcPr>
          <w:p w14:paraId="42382083">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"https://www.mee.gov.cn/zcwj/zyygwj/202504/t20250408_1106926.shtml"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https://www.mee.gov.cn/zcwj/zyygwj/202504/t20250408_1106926.shtml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E440CAA">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CE2DCAD">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395E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EBC450B">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150</w:t>
            </w:r>
          </w:p>
        </w:tc>
        <w:tc>
          <w:tcPr>
            <w:tcW w:w="5359" w:type="dxa"/>
            <w:vAlign w:val="center"/>
          </w:tcPr>
          <w:p w14:paraId="25ED0C7B">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Plan of the CPC Central Committee and the State Council for Accelerating the Construction of an Agricultural Power (2024–2035)</w:t>
            </w:r>
          </w:p>
        </w:tc>
        <w:tc>
          <w:tcPr>
            <w:tcW w:w="1849" w:type="dxa"/>
            <w:vAlign w:val="center"/>
          </w:tcPr>
          <w:p w14:paraId="1204873B">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"https://www.mee.gov.cn/zcwj/zyygwj/202504/t20250407_1106860.shtml"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https://www.mee.gov.cn/zcwj/zyygwj/202504/t20250407_1106860.shtml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2C48CEB">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786798D1">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5622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BFC5023">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151</w:t>
            </w:r>
          </w:p>
        </w:tc>
        <w:tc>
          <w:tcPr>
            <w:tcW w:w="5359" w:type="dxa"/>
            <w:vAlign w:val="center"/>
          </w:tcPr>
          <w:p w14:paraId="78E07D03">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Strengthening Zonal Ecological Environment Control</w:t>
            </w:r>
          </w:p>
        </w:tc>
        <w:tc>
          <w:tcPr>
            <w:tcW w:w="1849" w:type="dxa"/>
            <w:vAlign w:val="center"/>
          </w:tcPr>
          <w:p w14:paraId="5728C956">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"https://www.mee.gov.cn/zcwj/zyygwj/202403/t20240318_1068588.shtml"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https://www.mee.gov.cn/zcwj/zyygwj/202403/t20240318_1068588.shtml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2C0BBC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9D61CF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0F83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190E30A">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152</w:t>
            </w:r>
          </w:p>
        </w:tc>
        <w:tc>
          <w:tcPr>
            <w:tcW w:w="5359" w:type="dxa"/>
            <w:vAlign w:val="center"/>
          </w:tcPr>
          <w:p w14:paraId="060F1A4F">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Plan of the General Offices of the CPC Central Committee and the State Council on Deepening the Reform of Collective Forest Rights</w:t>
            </w:r>
          </w:p>
        </w:tc>
        <w:tc>
          <w:tcPr>
            <w:tcW w:w="1849" w:type="dxa"/>
            <w:vAlign w:val="center"/>
          </w:tcPr>
          <w:p w14:paraId="0C70FF53">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"https://www.mee.gov.cn/zcwj/zyygwj/202309/t20230927_1042014.shtml"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https://www.mee.gov.cn/zcwj/zyygwj/202309/t20230927_1042014.shtml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5FFD696">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88B9FF0">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4312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3D4D24A">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153</w:t>
            </w:r>
          </w:p>
        </w:tc>
        <w:tc>
          <w:tcPr>
            <w:tcW w:w="5359" w:type="dxa"/>
            <w:vAlign w:val="center"/>
          </w:tcPr>
          <w:p w14:paraId="4088BF21">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Strengthening Soil and Water Conservation in the New Era</w:t>
            </w:r>
          </w:p>
        </w:tc>
        <w:tc>
          <w:tcPr>
            <w:tcW w:w="1849" w:type="dxa"/>
            <w:vAlign w:val="center"/>
          </w:tcPr>
          <w:p w14:paraId="59191EDE">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"https://www.mee.gov.cn/zcwj/zyygwj/202301/t20230103_1009406.shtml"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https://www.mee.gov.cn/zcwj/zyygwj/202301/t20230103_1009406.shtml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33C2083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067A42F">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50C3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475CB0F">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154</w:t>
            </w:r>
          </w:p>
        </w:tc>
        <w:tc>
          <w:tcPr>
            <w:tcW w:w="5359" w:type="dxa"/>
            <w:vAlign w:val="center"/>
          </w:tcPr>
          <w:p w14:paraId="3134FA0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Pilot Plan of the General Offices of the CPC Central Committee and the State Council on the Entrusted Agency Mechanism for State-Owned Natural Resource Assets Ownership</w:t>
            </w:r>
          </w:p>
        </w:tc>
        <w:tc>
          <w:tcPr>
            <w:tcW w:w="1849" w:type="dxa"/>
            <w:vAlign w:val="center"/>
          </w:tcPr>
          <w:p w14:paraId="5869902D">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"https://www.mee.gov.cn/zcwj/zyygwj/202203/t20220318_971935.shtml"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https://www.mee.gov.cn/zcwj/zyygwj/202203/t20220318_971935.shtml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4CCE4D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6EB92B69">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39AC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A9557BD">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155</w:t>
            </w:r>
          </w:p>
        </w:tc>
        <w:tc>
          <w:tcPr>
            <w:tcW w:w="5359" w:type="dxa"/>
            <w:vAlign w:val="center"/>
          </w:tcPr>
          <w:p w14:paraId="703866C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Outline of the CPC Central Committee and the State Council for the Construction of a Law-Based Government (2021–2025)</w:t>
            </w:r>
          </w:p>
        </w:tc>
        <w:tc>
          <w:tcPr>
            <w:tcW w:w="1849" w:type="dxa"/>
            <w:vAlign w:val="center"/>
          </w:tcPr>
          <w:p w14:paraId="3ECCADB9">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"https://www.mee.gov.cn/zcwj/zyygwj/202108/t20210812_856133.shtml"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https://www.mee.gov.cn/zcwj/zyygwj/202108/t20210812_856133.shtml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D3177B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4F2978B">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Ecology and</w:t>
            </w:r>
            <w:r>
              <w:rPr>
                <w:rFonts w:hint="default" w:ascii="Times New Roman" w:hAnsi="Times New Roman" w:eastAsia="宋体" w:cs="Times New Roman"/>
                <w:spacing w:val="-4"/>
                <w:kern w:val="0"/>
                <w:sz w:val="22"/>
                <w:szCs w:val="22"/>
                <w:shd w:val="clear" w:color="auto" w:fill="FFFFFF"/>
                <w:lang w:val="en-US" w:eastAsia="zh-CN"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tc>
      </w:tr>
      <w:tr w14:paraId="5779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BF9BC4B">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156</w:t>
            </w:r>
          </w:p>
        </w:tc>
        <w:tc>
          <w:tcPr>
            <w:tcW w:w="5359" w:type="dxa"/>
            <w:vAlign w:val="center"/>
          </w:tcPr>
          <w:p w14:paraId="2837DB48">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on Matters Related to Implementing the State Council’s Decision to Clean Up and Standardize Tax and Other Preferential Policies</w:t>
            </w:r>
          </w:p>
        </w:tc>
        <w:tc>
          <w:tcPr>
            <w:tcW w:w="1849" w:type="dxa"/>
            <w:vAlign w:val="center"/>
          </w:tcPr>
          <w:p w14:paraId="01E4279C">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"https://yss.mof.gov.cn/zhengceguizhang/201412/t20141224_1171404.htm"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https://yss.mof.gov.cn/zhengceguizhang/201412/t20141224_1171404.htm</w:t>
            </w:r>
            <w:r>
              <w:rPr>
                <w:rStyle w:val="13"/>
                <w:rFonts w:hint="default" w:ascii="Times New Roman" w:hAnsi="Times New Roman" w:eastAsia="宋体" w:cs="Times New Roman"/>
                <w:color w:val="auto"/>
                <w:sz w:val="22"/>
                <w:szCs w:val="22"/>
              </w:rPr>
              <w:fldChar w:fldCharType="end"/>
            </w:r>
          </w:p>
        </w:tc>
        <w:tc>
          <w:tcPr>
            <w:tcW w:w="1553" w:type="dxa"/>
            <w:vAlign w:val="center"/>
          </w:tcPr>
          <w:p w14:paraId="28D045F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E56EAC4">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Finance</w:t>
            </w:r>
          </w:p>
        </w:tc>
      </w:tr>
      <w:tr w14:paraId="0D5B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6A7A6FB">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157</w:t>
            </w:r>
          </w:p>
        </w:tc>
        <w:tc>
          <w:tcPr>
            <w:tcW w:w="5359" w:type="dxa"/>
            <w:vAlign w:val="center"/>
          </w:tcPr>
          <w:p w14:paraId="5D1DB1BB">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 of the Ministry of Education on Conducting Education Statistics Work for 2018</w:t>
            </w:r>
          </w:p>
        </w:tc>
        <w:tc>
          <w:tcPr>
            <w:tcW w:w="1849" w:type="dxa"/>
            <w:vAlign w:val="center"/>
          </w:tcPr>
          <w:p w14:paraId="573849EB">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"http://www.moe.gov.cn/srcsite/A03/s182/201808/t20180829_346500.html"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http://www.moe.gov.cn/srcsite/A03/s182/201808/t20180829_346500.html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578A74C">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F68AA59">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25C3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A9A30E9">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158</w:t>
            </w:r>
          </w:p>
        </w:tc>
        <w:tc>
          <w:tcPr>
            <w:tcW w:w="5359" w:type="dxa"/>
            <w:vAlign w:val="center"/>
          </w:tcPr>
          <w:p w14:paraId="15367AEB">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 of the Ministry of Education on Issuing the 'Guideline for the Cultivation of New Agricultural Science Talent-Oriented Majors'</w:t>
            </w:r>
          </w:p>
        </w:tc>
        <w:tc>
          <w:tcPr>
            <w:tcW w:w="1849" w:type="dxa"/>
            <w:vAlign w:val="center"/>
          </w:tcPr>
          <w:p w14:paraId="661643AA">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"http://www.moe.gov.cn/srcsite/A08/moe_740/s3863/202209/t20220919_662666.html"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http://www.moe.gov.cn/srcsite/A08/moe_740/s3863/202209/t20220919_662666.html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F2EB6BB">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321764B">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74E6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5B11BFA">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159</w:t>
            </w:r>
          </w:p>
        </w:tc>
        <w:tc>
          <w:tcPr>
            <w:tcW w:w="5359" w:type="dxa"/>
            <w:vAlign w:val="center"/>
          </w:tcPr>
          <w:p w14:paraId="65796E62">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Ministry of Education on Issuing the 'Promotion Plan for the Construction of New-Type Think Tanks with Chinese Characteristics in Universities'</w:t>
            </w:r>
          </w:p>
        </w:tc>
        <w:tc>
          <w:tcPr>
            <w:tcW w:w="1849" w:type="dxa"/>
            <w:vAlign w:val="center"/>
          </w:tcPr>
          <w:p w14:paraId="7E8C977D">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"http://www.moe.gov.cn/srcsite/A13/s7061/201402/t20140212_164598.html"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http://www.moe.gov.cn/srcsite/A13/s7061/201402/t20140212_164598.html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729C9A35">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0B5271D8">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2679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2217076">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160</w:t>
            </w:r>
          </w:p>
        </w:tc>
        <w:tc>
          <w:tcPr>
            <w:tcW w:w="5359" w:type="dxa"/>
            <w:vAlign w:val="center"/>
          </w:tcPr>
          <w:p w14:paraId="3CA26B8D">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Ministry of Education on Further Promoting the Implementation of the 'Three Majors and One Large' Decision-Making System in Directly Affiliated Universities</w:t>
            </w:r>
          </w:p>
        </w:tc>
        <w:tc>
          <w:tcPr>
            <w:tcW w:w="1849" w:type="dxa"/>
            <w:vAlign w:val="center"/>
          </w:tcPr>
          <w:p w14:paraId="3E04CD79">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"http://www.moe.gov.cn/srcsite/A25/s3143/201104/t20110404_122256.html"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http://www.moe.gov.cn/srcsite/A25/s3143/201104/t20110404_122256.html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594B7F36">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7BD5BD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1275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9D39BAF">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161</w:t>
            </w:r>
          </w:p>
        </w:tc>
        <w:tc>
          <w:tcPr>
            <w:tcW w:w="5359" w:type="dxa"/>
            <w:vAlign w:val="center"/>
          </w:tcPr>
          <w:p w14:paraId="1BC1AD8A">
            <w:pPr>
              <w:widowControl/>
              <w:jc w:val="both"/>
              <w:textAlignment w:val="bottom"/>
              <w:rPr>
                <w:rFonts w:hint="default" w:ascii="Times New Roman" w:hAnsi="Times New Roman" w:eastAsia="宋体" w:cs="Times New Roman"/>
                <w:color w:val="0F1115"/>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National Development and Reform Commission and the Ministry of Education on Establishing and Improving the Hearing System for Education Fee Decisions</w:t>
            </w:r>
          </w:p>
        </w:tc>
        <w:tc>
          <w:tcPr>
            <w:tcW w:w="1849" w:type="dxa"/>
            <w:vAlign w:val="center"/>
          </w:tcPr>
          <w:p w14:paraId="702B39DB">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"http://www.moe.gov.cn/jyb_xxgk/moe_1777/moe_1779/201308/t20130808_155384.html"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http://www.moe.gov.cn/jyb_xxgk/moe_1777/moe_1779/201308/t20130808_155384.html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55785A3">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A681E9E">
            <w:pPr>
              <w:widowControl/>
              <w:jc w:val="both"/>
              <w:rPr>
                <w:rFonts w:hint="default" w:ascii="Times New Roman" w:hAnsi="Times New Roman" w:eastAsia="sans-serif" w:cs="Times New Roman"/>
                <w:spacing w:val="-4"/>
                <w:kern w:val="0"/>
                <w:sz w:val="22"/>
                <w:szCs w:val="22"/>
                <w:shd w:val="clear" w:color="auto" w:fill="FFFFFF"/>
                <w:lang w:bidi="ar"/>
              </w:rPr>
            </w:pPr>
          </w:p>
          <w:p w14:paraId="176B825F">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7F3A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2749E53">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162</w:t>
            </w:r>
          </w:p>
        </w:tc>
        <w:tc>
          <w:tcPr>
            <w:tcW w:w="5359" w:type="dxa"/>
            <w:vAlign w:val="center"/>
          </w:tcPr>
          <w:p w14:paraId="33E6FFF0">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Notice of the General Offices of the Ministry of Education, Ministry of Industry and Information Technology, and National Intellectual Property Administration on Organizing the 'University-Enterprise Collaborative Innovation Partnership Action'</w:t>
            </w:r>
          </w:p>
        </w:tc>
        <w:tc>
          <w:tcPr>
            <w:tcW w:w="1849" w:type="dxa"/>
            <w:vAlign w:val="center"/>
          </w:tcPr>
          <w:p w14:paraId="3FF55EF9">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"http://www.moe.gov.cn/srcsite/A16/s7062/202207/t20220708_644510.html" \o "http://www.moe.gov.cn/srcsite/A16/s7062/202207/t20220708_644510.html"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http://www.moe.gov.cn/srcsite/A16/s7062/202207/t20220708_644510.html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349468E">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F9EEEC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229B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5D36E92">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163</w:t>
            </w:r>
          </w:p>
        </w:tc>
        <w:tc>
          <w:tcPr>
            <w:tcW w:w="5359" w:type="dxa"/>
            <w:vAlign w:val="center"/>
          </w:tcPr>
          <w:p w14:paraId="0052F2A6">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Ministry of Education on Strengthening Educational Science Research in the New Era</w:t>
            </w:r>
          </w:p>
        </w:tc>
        <w:tc>
          <w:tcPr>
            <w:tcW w:w="1849" w:type="dxa"/>
            <w:vAlign w:val="center"/>
          </w:tcPr>
          <w:p w14:paraId="09338B92">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"http://www.moe.gov.cn/srcsite/A02/s7049/201911/t20191107_407332.html"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http://www.moe.gov.cn/srcsite/A02/s7049/201911/t20191107_407332.html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197E1B8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2B4C2103">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Ministry of Education</w:t>
            </w:r>
          </w:p>
        </w:tc>
      </w:tr>
      <w:tr w14:paraId="3336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FFBF2D7">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164</w:t>
            </w:r>
          </w:p>
        </w:tc>
        <w:tc>
          <w:tcPr>
            <w:tcW w:w="5359" w:type="dxa"/>
            <w:vAlign w:val="center"/>
          </w:tcPr>
          <w:p w14:paraId="3871C817">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Leveraging the Advantages of Research Institutions to Build High-End Science and Technology Think Tanks</w:t>
            </w:r>
          </w:p>
        </w:tc>
        <w:tc>
          <w:tcPr>
            <w:tcW w:w="1849" w:type="dxa"/>
            <w:vAlign w:val="center"/>
          </w:tcPr>
          <w:p w14:paraId="0015E327">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"https://www.cas.cn/yw/201501/t20150129_4306435.shtml"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https://www.cas.cn/yw/201501/t20150129_4306435.shtml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62B80138">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3523A324">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Chinese Academy of Sciences</w:t>
            </w:r>
          </w:p>
        </w:tc>
      </w:tr>
      <w:tr w14:paraId="2D35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B40119C">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165</w:t>
            </w:r>
          </w:p>
        </w:tc>
        <w:tc>
          <w:tcPr>
            <w:tcW w:w="5359" w:type="dxa"/>
            <w:vAlign w:val="center"/>
          </w:tcPr>
          <w:p w14:paraId="48DE267F">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Offices of the CPC Central Committee and the State Council on Strengthening the Construction of New-Type Think Tanks with Chinese Characteristics</w:t>
            </w:r>
          </w:p>
        </w:tc>
        <w:tc>
          <w:tcPr>
            <w:tcW w:w="1849" w:type="dxa"/>
            <w:vAlign w:val="center"/>
          </w:tcPr>
          <w:p w14:paraId="0D77A171">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"https://www.cas.cn/gj/201501/t20150121_4302403.shtml"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https://www.cas.cn/gj/201501/t20150121_4302403.shtml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41793495">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E383425">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Chinese Academy of Sciences</w:t>
            </w:r>
          </w:p>
        </w:tc>
      </w:tr>
      <w:tr w14:paraId="7F97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BDFF9EA">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166</w:t>
            </w:r>
          </w:p>
        </w:tc>
        <w:tc>
          <w:tcPr>
            <w:tcW w:w="5359" w:type="dxa"/>
            <w:vAlign w:val="center"/>
          </w:tcPr>
          <w:p w14:paraId="72D2C399">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Guiding Opinions on Strengthening the Coordination between Finance and Meteorology to Serve High-Quality Economic and Social Development</w:t>
            </w:r>
          </w:p>
        </w:tc>
        <w:tc>
          <w:tcPr>
            <w:tcW w:w="1849" w:type="dxa"/>
            <w:vAlign w:val="center"/>
          </w:tcPr>
          <w:p w14:paraId="1AA6B9B3">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"https://www.cma.gov.cn/zfxxgk/gknr/wjgk/gfxwj/202412/t20241206_6732195.html" </w:instrText>
            </w:r>
            <w:r>
              <w:rPr>
                <w:rFonts w:hint="default" w:ascii="Times New Roman" w:hAnsi="Times New Roman" w:cs="Times New Roman"/>
                <w:sz w:val="22"/>
                <w:szCs w:val="22"/>
              </w:rPr>
              <w:fldChar w:fldCharType="separate"/>
            </w:r>
            <w:r>
              <w:rPr>
                <w:rStyle w:val="12"/>
                <w:rFonts w:hint="default" w:ascii="Times New Roman" w:hAnsi="Times New Roman" w:eastAsia="宋体" w:cs="Times New Roman"/>
                <w:color w:val="auto"/>
                <w:sz w:val="22"/>
                <w:szCs w:val="22"/>
              </w:rPr>
              <w:t>https://www.cma.gov.cn/zfxxgk/gknr/wjgk/gfxwj/202412/t20241206_6732195.html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092EB7E9">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48FF2768">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China Meteorological Administration</w:t>
            </w:r>
          </w:p>
        </w:tc>
      </w:tr>
      <w:tr w14:paraId="2246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3412C4B">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167</w:t>
            </w:r>
          </w:p>
        </w:tc>
        <w:tc>
          <w:tcPr>
            <w:tcW w:w="5359" w:type="dxa"/>
            <w:vAlign w:val="center"/>
          </w:tcPr>
          <w:p w14:paraId="7763E84D">
            <w:pPr>
              <w:widowControl/>
              <w:jc w:val="both"/>
              <w:textAlignment w:val="bottom"/>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bidi="ar"/>
              </w:rPr>
              <w:t>Opinions of the General Office of the State Council on Strengthening Meteorological Disaster Monitoring, Early Warning, and Information Release</w:t>
            </w:r>
          </w:p>
        </w:tc>
        <w:tc>
          <w:tcPr>
            <w:tcW w:w="1849" w:type="dxa"/>
            <w:vAlign w:val="center"/>
          </w:tcPr>
          <w:p w14:paraId="4ED3BBFF">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"https://www.cma.gov.cn/zfxxgk/gknr/wjgk/gfxwj/202101/t20210114_2604397.html" </w:instrText>
            </w:r>
            <w:r>
              <w:rPr>
                <w:rFonts w:hint="default" w:ascii="Times New Roman" w:hAnsi="Times New Roman" w:cs="Times New Roman"/>
                <w:sz w:val="22"/>
                <w:szCs w:val="22"/>
              </w:rPr>
              <w:fldChar w:fldCharType="separate"/>
            </w:r>
            <w:r>
              <w:rPr>
                <w:rStyle w:val="13"/>
                <w:rFonts w:hint="default" w:ascii="Times New Roman" w:hAnsi="Times New Roman" w:eastAsia="宋体" w:cs="Times New Roman"/>
                <w:color w:val="auto"/>
                <w:sz w:val="22"/>
                <w:szCs w:val="22"/>
              </w:rPr>
              <w:t>https://www.cma.gov.cn/zfxxgk/gknr/wjgk/gfxwj/202101/t20210114_2604397.html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BE00060">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51A42C5A">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China Meteorological Administration</w:t>
            </w:r>
          </w:p>
        </w:tc>
      </w:tr>
      <w:tr w14:paraId="7D19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95C61ED">
            <w:pPr>
              <w:pStyle w:val="7"/>
              <w:widowControl/>
              <w:jc w:val="both"/>
              <w:rPr>
                <w:rStyle w:val="11"/>
                <w:rFonts w:hint="default" w:ascii="Times New Roman" w:hAnsi="Times New Roman" w:cs="Times New Roman" w:eastAsiaTheme="minorEastAsia"/>
                <w:b w:val="0"/>
                <w:bCs/>
                <w:sz w:val="22"/>
                <w:szCs w:val="22"/>
                <w:lang w:val="en-US" w:eastAsia="zh-CN"/>
              </w:rPr>
            </w:pPr>
            <w:r>
              <w:rPr>
                <w:rStyle w:val="11"/>
                <w:rFonts w:hint="default" w:ascii="Times New Roman" w:hAnsi="Times New Roman" w:cs="Times New Roman"/>
                <w:b w:val="0"/>
                <w:bCs/>
                <w:sz w:val="22"/>
                <w:szCs w:val="22"/>
                <w:lang w:val="en-US" w:eastAsia="zh-CN"/>
              </w:rPr>
              <w:t>168</w:t>
            </w:r>
          </w:p>
        </w:tc>
        <w:tc>
          <w:tcPr>
            <w:tcW w:w="5359" w:type="dxa"/>
            <w:vAlign w:val="center"/>
          </w:tcPr>
          <w:p w14:paraId="7DC80FB9">
            <w:pPr>
              <w:pStyle w:val="7"/>
              <w:widowControl/>
              <w:jc w:val="both"/>
              <w:rPr>
                <w:rFonts w:hint="default" w:ascii="Times New Roman" w:hAnsi="Times New Roman" w:cs="Times New Roman" w:eastAsiaTheme="minorEastAsia"/>
                <w:color w:val="000000"/>
                <w:sz w:val="22"/>
                <w:szCs w:val="22"/>
                <w:lang w:val="en-US" w:eastAsia="zh-CN"/>
              </w:rPr>
            </w:pPr>
            <w:r>
              <w:rPr>
                <w:rStyle w:val="11"/>
                <w:rFonts w:hint="default" w:ascii="Times New Roman" w:hAnsi="Times New Roman" w:cs="Times New Roman"/>
                <w:b w:val="0"/>
                <w:bCs/>
                <w:sz w:val="22"/>
                <w:szCs w:val="22"/>
              </w:rPr>
              <w:t>Opinions of the Leading Group for Meteorological Modernization of the China Meteorological Administration on Promoting the Construction of the “Four Major Systems” for Meteorological Modernization</w:t>
            </w:r>
          </w:p>
        </w:tc>
        <w:tc>
          <w:tcPr>
            <w:tcW w:w="1849" w:type="dxa"/>
            <w:vAlign w:val="center"/>
          </w:tcPr>
          <w:p w14:paraId="7F1033D3">
            <w:pPr>
              <w:widowControl/>
              <w:jc w:val="both"/>
              <w:textAlignment w:val="center"/>
              <w:rPr>
                <w:rFonts w:hint="default" w:ascii="Times New Roman" w:hAnsi="Times New Roman" w:eastAsia="宋体" w:cs="Times New Roman"/>
                <w:kern w:val="0"/>
                <w:sz w:val="22"/>
                <w:szCs w:val="22"/>
                <w:u w:val="single"/>
                <w:lang w:bidi="ar"/>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"https://www.cma.gov.cn/zfxxgk/gknr/wjgk/gfxwj/202101/t20210114_2604548.html" \o "https://www.cma.gov.cn/zfxxgk/gknr/wjgk/gfxwj/202101/t20210114_2604548.html" </w:instrText>
            </w:r>
            <w:r>
              <w:rPr>
                <w:rFonts w:hint="default" w:ascii="Times New Roman" w:hAnsi="Times New Roman" w:cs="Times New Roman"/>
                <w:sz w:val="22"/>
                <w:szCs w:val="22"/>
              </w:rPr>
              <w:fldChar w:fldCharType="separate"/>
            </w:r>
            <w:r>
              <w:rPr>
                <w:rStyle w:val="12"/>
                <w:rFonts w:hint="default" w:ascii="Times New Roman" w:hAnsi="Times New Roman" w:eastAsia="宋体" w:cs="Times New Roman"/>
                <w:color w:val="auto"/>
                <w:sz w:val="22"/>
                <w:szCs w:val="22"/>
              </w:rPr>
              <w:t>https://www.cma.gov.cn/zfxxgk/gknr/wjgk/gfxwj/202101/t20210114_2604548.html</w:t>
            </w:r>
            <w:r>
              <w:rPr>
                <w:rStyle w:val="13"/>
                <w:rFonts w:hint="default" w:ascii="Times New Roman" w:hAnsi="Times New Roman" w:eastAsia="宋体" w:cs="Times New Roman"/>
                <w:color w:val="auto"/>
                <w:sz w:val="22"/>
                <w:szCs w:val="22"/>
              </w:rPr>
              <w:fldChar w:fldCharType="end"/>
            </w:r>
          </w:p>
        </w:tc>
        <w:tc>
          <w:tcPr>
            <w:tcW w:w="1553" w:type="dxa"/>
            <w:vAlign w:val="center"/>
          </w:tcPr>
          <w:p w14:paraId="2BA11D2A">
            <w:pPr>
              <w:widowControl/>
              <w:jc w:val="both"/>
              <w:rPr>
                <w:rFonts w:hint="default" w:ascii="Times New Roman" w:hAnsi="Times New Roman" w:eastAsia="微软雅黑" w:cs="Times New Roman"/>
                <w:sz w:val="22"/>
                <w:szCs w:val="22"/>
              </w:rPr>
            </w:pPr>
            <w:r>
              <w:rPr>
                <w:rFonts w:hint="default" w:ascii="Times New Roman" w:hAnsi="Times New Roman" w:eastAsia="微软雅黑" w:cs="Times New Roman"/>
                <w:sz w:val="22"/>
                <w:szCs w:val="22"/>
              </w:rPr>
              <w:t>Chinese</w:t>
            </w:r>
          </w:p>
        </w:tc>
        <w:tc>
          <w:tcPr>
            <w:tcW w:w="3727" w:type="dxa"/>
            <w:vAlign w:val="center"/>
          </w:tcPr>
          <w:p w14:paraId="1DCDD961">
            <w:pPr>
              <w:widowControl/>
              <w:jc w:val="both"/>
              <w:rPr>
                <w:rFonts w:hint="default" w:ascii="Times New Roman" w:hAnsi="Times New Roman" w:eastAsia="微软雅黑" w:cs="Times New Roman"/>
                <w:sz w:val="22"/>
                <w:szCs w:val="22"/>
              </w:rPr>
            </w:pPr>
            <w:r>
              <w:rPr>
                <w:rFonts w:hint="default" w:ascii="Times New Roman" w:hAnsi="Times New Roman" w:eastAsia="sans-serif" w:cs="Times New Roman"/>
                <w:spacing w:val="-4"/>
                <w:kern w:val="0"/>
                <w:sz w:val="22"/>
                <w:szCs w:val="22"/>
                <w:shd w:val="clear" w:color="auto" w:fill="FFFFFF"/>
                <w:lang w:bidi="ar"/>
              </w:rPr>
              <w:t>China Meteorological Administration</w:t>
            </w:r>
          </w:p>
        </w:tc>
      </w:tr>
      <w:tr w14:paraId="4F82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D1FB586">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169</w:t>
            </w:r>
          </w:p>
        </w:tc>
        <w:tc>
          <w:tcPr>
            <w:tcW w:w="5359" w:type="dxa"/>
            <w:vAlign w:val="center"/>
          </w:tcPr>
          <w:p w14:paraId="61ADA6F9">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Issuing the Administrative Measures for Post-Evaluation of Major Projects of the National Development and Reform Commission</w:t>
            </w:r>
          </w:p>
        </w:tc>
        <w:tc>
          <w:tcPr>
            <w:tcW w:w="1849" w:type="dxa"/>
            <w:shd w:val="clear" w:color="auto" w:fill="auto"/>
            <w:vAlign w:val="center"/>
          </w:tcPr>
          <w:p w14:paraId="645A63AB">
            <w:pPr>
              <w:jc w:val="both"/>
              <w:rPr>
                <w:rFonts w:hint="default" w:ascii="Times New Roman" w:hAnsi="Times New Roman" w:cs="Times New Roman" w:eastAsiaTheme="minorEastAsia"/>
                <w:kern w:val="2"/>
                <w:sz w:val="22"/>
                <w:szCs w:val="22"/>
                <w:lang w:val="en-US" w:eastAsia="zh-CN" w:bidi="ar-SA"/>
              </w:rPr>
            </w:pPr>
            <w:r>
              <w:rPr>
                <w:rFonts w:hint="default" w:ascii="Times New Roman" w:hAnsi="Times New Roman" w:cs="Times New Roman" w:eastAsiaTheme="minorEastAsia"/>
                <w:kern w:val="2"/>
                <w:sz w:val="22"/>
                <w:szCs w:val="22"/>
                <w:lang w:val="en-US" w:eastAsia="zh-CN" w:bidi="ar-SA"/>
              </w:rPr>
              <w:t>https://www.ndrc.gov.cn/xxgk/zcfb/ghxwj/202408/t20240814_1392379.html</w:t>
            </w:r>
          </w:p>
        </w:tc>
        <w:tc>
          <w:tcPr>
            <w:tcW w:w="1553" w:type="dxa"/>
            <w:vAlign w:val="center"/>
          </w:tcPr>
          <w:p w14:paraId="3DCCA82B">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326C69E8">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3D5A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5A3E6B5">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170</w:t>
            </w:r>
          </w:p>
        </w:tc>
        <w:tc>
          <w:tcPr>
            <w:tcW w:w="5359" w:type="dxa"/>
            <w:vAlign w:val="center"/>
          </w:tcPr>
          <w:p w14:paraId="541C5E9F">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Revising and Issuing the Administrative Measures for Investment Consultation and Appraisal of the National Development and Reform Commission</w:t>
            </w:r>
          </w:p>
        </w:tc>
        <w:tc>
          <w:tcPr>
            <w:tcW w:w="1849" w:type="dxa"/>
            <w:vAlign w:val="center"/>
          </w:tcPr>
          <w:p w14:paraId="4711807A">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https://www.ndrc.gov.cn/xxgk/zcfb/ghxwj/202204/t20220428_1323652.html</w:t>
            </w:r>
          </w:p>
        </w:tc>
        <w:tc>
          <w:tcPr>
            <w:tcW w:w="1553" w:type="dxa"/>
            <w:vAlign w:val="center"/>
          </w:tcPr>
          <w:p w14:paraId="20A0A3A4">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6723F08B">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215E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E8E144F">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171</w:t>
            </w:r>
          </w:p>
        </w:tc>
        <w:tc>
          <w:tcPr>
            <w:tcW w:w="5359" w:type="dxa"/>
            <w:vAlign w:val="center"/>
          </w:tcPr>
          <w:p w14:paraId="78056FEE">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Issuing the Administrative Measures for Investment Consultation and Appraisal</w:t>
            </w:r>
          </w:p>
        </w:tc>
        <w:tc>
          <w:tcPr>
            <w:tcW w:w="1849" w:type="dxa"/>
            <w:vAlign w:val="center"/>
          </w:tcPr>
          <w:p w14:paraId="27C32813">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https://www.ndrc.gov.cn/xxgk/zcfb/ghxwj/201811/t20181113_960956.html</w:t>
            </w:r>
          </w:p>
        </w:tc>
        <w:tc>
          <w:tcPr>
            <w:tcW w:w="1553" w:type="dxa"/>
            <w:vAlign w:val="center"/>
          </w:tcPr>
          <w:p w14:paraId="66CAC6B1">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027E9D91">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31E7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EA5D613">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172</w:t>
            </w:r>
          </w:p>
        </w:tc>
        <w:tc>
          <w:tcPr>
            <w:tcW w:w="5359" w:type="dxa"/>
            <w:vAlign w:val="center"/>
          </w:tcPr>
          <w:p w14:paraId="49046953">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Implementation Opinions on Establishing and Improving Mechanisms for Entrepreneurs' Participation in Business-Related Policy-Making</w:t>
            </w:r>
          </w:p>
        </w:tc>
        <w:tc>
          <w:tcPr>
            <w:tcW w:w="1849" w:type="dxa"/>
            <w:vAlign w:val="center"/>
          </w:tcPr>
          <w:p w14:paraId="6600323C">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https://www.ndrc.gov.cn/xxgk/zcfb/tz/201909/t20190917_1181921.html</w:t>
            </w:r>
          </w:p>
        </w:tc>
        <w:tc>
          <w:tcPr>
            <w:tcW w:w="1553" w:type="dxa"/>
            <w:vAlign w:val="center"/>
          </w:tcPr>
          <w:p w14:paraId="00320D9B">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6E5D1514">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18D3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2EAD89F">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173</w:t>
            </w:r>
          </w:p>
        </w:tc>
        <w:tc>
          <w:tcPr>
            <w:tcW w:w="5359" w:type="dxa"/>
            <w:vAlign w:val="center"/>
          </w:tcPr>
          <w:p w14:paraId="631B202A">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Opinions on Further Advancing Reform of the Investment Project Approval System</w:t>
            </w:r>
          </w:p>
        </w:tc>
        <w:tc>
          <w:tcPr>
            <w:tcW w:w="1849" w:type="dxa"/>
            <w:vAlign w:val="center"/>
          </w:tcPr>
          <w:p w14:paraId="2243D3CA">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https://www.ndrc.gov.cn/xxgk/zcfb/tz/202112/t20211222_1308882.html</w:t>
            </w:r>
          </w:p>
        </w:tc>
        <w:tc>
          <w:tcPr>
            <w:tcW w:w="1553" w:type="dxa"/>
            <w:vAlign w:val="center"/>
          </w:tcPr>
          <w:p w14:paraId="19E2CEAC">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20E2AFD2">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3954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6859B6C">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174</w:t>
            </w:r>
          </w:p>
        </w:tc>
        <w:tc>
          <w:tcPr>
            <w:tcW w:w="5359" w:type="dxa"/>
            <w:vAlign w:val="center"/>
          </w:tcPr>
          <w:p w14:paraId="1E294926">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Conducting the Evaluation of the Transformation of the First Batch of Resource-Exhausted Cities</w:t>
            </w:r>
          </w:p>
        </w:tc>
        <w:tc>
          <w:tcPr>
            <w:tcW w:w="1849" w:type="dxa"/>
            <w:vAlign w:val="center"/>
          </w:tcPr>
          <w:p w14:paraId="31EA8996">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https://www.ndrc.gov.cn/xxgk/zcfb/tz/201008/t20100823_964677.html</w:t>
            </w:r>
          </w:p>
        </w:tc>
        <w:tc>
          <w:tcPr>
            <w:tcW w:w="1553" w:type="dxa"/>
            <w:vAlign w:val="center"/>
          </w:tcPr>
          <w:p w14:paraId="0893E51C">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5A08F272">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0259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68D0035">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175</w:t>
            </w:r>
          </w:p>
        </w:tc>
        <w:tc>
          <w:tcPr>
            <w:tcW w:w="5359" w:type="dxa"/>
            <w:vAlign w:val="center"/>
          </w:tcPr>
          <w:p w14:paraId="482A4787">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Reply on the Implementation Plans for National Urban-Rural Integration Development Pilot Zones</w:t>
            </w:r>
          </w:p>
        </w:tc>
        <w:tc>
          <w:tcPr>
            <w:tcW w:w="1849" w:type="dxa"/>
            <w:vAlign w:val="center"/>
          </w:tcPr>
          <w:p w14:paraId="711860D0">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https://www.ndrc.gov.cn/xxgk/zcfb/tz/202102/t20210208_1267095.html</w:t>
            </w:r>
          </w:p>
        </w:tc>
        <w:tc>
          <w:tcPr>
            <w:tcW w:w="1553" w:type="dxa"/>
            <w:vAlign w:val="center"/>
          </w:tcPr>
          <w:p w14:paraId="136C4CFF">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5A9FD91C">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0C32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17272E4">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176</w:t>
            </w:r>
          </w:p>
        </w:tc>
        <w:tc>
          <w:tcPr>
            <w:tcW w:w="5359" w:type="dxa"/>
            <w:vAlign w:val="center"/>
          </w:tcPr>
          <w:p w14:paraId="38C5DE61">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Opinions on Implementing the Major Functional Zone Strategy and Advancing the Development of Major Functional Zones</w:t>
            </w:r>
          </w:p>
        </w:tc>
        <w:tc>
          <w:tcPr>
            <w:tcW w:w="1849" w:type="dxa"/>
            <w:vAlign w:val="center"/>
          </w:tcPr>
          <w:p w14:paraId="7F607561">
            <w:pPr>
              <w:jc w:val="both"/>
              <w:rPr>
                <w:rFonts w:hint="default" w:ascii="Times New Roman" w:hAnsi="Times New Roman" w:cs="Times New Roman"/>
                <w:sz w:val="22"/>
                <w:szCs w:val="22"/>
              </w:rPr>
            </w:pPr>
            <w:r>
              <w:rPr>
                <w:rFonts w:hint="default" w:ascii="Times New Roman" w:hAnsi="Times New Roman" w:cs="Times New Roman"/>
                <w:sz w:val="22"/>
                <w:szCs w:val="22"/>
              </w:rPr>
              <w:t>https://www.ndrc.gov.cn/xxgk/zcfb/tz/201306/t20130625_963910.html</w:t>
            </w:r>
          </w:p>
        </w:tc>
        <w:tc>
          <w:tcPr>
            <w:tcW w:w="1553" w:type="dxa"/>
            <w:vAlign w:val="center"/>
          </w:tcPr>
          <w:p w14:paraId="7DC1EABB">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6A27756E">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National Development and Reform Commission</w:t>
            </w:r>
          </w:p>
        </w:tc>
      </w:tr>
      <w:tr w14:paraId="448A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A23B90C">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177</w:t>
            </w:r>
          </w:p>
        </w:tc>
        <w:tc>
          <w:tcPr>
            <w:tcW w:w="5359" w:type="dxa"/>
            <w:vAlign w:val="center"/>
          </w:tcPr>
          <w:p w14:paraId="3F84E50A">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Implementation Outline for Building a Law-Based Government (2015–2020)</w:t>
            </w:r>
          </w:p>
        </w:tc>
        <w:tc>
          <w:tcPr>
            <w:tcW w:w="1849" w:type="dxa"/>
            <w:vAlign w:val="center"/>
          </w:tcPr>
          <w:p w14:paraId="0F53B4C2">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https://www.moj.gov.cn/pub/sfbgwapp/zwgk/zwgkjyta/202105/t20210517_396517.html</w:t>
            </w:r>
          </w:p>
        </w:tc>
        <w:tc>
          <w:tcPr>
            <w:tcW w:w="1553" w:type="dxa"/>
            <w:vAlign w:val="center"/>
          </w:tcPr>
          <w:p w14:paraId="486E41F9">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3A735400">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1FA1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13DF5D3">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178</w:t>
            </w:r>
          </w:p>
        </w:tc>
        <w:tc>
          <w:tcPr>
            <w:tcW w:w="5359" w:type="dxa"/>
            <w:vAlign w:val="center"/>
          </w:tcPr>
          <w:p w14:paraId="71EC0D21">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of the General Office of the State Council on Strengthening the Formulation and Supervision of Administrative Normative Documents</w:t>
            </w:r>
          </w:p>
        </w:tc>
        <w:tc>
          <w:tcPr>
            <w:tcW w:w="1849" w:type="dxa"/>
            <w:vAlign w:val="center"/>
          </w:tcPr>
          <w:p w14:paraId="20EC5F1D">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https://www.moj.gov.cn/pub/sfbgw/zwxxgk/fdzdgknr/fdzdgknrtzwj/201805/t20180531_207676.html</w:t>
            </w:r>
          </w:p>
        </w:tc>
        <w:tc>
          <w:tcPr>
            <w:tcW w:w="1553" w:type="dxa"/>
            <w:vAlign w:val="center"/>
          </w:tcPr>
          <w:p w14:paraId="19CDE0C1">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2144C73D">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7351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E7A4C51">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179</w:t>
            </w:r>
          </w:p>
        </w:tc>
        <w:tc>
          <w:tcPr>
            <w:tcW w:w="5359" w:type="dxa"/>
            <w:vAlign w:val="center"/>
          </w:tcPr>
          <w:p w14:paraId="39898145">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Guiding Opinions of the General Office of the State Council on Fully Implementing the Legality Review Mechanism for Administrative Normative Documents</w:t>
            </w:r>
          </w:p>
        </w:tc>
        <w:tc>
          <w:tcPr>
            <w:tcW w:w="1849" w:type="dxa"/>
            <w:vAlign w:val="center"/>
          </w:tcPr>
          <w:p w14:paraId="161B9114">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https://www.moj.gov.cn/pub/sfbgwapp/zwgk/jdhyApp/202105/t20210517_396074.html</w:t>
            </w:r>
          </w:p>
        </w:tc>
        <w:tc>
          <w:tcPr>
            <w:tcW w:w="1553" w:type="dxa"/>
            <w:vAlign w:val="center"/>
          </w:tcPr>
          <w:p w14:paraId="7C8B3640">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799AAD3C">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5395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9CABA5C">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180</w:t>
            </w:r>
          </w:p>
        </w:tc>
        <w:tc>
          <w:tcPr>
            <w:tcW w:w="5359" w:type="dxa"/>
            <w:vAlign w:val="center"/>
          </w:tcPr>
          <w:p w14:paraId="7D432ED5">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of the General Office of the State Council on Fully Soliciting Opinions from Enterprises and Industry Associations and Chambers of Commerce in the Formulation of Administrative Regulations, Rules and Normative Documents</w:t>
            </w:r>
          </w:p>
        </w:tc>
        <w:tc>
          <w:tcPr>
            <w:tcW w:w="1849" w:type="dxa"/>
            <w:vAlign w:val="center"/>
          </w:tcPr>
          <w:p w14:paraId="24BE3F06">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https://www.moj.gov.cn/pub/sfbgw/zlk/201903/t20190314_173927.html</w:t>
            </w:r>
          </w:p>
        </w:tc>
        <w:tc>
          <w:tcPr>
            <w:tcW w:w="1553" w:type="dxa"/>
            <w:vAlign w:val="center"/>
          </w:tcPr>
          <w:p w14:paraId="6E9930E0">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65561522">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6533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9D2550D">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181</w:t>
            </w:r>
          </w:p>
        </w:tc>
        <w:tc>
          <w:tcPr>
            <w:tcW w:w="5359" w:type="dxa"/>
            <w:vAlign w:val="center"/>
          </w:tcPr>
          <w:p w14:paraId="441678AB">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Interim Regulations on Major Administrative Decision-Making Procedures</w:t>
            </w:r>
          </w:p>
        </w:tc>
        <w:tc>
          <w:tcPr>
            <w:tcW w:w="1849" w:type="dxa"/>
            <w:vAlign w:val="center"/>
          </w:tcPr>
          <w:p w14:paraId="32B450D7">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https://www.moj.gov.cn/pub/sfbgw/zwxxgk/fdzdgknr/fdzdgknrlzyj/lzyjsfxzxgflfg/202101/t20210119_205856.html</w:t>
            </w:r>
          </w:p>
        </w:tc>
        <w:tc>
          <w:tcPr>
            <w:tcW w:w="1553" w:type="dxa"/>
            <w:vAlign w:val="center"/>
          </w:tcPr>
          <w:p w14:paraId="785B06A9">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5ADEB5F4">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4DAB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60D3D81">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182</w:t>
            </w:r>
          </w:p>
        </w:tc>
        <w:tc>
          <w:tcPr>
            <w:tcW w:w="5359" w:type="dxa"/>
            <w:vAlign w:val="center"/>
          </w:tcPr>
          <w:p w14:paraId="4F667E0F">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Implementation Outline for Building a Law-Based Government (2021–2025)</w:t>
            </w:r>
          </w:p>
        </w:tc>
        <w:tc>
          <w:tcPr>
            <w:tcW w:w="1849" w:type="dxa"/>
            <w:vAlign w:val="center"/>
          </w:tcPr>
          <w:p w14:paraId="64C27C83">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https://www.moj.gov.cn/pub/sfbgwapp/zwgk/appjhgh/202207/t20220722_460300.html</w:t>
            </w:r>
          </w:p>
        </w:tc>
        <w:tc>
          <w:tcPr>
            <w:tcW w:w="1553" w:type="dxa"/>
            <w:vAlign w:val="center"/>
          </w:tcPr>
          <w:p w14:paraId="55ACBFBB">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0A796ADD">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06B4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16C62D0E">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183</w:t>
            </w:r>
          </w:p>
        </w:tc>
        <w:tc>
          <w:tcPr>
            <w:tcW w:w="5359" w:type="dxa"/>
            <w:vAlign w:val="center"/>
          </w:tcPr>
          <w:p w14:paraId="5367AF15">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National Plan for Building the Public Legal Service System (2021–2025)</w:t>
            </w:r>
          </w:p>
        </w:tc>
        <w:tc>
          <w:tcPr>
            <w:tcW w:w="1849" w:type="dxa"/>
            <w:vAlign w:val="center"/>
          </w:tcPr>
          <w:p w14:paraId="41E3B14F">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https://www.moj.gov.cn/zwxxgk/fdzdgknr/fdzdgknrghjh/</w:t>
            </w:r>
          </w:p>
        </w:tc>
        <w:tc>
          <w:tcPr>
            <w:tcW w:w="1553" w:type="dxa"/>
            <w:vAlign w:val="center"/>
          </w:tcPr>
          <w:p w14:paraId="734B774C">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41705A42">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3631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8151BD1">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184</w:t>
            </w:r>
          </w:p>
        </w:tc>
        <w:tc>
          <w:tcPr>
            <w:tcW w:w="5359" w:type="dxa"/>
            <w:vAlign w:val="center"/>
          </w:tcPr>
          <w:p w14:paraId="5E0F3729">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of the General Office of the Ministry of Justice on Issuing the 2021 National Judicial Administration System Theoretical Research Programme Topics</w:t>
            </w:r>
          </w:p>
        </w:tc>
        <w:tc>
          <w:tcPr>
            <w:tcW w:w="1849" w:type="dxa"/>
            <w:vAlign w:val="center"/>
          </w:tcPr>
          <w:p w14:paraId="3EBD27BE">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https://www.moj.gov.cn/zwxxgk/fdzdgknr/fdzdgknrghjh/</w:t>
            </w:r>
          </w:p>
        </w:tc>
        <w:tc>
          <w:tcPr>
            <w:tcW w:w="1553" w:type="dxa"/>
            <w:vAlign w:val="center"/>
          </w:tcPr>
          <w:p w14:paraId="3A3847DA">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34169C35">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5F54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2859B7EF">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185</w:t>
            </w:r>
          </w:p>
        </w:tc>
        <w:tc>
          <w:tcPr>
            <w:tcW w:w="5359" w:type="dxa"/>
            <w:vAlign w:val="center"/>
          </w:tcPr>
          <w:p w14:paraId="1659AC75">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of the General Office of the Ministry of Justice on Applications for the 2022 National Judicial Administration System Theoretical Research Programme</w:t>
            </w:r>
          </w:p>
        </w:tc>
        <w:tc>
          <w:tcPr>
            <w:tcW w:w="1849" w:type="dxa"/>
            <w:vAlign w:val="center"/>
          </w:tcPr>
          <w:p w14:paraId="53E4EADA">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https://www.moj.gov.cn/zwxxgk/fdzdgknr/fdzdgknrghjh/</w:t>
            </w:r>
          </w:p>
        </w:tc>
        <w:tc>
          <w:tcPr>
            <w:tcW w:w="1553" w:type="dxa"/>
            <w:vAlign w:val="center"/>
          </w:tcPr>
          <w:p w14:paraId="73F23C04">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36A03682">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5FB8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6425538">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186</w:t>
            </w:r>
          </w:p>
        </w:tc>
        <w:tc>
          <w:tcPr>
            <w:tcW w:w="5359" w:type="dxa"/>
            <w:vAlign w:val="center"/>
          </w:tcPr>
          <w:p w14:paraId="1952A82F">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2018 Annual Report of the Ministry of Justice on Building a Law-Based Government</w:t>
            </w:r>
          </w:p>
        </w:tc>
        <w:tc>
          <w:tcPr>
            <w:tcW w:w="1849" w:type="dxa"/>
            <w:vAlign w:val="center"/>
          </w:tcPr>
          <w:p w14:paraId="0D5DD4FA">
            <w:pPr>
              <w:jc w:val="both"/>
              <w:rPr>
                <w:rFonts w:hint="default" w:ascii="Times New Roman" w:hAnsi="Times New Roman" w:cs="Times New Roman"/>
                <w:sz w:val="22"/>
                <w:szCs w:val="22"/>
              </w:rPr>
            </w:pPr>
            <w:r>
              <w:rPr>
                <w:rFonts w:hint="default" w:ascii="Times New Roman" w:hAnsi="Times New Roman" w:cs="Times New Roman"/>
                <w:sz w:val="22"/>
                <w:szCs w:val="22"/>
              </w:rPr>
              <w:t>https://www.moj.gov.cn/pub/sfbgw/qmyfzg/fzgzzffz/fzzfndbg/202104/t20210401_351314.html</w:t>
            </w:r>
          </w:p>
        </w:tc>
        <w:tc>
          <w:tcPr>
            <w:tcW w:w="1553" w:type="dxa"/>
            <w:vAlign w:val="center"/>
          </w:tcPr>
          <w:p w14:paraId="54D43040">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5ECE8DCA">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Justice</w:t>
            </w:r>
          </w:p>
        </w:tc>
      </w:tr>
      <w:tr w14:paraId="338F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E02FE6F">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187</w:t>
            </w:r>
          </w:p>
        </w:tc>
        <w:tc>
          <w:tcPr>
            <w:tcW w:w="5359" w:type="dxa"/>
            <w:vAlign w:val="center"/>
          </w:tcPr>
          <w:p w14:paraId="6ABFE60F">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the Implementation Outline for Law-Based Human Resources and Social Security Administration (2016–2020)</w:t>
            </w:r>
          </w:p>
        </w:tc>
        <w:tc>
          <w:tcPr>
            <w:tcW w:w="1849" w:type="dxa"/>
            <w:vAlign w:val="center"/>
          </w:tcPr>
          <w:p w14:paraId="2495DE51">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https://www.mohrss.gov.cn/xxgk2020/fdzdgknr/qt/gztz/201609/t20160908_246722.html</w:t>
            </w:r>
          </w:p>
        </w:tc>
        <w:tc>
          <w:tcPr>
            <w:tcW w:w="1553" w:type="dxa"/>
            <w:vAlign w:val="center"/>
          </w:tcPr>
          <w:p w14:paraId="6C3850F5">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40822641">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r w14:paraId="1409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6928B829">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188</w:t>
            </w:r>
          </w:p>
        </w:tc>
        <w:tc>
          <w:tcPr>
            <w:tcW w:w="5359" w:type="dxa"/>
            <w:vAlign w:val="center"/>
          </w:tcPr>
          <w:p w14:paraId="2CC61A73">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the Implementation Plan for Law-Based Human Resources and Social Security Administration (2021–2025)</w:t>
            </w:r>
          </w:p>
        </w:tc>
        <w:tc>
          <w:tcPr>
            <w:tcW w:w="1849" w:type="dxa"/>
            <w:vAlign w:val="center"/>
          </w:tcPr>
          <w:p w14:paraId="04CE1507">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https://www.mohrss.gov.cn/xxgk2020/fdzdgknr/qt/gztz/202112/t20211208_429860.html</w:t>
            </w:r>
          </w:p>
        </w:tc>
        <w:tc>
          <w:tcPr>
            <w:tcW w:w="1553" w:type="dxa"/>
            <w:vAlign w:val="center"/>
          </w:tcPr>
          <w:p w14:paraId="4ADC74AF">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7E26A684">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r w14:paraId="1C96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1D460B5">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189</w:t>
            </w:r>
          </w:p>
        </w:tc>
        <w:tc>
          <w:tcPr>
            <w:tcW w:w="5359" w:type="dxa"/>
            <w:vAlign w:val="center"/>
          </w:tcPr>
          <w:p w14:paraId="3DD94F4B">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Notice on the 14th Five-Year Plan for Human Resources and Social Security Development</w:t>
            </w:r>
          </w:p>
        </w:tc>
        <w:tc>
          <w:tcPr>
            <w:tcW w:w="1849" w:type="dxa"/>
            <w:vAlign w:val="center"/>
          </w:tcPr>
          <w:p w14:paraId="72480ADD">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https://www.mohrss.gov.cn/SYrlzyhshbzb/zwgk/ghcw/ghjh/202107/W020210702304001281761.pdf</w:t>
            </w:r>
          </w:p>
        </w:tc>
        <w:tc>
          <w:tcPr>
            <w:tcW w:w="1553" w:type="dxa"/>
            <w:vAlign w:val="center"/>
          </w:tcPr>
          <w:p w14:paraId="107C9EDD">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0388EAE6">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r w14:paraId="6F57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9DB085A">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190</w:t>
            </w:r>
          </w:p>
        </w:tc>
        <w:tc>
          <w:tcPr>
            <w:tcW w:w="5359" w:type="dxa"/>
            <w:vAlign w:val="center"/>
          </w:tcPr>
          <w:p w14:paraId="46AE871B">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MOHRSS 2024 Departmental Budget – Employment Situation Monitoring and Employment Policy Implementation Project</w:t>
            </w:r>
          </w:p>
        </w:tc>
        <w:tc>
          <w:tcPr>
            <w:tcW w:w="1849" w:type="dxa"/>
            <w:vAlign w:val="center"/>
          </w:tcPr>
          <w:p w14:paraId="0C8565BD">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https://www.mohrss.gov.cn/xxgk2020/fdzdgknr/cwgl/bmyjs/202408/W020240816591947186249.pdf</w:t>
            </w:r>
          </w:p>
        </w:tc>
        <w:tc>
          <w:tcPr>
            <w:tcW w:w="1553" w:type="dxa"/>
            <w:vAlign w:val="center"/>
          </w:tcPr>
          <w:p w14:paraId="39BB6DCE">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7550230B">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r w14:paraId="1F68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C876BFD">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191</w:t>
            </w:r>
          </w:p>
        </w:tc>
        <w:tc>
          <w:tcPr>
            <w:tcW w:w="5359" w:type="dxa"/>
            <w:vAlign w:val="center"/>
          </w:tcPr>
          <w:p w14:paraId="31EC7745">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Research Summary: Evaluation of Human Resources Service Industrial Parks</w:t>
            </w:r>
          </w:p>
        </w:tc>
        <w:tc>
          <w:tcPr>
            <w:tcW w:w="1849" w:type="dxa"/>
            <w:vAlign w:val="center"/>
          </w:tcPr>
          <w:p w14:paraId="1F4D13C6">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https://www.mohrss.gov.cn/xxgk2020/fdzdgknr/ghtj/kyxx/202209/t20220922_487588.html</w:t>
            </w:r>
          </w:p>
        </w:tc>
        <w:tc>
          <w:tcPr>
            <w:tcW w:w="1553" w:type="dxa"/>
            <w:vAlign w:val="center"/>
          </w:tcPr>
          <w:p w14:paraId="4EF0EDD7">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4D8380DD">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r w14:paraId="06BE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44C7E40B">
            <w:pPr>
              <w:pStyle w:val="7"/>
              <w:widowControl/>
              <w:jc w:val="both"/>
              <w:rPr>
                <w:rStyle w:val="11"/>
                <w:rFonts w:hint="default" w:ascii="Times New Roman" w:hAnsi="Times New Roman" w:cs="Times New Roman"/>
                <w:b w:val="0"/>
                <w:bCs/>
                <w:sz w:val="22"/>
                <w:szCs w:val="22"/>
                <w:lang w:val="en-US" w:eastAsia="zh-CN"/>
              </w:rPr>
            </w:pPr>
            <w:r>
              <w:rPr>
                <w:rStyle w:val="11"/>
                <w:rFonts w:hint="default" w:ascii="Times New Roman" w:hAnsi="Times New Roman" w:cs="Times New Roman"/>
                <w:b w:val="0"/>
                <w:bCs/>
                <w:sz w:val="22"/>
                <w:szCs w:val="22"/>
                <w:lang w:val="en-US" w:eastAsia="zh-CN"/>
              </w:rPr>
              <w:t>192</w:t>
            </w:r>
          </w:p>
        </w:tc>
        <w:tc>
          <w:tcPr>
            <w:tcW w:w="5359" w:type="dxa"/>
            <w:vAlign w:val="center"/>
          </w:tcPr>
          <w:p w14:paraId="56507119">
            <w:pPr>
              <w:jc w:val="both"/>
              <w:rPr>
                <w:rStyle w:val="11"/>
                <w:rFonts w:hint="default" w:ascii="Times New Roman" w:hAnsi="Times New Roman" w:cs="Times New Roman"/>
                <w:b w:val="0"/>
                <w:bCs/>
                <w:sz w:val="22"/>
                <w:szCs w:val="22"/>
              </w:rPr>
            </w:pPr>
            <w:r>
              <w:rPr>
                <w:rFonts w:hint="default" w:ascii="Times New Roman" w:hAnsi="Times New Roman" w:cs="Times New Roman"/>
                <w:sz w:val="22"/>
                <w:szCs w:val="22"/>
              </w:rPr>
              <w:t>Research Summary: Promoting the Development of New Forms of Employment in China</w:t>
            </w:r>
          </w:p>
        </w:tc>
        <w:tc>
          <w:tcPr>
            <w:tcW w:w="1849" w:type="dxa"/>
            <w:vAlign w:val="center"/>
          </w:tcPr>
          <w:p w14:paraId="0F695B3B">
            <w:pPr>
              <w:jc w:val="both"/>
              <w:rPr>
                <w:rFonts w:hint="default" w:ascii="Times New Roman" w:hAnsi="Times New Roman" w:cs="Times New Roman"/>
                <w:sz w:val="22"/>
                <w:szCs w:val="22"/>
              </w:rPr>
            </w:pPr>
            <w:r>
              <w:rPr>
                <w:rFonts w:hint="default" w:ascii="Times New Roman" w:hAnsi="Times New Roman" w:cs="Times New Roman"/>
                <w:sz w:val="22"/>
                <w:szCs w:val="22"/>
              </w:rPr>
              <w:t>https://www.mohrss.gov.cn/xxgk2020/fdzdgknr/ghtj/kyxx/202209/t20220922_487579.html</w:t>
            </w:r>
          </w:p>
        </w:tc>
        <w:tc>
          <w:tcPr>
            <w:tcW w:w="1553" w:type="dxa"/>
            <w:vAlign w:val="center"/>
          </w:tcPr>
          <w:p w14:paraId="5191C4B7">
            <w:pPr>
              <w:jc w:val="both"/>
              <w:rPr>
                <w:rFonts w:hint="default" w:ascii="Times New Roman" w:hAnsi="Times New Roman" w:eastAsia="微软雅黑" w:cs="Times New Roman"/>
                <w:sz w:val="22"/>
                <w:szCs w:val="22"/>
              </w:rPr>
            </w:pPr>
            <w:r>
              <w:rPr>
                <w:rFonts w:hint="default" w:ascii="Times New Roman" w:hAnsi="Times New Roman" w:cs="Times New Roman"/>
                <w:sz w:val="22"/>
                <w:szCs w:val="22"/>
              </w:rPr>
              <w:t>Chinese</w:t>
            </w:r>
          </w:p>
        </w:tc>
        <w:tc>
          <w:tcPr>
            <w:tcW w:w="3727" w:type="dxa"/>
            <w:vAlign w:val="center"/>
          </w:tcPr>
          <w:p w14:paraId="395E19E8">
            <w:pPr>
              <w:jc w:val="both"/>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cs="Times New Roman"/>
                <w:sz w:val="22"/>
                <w:szCs w:val="22"/>
              </w:rPr>
              <w:t>Ministry of Human Resources and Social Security</w:t>
            </w:r>
          </w:p>
        </w:tc>
      </w:tr>
    </w:tbl>
    <w:p w14:paraId="30DFD160">
      <w:pPr>
        <w:pStyle w:val="7"/>
        <w:widowControl/>
        <w:spacing w:beforeAutospacing="0" w:afterAutospacing="0"/>
        <w:rPr>
          <w:rFonts w:hint="default" w:ascii="Times New Roman" w:hAnsi="Times New Roman" w:eastAsia="微软雅黑" w:cs="Times New Roman"/>
          <w:sz w:val="22"/>
          <w:szCs w:val="22"/>
          <w:lang w:val="en-GB"/>
        </w:rPr>
      </w:pPr>
    </w:p>
    <w:p w14:paraId="6D0488AB">
      <w:pPr>
        <w:pStyle w:val="7"/>
        <w:widowControl/>
        <w:spacing w:beforeAutospacing="0" w:afterAutospacing="0"/>
        <w:rPr>
          <w:rFonts w:hint="default" w:ascii="Times New Roman" w:hAnsi="Times New Roman" w:eastAsia="微软雅黑" w:cs="Times New Roman"/>
          <w:sz w:val="22"/>
          <w:szCs w:val="22"/>
          <w:lang w:val="en-GB"/>
        </w:rPr>
      </w:pPr>
    </w:p>
    <w:p w14:paraId="292F62B9">
      <w:pPr>
        <w:pStyle w:val="7"/>
        <w:widowControl/>
        <w:spacing w:beforeAutospacing="0" w:afterAutospacing="0"/>
        <w:rPr>
          <w:rFonts w:hint="default" w:ascii="Times New Roman" w:hAnsi="Times New Roman" w:eastAsia="微软雅黑" w:cs="Times New Roman"/>
          <w:sz w:val="22"/>
          <w:szCs w:val="22"/>
          <w:lang w:val="en-GB"/>
        </w:rPr>
      </w:pPr>
    </w:p>
    <w:p w14:paraId="4799AFE7">
      <w:pPr>
        <w:pStyle w:val="7"/>
        <w:widowControl/>
        <w:spacing w:beforeAutospacing="0" w:afterAutospacing="0"/>
        <w:rPr>
          <w:rFonts w:hint="default" w:ascii="Times New Roman" w:hAnsi="Times New Roman" w:eastAsia="微软雅黑" w:cs="Times New Roman"/>
          <w:sz w:val="22"/>
          <w:szCs w:val="22"/>
          <w:lang w:val="en-GB"/>
        </w:rPr>
      </w:pPr>
    </w:p>
    <w:p w14:paraId="5EC2021A">
      <w:pPr>
        <w:keepNext w:val="0"/>
        <w:keepLines w:val="0"/>
        <w:widowControl/>
        <w:suppressLineNumbers w:val="0"/>
        <w:jc w:val="center"/>
        <w:textAlignment w:val="center"/>
        <w:rPr>
          <w:rFonts w:hint="default" w:ascii="Times New Roman" w:hAnsi="Times New Roman" w:eastAsia="sans-serif" w:cs="Times New Roman"/>
          <w:b/>
          <w:bCs/>
          <w:i w:val="0"/>
          <w:iCs w:val="0"/>
          <w:color w:val="auto"/>
          <w:kern w:val="0"/>
          <w:sz w:val="22"/>
          <w:szCs w:val="22"/>
          <w:u w:val="none"/>
          <w:lang w:val="en-US" w:eastAsia="zh-CN" w:bidi="ar"/>
        </w:rPr>
      </w:pPr>
      <w:r>
        <w:rPr>
          <w:rFonts w:hint="default" w:ascii="Times New Roman" w:hAnsi="Times New Roman" w:eastAsia="sans-serif" w:cs="Times New Roman"/>
          <w:b/>
          <w:bCs/>
          <w:i w:val="0"/>
          <w:iCs w:val="0"/>
          <w:color w:val="auto"/>
          <w:kern w:val="0"/>
          <w:sz w:val="22"/>
          <w:szCs w:val="22"/>
          <w:u w:val="none"/>
          <w:lang w:val="en-US" w:eastAsia="zh-CN" w:bidi="ar"/>
        </w:rPr>
        <w:br w:type="page"/>
      </w:r>
    </w:p>
    <w:p w14:paraId="486A0CE4">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eastAsia="微软雅黑" w:cs="Times New Roman"/>
          <w:sz w:val="22"/>
          <w:szCs w:val="22"/>
          <w:lang w:val="en-GB"/>
        </w:rPr>
      </w:pPr>
      <w:bookmarkStart w:id="6" w:name="_Toc31404"/>
      <w:r>
        <w:rPr>
          <w:rFonts w:hint="default" w:ascii="Times New Roman" w:hAnsi="Times New Roman" w:eastAsia="微软雅黑" w:cs="Times New Roman"/>
          <w:sz w:val="22"/>
          <w:szCs w:val="22"/>
          <w:lang w:val="en-GB"/>
        </w:rPr>
        <w:t xml:space="preserve">Table </w:t>
      </w:r>
      <w:r>
        <w:rPr>
          <w:rFonts w:hint="default" w:ascii="Times New Roman" w:hAnsi="Times New Roman" w:eastAsia="微软雅黑" w:cs="Times New Roman"/>
          <w:sz w:val="22"/>
          <w:szCs w:val="22"/>
        </w:rPr>
        <w:t>S</w:t>
      </w:r>
      <w:r>
        <w:rPr>
          <w:rFonts w:hint="default" w:ascii="Times New Roman" w:hAnsi="Times New Roman" w:eastAsia="微软雅黑" w:cs="Times New Roman"/>
          <w:sz w:val="22"/>
          <w:szCs w:val="22"/>
          <w:lang w:val="en-US" w:eastAsia="zh-CN"/>
        </w:rPr>
        <w:t>5</w:t>
      </w:r>
      <w:r>
        <w:rPr>
          <w:rFonts w:hint="default" w:ascii="Times New Roman" w:hAnsi="Times New Roman" w:eastAsia="微软雅黑" w:cs="Times New Roman"/>
          <w:sz w:val="22"/>
          <w:szCs w:val="22"/>
          <w:lang w:val="en-GB"/>
        </w:rPr>
        <w:t>. Summary characteristics of included records</w:t>
      </w:r>
      <w:bookmarkEnd w:id="6"/>
    </w:p>
    <w:tbl>
      <w:tblPr>
        <w:tblStyle w:val="9"/>
        <w:tblpPr w:leftFromText="180" w:rightFromText="180" w:vertAnchor="text" w:horzAnchor="page" w:tblpX="4616" w:tblpY="45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74"/>
        <w:gridCol w:w="2944"/>
      </w:tblGrid>
      <w:tr w14:paraId="2151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4" w:type="dxa"/>
            <w:tcBorders>
              <w:top w:val="single" w:color="auto" w:sz="4" w:space="0"/>
              <w:bottom w:val="single" w:color="auto" w:sz="4" w:space="0"/>
            </w:tcBorders>
            <w:shd w:val="clear" w:color="auto" w:fill="D8D8D8" w:themeFill="background1" w:themeFillShade="D9"/>
          </w:tcPr>
          <w:p w14:paraId="277D5AF9">
            <w:pPr>
              <w:widowControl/>
              <w:spacing w:line="360" w:lineRule="auto"/>
              <w:jc w:val="left"/>
              <w:rPr>
                <w:rFonts w:hint="default" w:ascii="Times New Roman" w:hAnsi="Times New Roman" w:eastAsia="sans-serif" w:cs="Times New Roman"/>
                <w:b/>
                <w:bCs/>
                <w:spacing w:val="-4"/>
                <w:kern w:val="0"/>
                <w:sz w:val="22"/>
                <w:szCs w:val="22"/>
                <w:shd w:val="pct15" w:color="auto" w:fill="FFFFFF"/>
                <w:lang w:bidi="ar"/>
              </w:rPr>
            </w:pPr>
            <w:r>
              <w:rPr>
                <w:rFonts w:hint="default" w:ascii="Times New Roman" w:hAnsi="Times New Roman" w:eastAsia="sans-serif" w:cs="Times New Roman"/>
                <w:b/>
                <w:bCs/>
                <w:spacing w:val="-4"/>
                <w:kern w:val="0"/>
                <w:sz w:val="22"/>
                <w:szCs w:val="22"/>
                <w:shd w:val="pct15" w:color="auto" w:fill="FFFFFF"/>
                <w:lang w:bidi="ar"/>
              </w:rPr>
              <w:t>Category</w:t>
            </w:r>
          </w:p>
        </w:tc>
        <w:tc>
          <w:tcPr>
            <w:tcW w:w="2944" w:type="dxa"/>
            <w:tcBorders>
              <w:top w:val="single" w:color="auto" w:sz="4" w:space="0"/>
              <w:bottom w:val="single" w:color="auto" w:sz="4" w:space="0"/>
            </w:tcBorders>
            <w:shd w:val="clear" w:color="auto" w:fill="D8D8D8" w:themeFill="background1" w:themeFillShade="D9"/>
          </w:tcPr>
          <w:p w14:paraId="0F17DBA0">
            <w:pPr>
              <w:widowControl/>
              <w:spacing w:line="360" w:lineRule="auto"/>
              <w:jc w:val="center"/>
              <w:rPr>
                <w:rFonts w:hint="default" w:ascii="Times New Roman" w:hAnsi="Times New Roman" w:eastAsia="sans-serif" w:cs="Times New Roman"/>
                <w:b/>
                <w:bCs/>
                <w:spacing w:val="-4"/>
                <w:kern w:val="0"/>
                <w:sz w:val="22"/>
                <w:szCs w:val="22"/>
                <w:shd w:val="pct15" w:color="auto" w:fill="FFFFFF"/>
                <w:lang w:bidi="ar"/>
              </w:rPr>
            </w:pPr>
            <w:r>
              <w:rPr>
                <w:rFonts w:hint="default" w:ascii="Times New Roman" w:hAnsi="Times New Roman" w:eastAsia="sans-serif" w:cs="Times New Roman"/>
                <w:b/>
                <w:bCs/>
                <w:spacing w:val="-4"/>
                <w:kern w:val="0"/>
                <w:sz w:val="22"/>
                <w:szCs w:val="22"/>
                <w:shd w:val="pct15" w:color="auto" w:fill="FFFFFF"/>
                <w:lang w:bidi="ar"/>
              </w:rPr>
              <w:t>N (%)</w:t>
            </w:r>
          </w:p>
        </w:tc>
      </w:tr>
      <w:tr w14:paraId="7D145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4874" w:type="dxa"/>
          </w:tcPr>
          <w:p w14:paraId="456EE788">
            <w:pPr>
              <w:widowControl/>
              <w:spacing w:line="360" w:lineRule="auto"/>
              <w:jc w:val="left"/>
              <w:rPr>
                <w:rFonts w:hint="default" w:ascii="Times New Roman" w:hAnsi="Times New Roman" w:eastAsia="sans-serif" w:cs="Times New Roman"/>
                <w:b/>
                <w:bCs/>
                <w:spacing w:val="-4"/>
                <w:kern w:val="0"/>
                <w:sz w:val="22"/>
                <w:szCs w:val="22"/>
                <w:shd w:val="clear" w:color="auto" w:fill="FFFFFF"/>
                <w:lang w:bidi="ar"/>
              </w:rPr>
            </w:pPr>
            <w:r>
              <w:rPr>
                <w:rFonts w:hint="default" w:ascii="Times New Roman" w:hAnsi="Times New Roman" w:eastAsia="sans-serif" w:cs="Times New Roman"/>
                <w:b/>
                <w:bCs/>
                <w:spacing w:val="-4"/>
                <w:kern w:val="0"/>
                <w:sz w:val="22"/>
                <w:szCs w:val="22"/>
                <w:shd w:val="clear" w:color="auto" w:fill="FFFFFF"/>
                <w:lang w:bidi="ar"/>
              </w:rPr>
              <w:t>Evidence type</w:t>
            </w:r>
          </w:p>
          <w:p w14:paraId="4AB51742">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b/>
                <w:bCs/>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Stud</w:t>
            </w:r>
            <w:r>
              <w:rPr>
                <w:rFonts w:hint="default" w:ascii="Times New Roman" w:hAnsi="Times New Roman" w:eastAsia="宋体" w:cs="Times New Roman"/>
                <w:spacing w:val="-4"/>
                <w:kern w:val="0"/>
                <w:sz w:val="22"/>
                <w:szCs w:val="22"/>
                <w:shd w:val="clear" w:color="auto" w:fill="FFFFFF"/>
                <w:lang w:bidi="ar"/>
              </w:rPr>
              <w:t>ies</w:t>
            </w:r>
          </w:p>
          <w:p w14:paraId="204A2A6D">
            <w:pPr>
              <w:widowControl/>
              <w:spacing w:line="360" w:lineRule="auto"/>
              <w:jc w:val="left"/>
              <w:rPr>
                <w:rFonts w:hint="default" w:ascii="Times New Roman" w:hAnsi="Times New Roman" w:eastAsia="sans-serif" w:cs="Times New Roman"/>
                <w:b/>
                <w:bCs/>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Policy documents</w:t>
            </w:r>
          </w:p>
        </w:tc>
        <w:tc>
          <w:tcPr>
            <w:tcW w:w="2944" w:type="dxa"/>
          </w:tcPr>
          <w:p w14:paraId="584A5D34">
            <w:pPr>
              <w:widowControl/>
              <w:spacing w:line="360" w:lineRule="auto"/>
              <w:rPr>
                <w:rFonts w:hint="default" w:ascii="Times New Roman" w:hAnsi="Times New Roman" w:eastAsia="sans-serif" w:cs="Times New Roman"/>
                <w:spacing w:val="-4"/>
                <w:kern w:val="0"/>
                <w:sz w:val="22"/>
                <w:szCs w:val="22"/>
                <w:shd w:val="clear" w:color="auto" w:fill="FFFFFF"/>
                <w:lang w:bidi="ar"/>
              </w:rPr>
            </w:pPr>
          </w:p>
          <w:p w14:paraId="2AFA7811">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63 (37.5%)</w:t>
            </w:r>
          </w:p>
          <w:p w14:paraId="2733E7E8">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105 (62.5%)</w:t>
            </w:r>
          </w:p>
        </w:tc>
      </w:tr>
      <w:tr w14:paraId="179D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4874" w:type="dxa"/>
            <w:shd w:val="clear" w:color="auto" w:fill="FFFFFF" w:themeFill="background1"/>
          </w:tcPr>
          <w:p w14:paraId="72B20982">
            <w:pPr>
              <w:widowControl/>
              <w:spacing w:line="360" w:lineRule="auto"/>
              <w:jc w:val="left"/>
              <w:rPr>
                <w:rFonts w:hint="default" w:ascii="Times New Roman" w:hAnsi="Times New Roman" w:eastAsia="sans-serif" w:cs="Times New Roman"/>
                <w:b/>
                <w:bCs/>
                <w:spacing w:val="-4"/>
                <w:kern w:val="0"/>
                <w:sz w:val="22"/>
                <w:szCs w:val="22"/>
                <w:shd w:val="clear" w:color="auto" w:fill="FFFFFF"/>
                <w:lang w:bidi="ar"/>
              </w:rPr>
            </w:pPr>
            <w:r>
              <w:rPr>
                <w:rFonts w:hint="default" w:ascii="Times New Roman" w:hAnsi="Times New Roman" w:eastAsia="sans-serif" w:cs="Times New Roman"/>
                <w:b/>
                <w:bCs/>
                <w:spacing w:val="-4"/>
                <w:kern w:val="0"/>
                <w:sz w:val="22"/>
                <w:szCs w:val="22"/>
                <w:shd w:val="clear" w:color="auto" w:fill="FFFFFF"/>
                <w:lang w:bidi="ar"/>
              </w:rPr>
              <w:t>Language</w:t>
            </w:r>
          </w:p>
          <w:p w14:paraId="73DAA906">
            <w:pPr>
              <w:widowControl/>
              <w:spacing w:line="360" w:lineRule="auto"/>
              <w:jc w:val="left"/>
              <w:rPr>
                <w:rFonts w:hint="default" w:ascii="Times New Roman" w:hAnsi="Times New Roman" w:eastAsia="宋体" w:cs="Times New Roman"/>
                <w:b/>
                <w:bCs/>
                <w:spacing w:val="-4"/>
                <w:kern w:val="0"/>
                <w:sz w:val="22"/>
                <w:szCs w:val="22"/>
                <w:shd w:val="clear" w:color="auto" w:fill="FFFFFF"/>
                <w:lang w:val="en-US" w:eastAsia="zh-CN" w:bidi="ar"/>
              </w:rPr>
            </w:pPr>
            <w:r>
              <w:rPr>
                <w:rFonts w:hint="default" w:ascii="Times New Roman" w:hAnsi="Times New Roman" w:eastAsia="宋体" w:cs="Times New Roman"/>
                <w:b/>
                <w:bCs/>
                <w:spacing w:val="-4"/>
                <w:kern w:val="0"/>
                <w:sz w:val="22"/>
                <w:szCs w:val="22"/>
                <w:shd w:val="clear" w:color="auto" w:fill="FFFFFF"/>
                <w:lang w:bidi="ar"/>
              </w:rPr>
              <w:t xml:space="preserve">  </w:t>
            </w:r>
            <w:r>
              <w:rPr>
                <w:rFonts w:hint="default" w:ascii="Times New Roman" w:hAnsi="Times New Roman" w:eastAsia="宋体" w:cs="Times New Roman"/>
                <w:b w:val="0"/>
                <w:bCs w:val="0"/>
                <w:spacing w:val="-4"/>
                <w:kern w:val="0"/>
                <w:sz w:val="22"/>
                <w:szCs w:val="22"/>
                <w:shd w:val="clear" w:color="auto" w:fill="FFFFFF"/>
                <w:lang w:val="en-US" w:eastAsia="zh-CN" w:bidi="ar"/>
              </w:rPr>
              <w:t>Chinese</w:t>
            </w:r>
          </w:p>
          <w:p w14:paraId="2693525A">
            <w:pPr>
              <w:widowControl/>
              <w:spacing w:line="360" w:lineRule="auto"/>
              <w:jc w:val="left"/>
              <w:rPr>
                <w:rFonts w:hint="default" w:ascii="Times New Roman" w:hAnsi="Times New Roman" w:eastAsia="sans-serif" w:cs="Times New Roman"/>
                <w:b/>
                <w:bCs/>
                <w:spacing w:val="-4"/>
                <w:kern w:val="0"/>
                <w:sz w:val="22"/>
                <w:szCs w:val="22"/>
                <w:shd w:val="clear" w:color="auto" w:fill="FFFFFF"/>
                <w:lang w:bidi="ar"/>
              </w:rPr>
            </w:pPr>
            <w:r>
              <w:rPr>
                <w:rFonts w:hint="default" w:ascii="Times New Roman" w:hAnsi="Times New Roman" w:eastAsia="sans-serif" w:cs="Times New Roman"/>
                <w:b/>
                <w:bCs/>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English</w:t>
            </w:r>
          </w:p>
        </w:tc>
        <w:tc>
          <w:tcPr>
            <w:tcW w:w="2944" w:type="dxa"/>
            <w:shd w:val="clear" w:color="auto" w:fill="FFFFFF" w:themeFill="background1"/>
          </w:tcPr>
          <w:p w14:paraId="7CCB143E">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p>
          <w:p w14:paraId="0BC4D921">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155 (92.3%)</w:t>
            </w:r>
          </w:p>
          <w:p w14:paraId="02E59B9C">
            <w:pPr>
              <w:widowControl/>
              <w:spacing w:line="360" w:lineRule="auto"/>
              <w:jc w:val="center"/>
              <w:rPr>
                <w:rFonts w:hint="default" w:ascii="Times New Roman" w:hAnsi="Times New Roman" w:cs="Times New Roman"/>
                <w:sz w:val="22"/>
                <w:szCs w:val="22"/>
              </w:rPr>
            </w:pPr>
            <w:r>
              <w:rPr>
                <w:rFonts w:hint="default" w:ascii="Times New Roman" w:hAnsi="Times New Roman" w:eastAsia="sans-serif" w:cs="Times New Roman"/>
                <w:spacing w:val="-4"/>
                <w:kern w:val="0"/>
                <w:sz w:val="22"/>
                <w:szCs w:val="22"/>
                <w:shd w:val="clear" w:color="auto" w:fill="FFFFFF"/>
                <w:lang w:bidi="ar"/>
              </w:rPr>
              <w:t>13 (7.7%)</w:t>
            </w:r>
          </w:p>
        </w:tc>
      </w:tr>
      <w:tr w14:paraId="123C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4874" w:type="dxa"/>
            <w:tcBorders>
              <w:bottom w:val="single" w:color="auto" w:sz="4" w:space="0"/>
            </w:tcBorders>
          </w:tcPr>
          <w:p w14:paraId="0763D8D1">
            <w:pPr>
              <w:widowControl/>
              <w:spacing w:line="360" w:lineRule="auto"/>
              <w:jc w:val="left"/>
              <w:rPr>
                <w:rFonts w:hint="default" w:ascii="Times New Roman" w:hAnsi="Times New Roman" w:eastAsia="sans-serif" w:cs="Times New Roman"/>
                <w:b/>
                <w:bCs/>
                <w:spacing w:val="-4"/>
                <w:kern w:val="0"/>
                <w:sz w:val="22"/>
                <w:szCs w:val="22"/>
                <w:shd w:val="clear" w:color="auto" w:fill="FFFFFF"/>
                <w:lang w:bidi="ar"/>
              </w:rPr>
            </w:pPr>
            <w:r>
              <w:rPr>
                <w:rFonts w:hint="default" w:ascii="Times New Roman" w:hAnsi="Times New Roman" w:eastAsia="sans-serif" w:cs="Times New Roman"/>
                <w:b/>
                <w:bCs/>
                <w:spacing w:val="-4"/>
                <w:kern w:val="0"/>
                <w:sz w:val="22"/>
                <w:szCs w:val="22"/>
                <w:shd w:val="clear" w:color="auto" w:fill="FFFFFF"/>
                <w:lang w:bidi="ar"/>
              </w:rPr>
              <w:t>Publication year</w:t>
            </w:r>
          </w:p>
          <w:p w14:paraId="1C817397">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2021-2025</w:t>
            </w:r>
          </w:p>
          <w:p w14:paraId="2D3C1B08">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2016-2020</w:t>
            </w:r>
          </w:p>
          <w:p w14:paraId="75E5DE11">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2011-2015</w:t>
            </w:r>
          </w:p>
          <w:p w14:paraId="0E851C0E">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2006-2010</w:t>
            </w:r>
          </w:p>
          <w:p w14:paraId="2391EB87">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2005 and earlier</w:t>
            </w:r>
          </w:p>
        </w:tc>
        <w:tc>
          <w:tcPr>
            <w:tcW w:w="2944" w:type="dxa"/>
            <w:tcBorders>
              <w:bottom w:val="single" w:color="auto" w:sz="4" w:space="0"/>
            </w:tcBorders>
          </w:tcPr>
          <w:p w14:paraId="3005547D">
            <w:pPr>
              <w:widowControl/>
              <w:spacing w:line="360" w:lineRule="auto"/>
              <w:rPr>
                <w:rFonts w:hint="default" w:ascii="Times New Roman" w:hAnsi="Times New Roman" w:eastAsia="sans-serif" w:cs="Times New Roman"/>
                <w:spacing w:val="-4"/>
                <w:kern w:val="0"/>
                <w:sz w:val="22"/>
                <w:szCs w:val="22"/>
                <w:shd w:val="clear" w:color="auto" w:fill="FFFFFF"/>
                <w:lang w:bidi="ar"/>
              </w:rPr>
            </w:pPr>
          </w:p>
          <w:p w14:paraId="57870CF6">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val="en-US" w:eastAsia="zh-CN" w:bidi="ar"/>
              </w:rPr>
              <w:t>86</w:t>
            </w:r>
            <w:r>
              <w:rPr>
                <w:rFonts w:hint="default" w:ascii="Times New Roman" w:hAnsi="Times New Roman" w:eastAsia="宋体" w:cs="Times New Roman"/>
                <w:spacing w:val="-4"/>
                <w:kern w:val="0"/>
                <w:sz w:val="22"/>
                <w:szCs w:val="22"/>
                <w:shd w:val="clear" w:color="auto" w:fill="FFFFFF"/>
                <w:lang w:bidi="ar"/>
              </w:rPr>
              <w:t xml:space="preserve"> (51</w:t>
            </w:r>
            <w:r>
              <w:rPr>
                <w:rFonts w:hint="default" w:ascii="Times New Roman" w:hAnsi="Times New Roman" w:eastAsia="宋体" w:cs="Times New Roman"/>
                <w:spacing w:val="-4"/>
                <w:kern w:val="0"/>
                <w:sz w:val="22"/>
                <w:szCs w:val="22"/>
                <w:shd w:val="clear" w:color="auto" w:fill="FFFFFF"/>
                <w:lang w:val="en-US" w:eastAsia="zh-CN" w:bidi="ar"/>
              </w:rPr>
              <w:t>.2</w:t>
            </w:r>
            <w:r>
              <w:rPr>
                <w:rFonts w:hint="default" w:ascii="Times New Roman" w:hAnsi="Times New Roman" w:eastAsia="宋体" w:cs="Times New Roman"/>
                <w:spacing w:val="-4"/>
                <w:kern w:val="0"/>
                <w:sz w:val="22"/>
                <w:szCs w:val="22"/>
                <w:shd w:val="clear" w:color="auto" w:fill="FFFFFF"/>
                <w:lang w:bidi="ar"/>
              </w:rPr>
              <w:t>%)</w:t>
            </w:r>
          </w:p>
          <w:p w14:paraId="73091321">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val="en-US" w:eastAsia="zh-CN" w:bidi="ar"/>
              </w:rPr>
              <w:t>47</w:t>
            </w:r>
            <w:r>
              <w:rPr>
                <w:rFonts w:hint="default" w:ascii="Times New Roman" w:hAnsi="Times New Roman" w:eastAsia="宋体" w:cs="Times New Roman"/>
                <w:spacing w:val="-4"/>
                <w:kern w:val="0"/>
                <w:sz w:val="22"/>
                <w:szCs w:val="22"/>
                <w:shd w:val="clear" w:color="auto" w:fill="FFFFFF"/>
                <w:lang w:bidi="ar"/>
              </w:rPr>
              <w:t xml:space="preserve"> (2</w:t>
            </w:r>
            <w:r>
              <w:rPr>
                <w:rFonts w:hint="default" w:ascii="Times New Roman" w:hAnsi="Times New Roman" w:eastAsia="宋体" w:cs="Times New Roman"/>
                <w:spacing w:val="-4"/>
                <w:kern w:val="0"/>
                <w:sz w:val="22"/>
                <w:szCs w:val="22"/>
                <w:shd w:val="clear" w:color="auto" w:fill="FFFFFF"/>
                <w:lang w:val="en-US" w:eastAsia="zh-CN" w:bidi="ar"/>
              </w:rPr>
              <w:t>8.0</w:t>
            </w:r>
            <w:r>
              <w:rPr>
                <w:rFonts w:hint="default" w:ascii="Times New Roman" w:hAnsi="Times New Roman" w:eastAsia="宋体" w:cs="Times New Roman"/>
                <w:spacing w:val="-4"/>
                <w:kern w:val="0"/>
                <w:sz w:val="22"/>
                <w:szCs w:val="22"/>
                <w:shd w:val="clear" w:color="auto" w:fill="FFFFFF"/>
                <w:lang w:bidi="ar"/>
              </w:rPr>
              <w:t>%)</w:t>
            </w:r>
          </w:p>
          <w:p w14:paraId="3E2FCA0E">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2</w:t>
            </w:r>
            <w:r>
              <w:rPr>
                <w:rFonts w:hint="default" w:ascii="Times New Roman" w:hAnsi="Times New Roman" w:eastAsia="宋体" w:cs="Times New Roman"/>
                <w:spacing w:val="-4"/>
                <w:kern w:val="0"/>
                <w:sz w:val="22"/>
                <w:szCs w:val="22"/>
                <w:shd w:val="clear" w:color="auto" w:fill="FFFFFF"/>
                <w:lang w:val="en-US" w:eastAsia="zh-CN" w:bidi="ar"/>
              </w:rPr>
              <w:t>5</w:t>
            </w:r>
            <w:r>
              <w:rPr>
                <w:rFonts w:hint="default" w:ascii="Times New Roman" w:hAnsi="Times New Roman" w:eastAsia="宋体" w:cs="Times New Roman"/>
                <w:spacing w:val="-4"/>
                <w:kern w:val="0"/>
                <w:sz w:val="22"/>
                <w:szCs w:val="22"/>
                <w:shd w:val="clear" w:color="auto" w:fill="FFFFFF"/>
                <w:lang w:bidi="ar"/>
              </w:rPr>
              <w:t xml:space="preserve"> (1</w:t>
            </w:r>
            <w:r>
              <w:rPr>
                <w:rFonts w:hint="default" w:ascii="Times New Roman" w:hAnsi="Times New Roman" w:eastAsia="宋体" w:cs="Times New Roman"/>
                <w:spacing w:val="-4"/>
                <w:kern w:val="0"/>
                <w:sz w:val="22"/>
                <w:szCs w:val="22"/>
                <w:shd w:val="clear" w:color="auto" w:fill="FFFFFF"/>
                <w:lang w:val="en-US" w:eastAsia="zh-CN" w:bidi="ar"/>
              </w:rPr>
              <w:t>4.9</w:t>
            </w:r>
            <w:r>
              <w:rPr>
                <w:rFonts w:hint="default" w:ascii="Times New Roman" w:hAnsi="Times New Roman" w:eastAsia="宋体" w:cs="Times New Roman"/>
                <w:spacing w:val="-4"/>
                <w:kern w:val="0"/>
                <w:sz w:val="22"/>
                <w:szCs w:val="22"/>
                <w:shd w:val="clear" w:color="auto" w:fill="FFFFFF"/>
                <w:lang w:bidi="ar"/>
              </w:rPr>
              <w:t>%)</w:t>
            </w:r>
          </w:p>
          <w:p w14:paraId="4A6758AC">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val="en-US" w:eastAsia="zh-CN" w:bidi="ar"/>
              </w:rPr>
              <w:t>8</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宋体" w:cs="Times New Roman"/>
                <w:spacing w:val="-4"/>
                <w:kern w:val="0"/>
                <w:sz w:val="22"/>
                <w:szCs w:val="22"/>
                <w:shd w:val="clear" w:color="auto" w:fill="FFFFFF"/>
                <w:lang w:val="en-US" w:eastAsia="zh-CN" w:bidi="ar"/>
              </w:rPr>
              <w:t>4.8</w:t>
            </w:r>
            <w:r>
              <w:rPr>
                <w:rFonts w:hint="default" w:ascii="Times New Roman" w:hAnsi="Times New Roman" w:eastAsia="宋体" w:cs="Times New Roman"/>
                <w:spacing w:val="-4"/>
                <w:kern w:val="0"/>
                <w:sz w:val="22"/>
                <w:szCs w:val="22"/>
                <w:shd w:val="clear" w:color="auto" w:fill="FFFFFF"/>
                <w:lang w:bidi="ar"/>
              </w:rPr>
              <w:t>%)</w:t>
            </w:r>
          </w:p>
          <w:p w14:paraId="79C1934D">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2</w:t>
            </w:r>
            <w:r>
              <w:rPr>
                <w:rFonts w:hint="default" w:ascii="Times New Roman" w:hAnsi="Times New Roman" w:eastAsia="宋体" w:cs="Times New Roman"/>
                <w:spacing w:val="-4"/>
                <w:kern w:val="0"/>
                <w:sz w:val="22"/>
                <w:szCs w:val="22"/>
                <w:shd w:val="clear" w:color="auto" w:fill="FFFFFF"/>
                <w:lang w:bidi="ar"/>
              </w:rPr>
              <w:t xml:space="preserve"> (1</w:t>
            </w:r>
            <w:r>
              <w:rPr>
                <w:rFonts w:hint="default" w:ascii="Times New Roman" w:hAnsi="Times New Roman" w:eastAsia="宋体" w:cs="Times New Roman"/>
                <w:spacing w:val="-4"/>
                <w:kern w:val="0"/>
                <w:sz w:val="22"/>
                <w:szCs w:val="22"/>
                <w:shd w:val="clear" w:color="auto" w:fill="FFFFFF"/>
                <w:lang w:val="en-US" w:eastAsia="zh-CN" w:bidi="ar"/>
              </w:rPr>
              <w:t>.2</w:t>
            </w:r>
            <w:r>
              <w:rPr>
                <w:rFonts w:hint="default" w:ascii="Times New Roman" w:hAnsi="Times New Roman" w:eastAsia="宋体" w:cs="Times New Roman"/>
                <w:spacing w:val="-4"/>
                <w:kern w:val="0"/>
                <w:sz w:val="22"/>
                <w:szCs w:val="22"/>
                <w:shd w:val="clear" w:color="auto" w:fill="FFFFFF"/>
                <w:lang w:bidi="ar"/>
              </w:rPr>
              <w:t>%)</w:t>
            </w:r>
          </w:p>
        </w:tc>
      </w:tr>
      <w:tr w14:paraId="3EDB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4874" w:type="dxa"/>
            <w:tcBorders>
              <w:top w:val="single" w:color="auto" w:sz="4" w:space="0"/>
              <w:bottom w:val="single" w:color="auto" w:sz="4" w:space="0"/>
            </w:tcBorders>
          </w:tcPr>
          <w:p w14:paraId="44C9B671">
            <w:pPr>
              <w:widowControl/>
              <w:spacing w:line="360" w:lineRule="auto"/>
              <w:jc w:val="left"/>
              <w:rPr>
                <w:rFonts w:hint="default" w:ascii="Times New Roman" w:hAnsi="Times New Roman" w:cs="Times New Roman"/>
                <w:b/>
                <w:bCs/>
                <w:spacing w:val="-4"/>
                <w:kern w:val="0"/>
                <w:sz w:val="22"/>
                <w:szCs w:val="22"/>
                <w:shd w:val="clear" w:color="auto" w:fill="FFFFFF"/>
                <w:lang w:bidi="ar"/>
              </w:rPr>
            </w:pPr>
            <w:r>
              <w:rPr>
                <w:rFonts w:hint="default" w:ascii="Times New Roman" w:hAnsi="Times New Roman" w:eastAsia="宋体" w:cs="Times New Roman"/>
                <w:b/>
                <w:bCs/>
                <w:spacing w:val="-4"/>
                <w:kern w:val="0"/>
                <w:sz w:val="22"/>
                <w:szCs w:val="22"/>
                <w:shd w:val="clear" w:color="auto" w:fill="FFFFFF"/>
                <w:lang w:bidi="ar"/>
              </w:rPr>
              <w:t>P</w:t>
            </w:r>
            <w:r>
              <w:rPr>
                <w:rFonts w:hint="default" w:ascii="Times New Roman" w:hAnsi="Times New Roman" w:eastAsia="sans-serif" w:cs="Times New Roman"/>
                <w:b/>
                <w:bCs/>
                <w:spacing w:val="-4"/>
                <w:kern w:val="0"/>
                <w:sz w:val="22"/>
                <w:szCs w:val="22"/>
                <w:shd w:val="clear" w:color="auto" w:fill="FFFFFF"/>
                <w:lang w:bidi="ar"/>
              </w:rPr>
              <w:t>olicy documents institution</w:t>
            </w:r>
          </w:p>
          <w:p w14:paraId="0968EF83">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National</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Health</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Commission</w:t>
            </w:r>
          </w:p>
          <w:p w14:paraId="19B91BA1">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Counsellors’</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Office</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the State</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Council</w:t>
            </w:r>
          </w:p>
          <w:p w14:paraId="6D65BB50">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 of Science and Technology</w:t>
            </w:r>
          </w:p>
          <w:p w14:paraId="72CFE55E">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 of Agriculture and Rural Affairs</w:t>
            </w:r>
          </w:p>
          <w:p w14:paraId="2C9F4A59">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Ecology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and</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Environment</w:t>
            </w:r>
          </w:p>
          <w:p w14:paraId="75F41444">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Education</w:t>
            </w:r>
          </w:p>
          <w:p w14:paraId="2FBA7009">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Foreign</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Affairs</w:t>
            </w:r>
          </w:p>
          <w:p w14:paraId="1E68E283">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China</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Meteorological</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Administration</w:t>
            </w:r>
          </w:p>
          <w:p w14:paraId="38C67BE1">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Chinese</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Academy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Sciences</w:t>
            </w:r>
          </w:p>
          <w:p w14:paraId="318B3ABC">
            <w:pPr>
              <w:widowControl/>
              <w:spacing w:line="360" w:lineRule="auto"/>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 xml:space="preserve">  Ministry</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of Finance</w:t>
            </w:r>
          </w:p>
        </w:tc>
        <w:tc>
          <w:tcPr>
            <w:tcW w:w="2944" w:type="dxa"/>
            <w:tcBorders>
              <w:top w:val="single" w:color="auto" w:sz="4" w:space="0"/>
              <w:left w:val="nil"/>
              <w:bottom w:val="single" w:color="auto" w:sz="4" w:space="0"/>
            </w:tcBorders>
          </w:tcPr>
          <w:p w14:paraId="45590986">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p>
          <w:p w14:paraId="03CF419C">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bidi="ar"/>
              </w:rPr>
              <w:t>28 (26.7%)</w:t>
            </w:r>
          </w:p>
          <w:p w14:paraId="4114AEAD">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bidi="ar"/>
              </w:rPr>
              <w:t>8 (7.6%)</w:t>
            </w:r>
          </w:p>
          <w:p w14:paraId="517DF4BE">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14 (13.3%)</w:t>
            </w:r>
          </w:p>
          <w:p w14:paraId="68230B51">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6 (5.7%)</w:t>
            </w:r>
          </w:p>
          <w:p w14:paraId="23760AA7">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bidi="ar"/>
              </w:rPr>
              <w:t>9 (8.6%)</w:t>
            </w:r>
          </w:p>
          <w:p w14:paraId="0283758C">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7 (6.7%)</w:t>
            </w:r>
          </w:p>
          <w:p w14:paraId="08413D47">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bidi="ar"/>
              </w:rPr>
              <w:t>3 (2.9%)</w:t>
            </w:r>
          </w:p>
          <w:p w14:paraId="49D86FDD">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宋体" w:cs="Times New Roman"/>
                <w:spacing w:val="-4"/>
                <w:kern w:val="0"/>
                <w:sz w:val="22"/>
                <w:szCs w:val="22"/>
                <w:shd w:val="clear" w:color="auto" w:fill="FFFFFF"/>
                <w:lang w:bidi="ar"/>
              </w:rPr>
              <w:t>3 (2.9%)</w:t>
            </w:r>
          </w:p>
          <w:p w14:paraId="0F483C0F">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2 (1.9%)</w:t>
            </w:r>
          </w:p>
          <w:p w14:paraId="6134BA47">
            <w:pPr>
              <w:widowControl/>
              <w:spacing w:line="360" w:lineRule="auto"/>
              <w:jc w:val="center"/>
              <w:rPr>
                <w:rFonts w:hint="default" w:ascii="Times New Roman" w:hAnsi="Times New Roman" w:eastAsia="宋体"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1</w:t>
            </w:r>
            <w:r>
              <w:rPr>
                <w:rFonts w:hint="default" w:ascii="Times New Roman" w:hAnsi="Times New Roman" w:eastAsia="宋体" w:cs="Times New Roman"/>
                <w:spacing w:val="-4"/>
                <w:kern w:val="0"/>
                <w:sz w:val="22"/>
                <w:szCs w:val="22"/>
                <w:shd w:val="clear" w:color="auto" w:fill="FFFFFF"/>
                <w:lang w:bidi="ar"/>
              </w:rPr>
              <w:t xml:space="preserve"> (</w:t>
            </w:r>
            <w:r>
              <w:rPr>
                <w:rFonts w:hint="default" w:ascii="Times New Roman" w:hAnsi="Times New Roman" w:eastAsia="sans-serif" w:cs="Times New Roman"/>
                <w:spacing w:val="-4"/>
                <w:kern w:val="0"/>
                <w:sz w:val="22"/>
                <w:szCs w:val="22"/>
                <w:shd w:val="clear" w:color="auto" w:fill="FFFFFF"/>
                <w:lang w:bidi="ar"/>
              </w:rPr>
              <w:t>1</w:t>
            </w:r>
            <w:r>
              <w:rPr>
                <w:rFonts w:hint="default" w:ascii="Times New Roman" w:hAnsi="Times New Roman" w:eastAsia="宋体" w:cs="Times New Roman"/>
                <w:spacing w:val="-4"/>
                <w:kern w:val="0"/>
                <w:sz w:val="22"/>
                <w:szCs w:val="22"/>
                <w:shd w:val="clear" w:color="auto" w:fill="FFFFFF"/>
                <w:lang w:val="en-US" w:eastAsia="zh-CN" w:bidi="ar"/>
              </w:rPr>
              <w:t>.0</w:t>
            </w:r>
            <w:r>
              <w:rPr>
                <w:rFonts w:hint="default" w:ascii="Times New Roman" w:hAnsi="Times New Roman" w:eastAsia="宋体" w:cs="Times New Roman"/>
                <w:spacing w:val="-4"/>
                <w:kern w:val="0"/>
                <w:sz w:val="22"/>
                <w:szCs w:val="22"/>
                <w:shd w:val="clear" w:color="auto" w:fill="FFFFFF"/>
                <w:lang w:bidi="ar"/>
              </w:rPr>
              <w:t>%)</w:t>
            </w:r>
          </w:p>
        </w:tc>
      </w:tr>
      <w:tr w14:paraId="77372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874" w:type="dxa"/>
            <w:tcBorders>
              <w:top w:val="single" w:color="auto" w:sz="4" w:space="0"/>
              <w:bottom w:val="single" w:color="auto" w:sz="4" w:space="0"/>
            </w:tcBorders>
          </w:tcPr>
          <w:p w14:paraId="1E5288B6">
            <w:pPr>
              <w:widowControl/>
              <w:spacing w:line="360" w:lineRule="auto"/>
              <w:ind w:firstLine="212" w:firstLineChars="100"/>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National Development and Reform Commission</w:t>
            </w:r>
          </w:p>
        </w:tc>
        <w:tc>
          <w:tcPr>
            <w:tcW w:w="2944" w:type="dxa"/>
            <w:tcBorders>
              <w:top w:val="single" w:color="auto" w:sz="4" w:space="0"/>
              <w:left w:val="nil"/>
              <w:bottom w:val="single" w:color="auto" w:sz="4" w:space="0"/>
            </w:tcBorders>
          </w:tcPr>
          <w:p w14:paraId="55B04403">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8 (7.6%)</w:t>
            </w:r>
          </w:p>
        </w:tc>
      </w:tr>
      <w:tr w14:paraId="3FC8F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4874" w:type="dxa"/>
            <w:tcBorders>
              <w:top w:val="single" w:color="auto" w:sz="4" w:space="0"/>
              <w:bottom w:val="single" w:color="auto" w:sz="4" w:space="0"/>
            </w:tcBorders>
          </w:tcPr>
          <w:p w14:paraId="2641C5E2">
            <w:pPr>
              <w:widowControl/>
              <w:spacing w:line="360" w:lineRule="auto"/>
              <w:ind w:firstLine="212" w:firstLineChars="100"/>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Justice</w:t>
            </w:r>
          </w:p>
        </w:tc>
        <w:tc>
          <w:tcPr>
            <w:tcW w:w="2944" w:type="dxa"/>
            <w:tcBorders>
              <w:top w:val="single" w:color="auto" w:sz="4" w:space="0"/>
              <w:left w:val="nil"/>
              <w:bottom w:val="single" w:color="auto" w:sz="4" w:space="0"/>
            </w:tcBorders>
          </w:tcPr>
          <w:p w14:paraId="5A627A45">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10 (9.5%)</w:t>
            </w:r>
          </w:p>
        </w:tc>
      </w:tr>
      <w:tr w14:paraId="54F7A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4874" w:type="dxa"/>
            <w:tcBorders>
              <w:top w:val="single" w:color="auto" w:sz="4" w:space="0"/>
              <w:bottom w:val="single" w:color="auto" w:sz="4" w:space="0"/>
            </w:tcBorders>
          </w:tcPr>
          <w:p w14:paraId="27570BE0">
            <w:pPr>
              <w:widowControl/>
              <w:spacing w:line="360" w:lineRule="auto"/>
              <w:ind w:firstLine="212" w:firstLineChars="100"/>
              <w:jc w:val="left"/>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Ministry of Human Resources and Social Security</w:t>
            </w:r>
          </w:p>
        </w:tc>
        <w:tc>
          <w:tcPr>
            <w:tcW w:w="2944" w:type="dxa"/>
            <w:tcBorders>
              <w:top w:val="single" w:color="auto" w:sz="4" w:space="0"/>
              <w:left w:val="nil"/>
              <w:bottom w:val="single" w:color="auto" w:sz="4" w:space="0"/>
            </w:tcBorders>
          </w:tcPr>
          <w:p w14:paraId="7B291E5C">
            <w:pPr>
              <w:widowControl/>
              <w:spacing w:line="360" w:lineRule="auto"/>
              <w:jc w:val="center"/>
              <w:rPr>
                <w:rFonts w:hint="default" w:ascii="Times New Roman" w:hAnsi="Times New Roman" w:eastAsia="sans-serif" w:cs="Times New Roman"/>
                <w:spacing w:val="-4"/>
                <w:kern w:val="0"/>
                <w:sz w:val="22"/>
                <w:szCs w:val="22"/>
                <w:shd w:val="clear" w:color="auto" w:fill="FFFFFF"/>
                <w:lang w:bidi="ar"/>
              </w:rPr>
            </w:pPr>
            <w:r>
              <w:rPr>
                <w:rFonts w:hint="default" w:ascii="Times New Roman" w:hAnsi="Times New Roman" w:eastAsia="sans-serif" w:cs="Times New Roman"/>
                <w:spacing w:val="-4"/>
                <w:kern w:val="0"/>
                <w:sz w:val="22"/>
                <w:szCs w:val="22"/>
                <w:shd w:val="clear" w:color="auto" w:fill="FFFFFF"/>
                <w:lang w:bidi="ar"/>
              </w:rPr>
              <w:t>6 (5.7%)</w:t>
            </w:r>
          </w:p>
        </w:tc>
      </w:tr>
    </w:tbl>
    <w:p w14:paraId="12FB8CEE">
      <w:pPr>
        <w:pStyle w:val="7"/>
        <w:widowControl/>
        <w:spacing w:beforeAutospacing="0" w:afterAutospacing="0"/>
        <w:rPr>
          <w:rFonts w:hint="default" w:ascii="Times New Roman" w:hAnsi="Times New Roman" w:eastAsia="微软雅黑" w:cs="Times New Roman"/>
          <w:sz w:val="22"/>
          <w:szCs w:val="22"/>
          <w:lang w:val="en-GB"/>
        </w:rPr>
      </w:pPr>
    </w:p>
    <w:p w14:paraId="1E39B1A9">
      <w:pPr>
        <w:rPr>
          <w:rFonts w:hint="default" w:ascii="Times New Roman" w:hAnsi="Times New Roman" w:eastAsia="微软雅黑" w:cs="Times New Roman"/>
          <w:sz w:val="22"/>
          <w:szCs w:val="22"/>
        </w:rPr>
      </w:pPr>
    </w:p>
    <w:p w14:paraId="26616076">
      <w:pPr>
        <w:rPr>
          <w:rFonts w:hint="default" w:ascii="Times New Roman" w:hAnsi="Times New Roman" w:cs="Times New Roman"/>
          <w:sz w:val="22"/>
          <w:szCs w:val="22"/>
        </w:rPr>
      </w:pPr>
    </w:p>
    <w:p w14:paraId="00BE4DF6">
      <w:pPr>
        <w:rPr>
          <w:rFonts w:hint="default" w:ascii="Times New Roman" w:hAnsi="Times New Roman" w:cs="Times New Roman"/>
          <w:sz w:val="22"/>
          <w:szCs w:val="22"/>
        </w:rPr>
      </w:pPr>
    </w:p>
    <w:p w14:paraId="1FC18799">
      <w:pPr>
        <w:rPr>
          <w:rFonts w:hint="default" w:ascii="Times New Roman" w:hAnsi="Times New Roman" w:cs="Times New Roman"/>
          <w:sz w:val="22"/>
          <w:szCs w:val="22"/>
        </w:rPr>
      </w:pPr>
    </w:p>
    <w:p w14:paraId="5E7BB905">
      <w:pPr>
        <w:rPr>
          <w:rFonts w:hint="default" w:ascii="Times New Roman" w:hAnsi="Times New Roman" w:cs="Times New Roman"/>
          <w:sz w:val="22"/>
          <w:szCs w:val="22"/>
        </w:rPr>
      </w:pPr>
    </w:p>
    <w:p w14:paraId="4B75E240">
      <w:pPr>
        <w:rPr>
          <w:rFonts w:hint="default" w:ascii="Times New Roman" w:hAnsi="Times New Roman" w:cs="Times New Roman"/>
          <w:sz w:val="22"/>
          <w:szCs w:val="22"/>
        </w:rPr>
      </w:pPr>
    </w:p>
    <w:p w14:paraId="2B2C7120">
      <w:pPr>
        <w:rPr>
          <w:rFonts w:hint="default" w:ascii="Times New Roman" w:hAnsi="Times New Roman" w:cs="Times New Roman"/>
          <w:sz w:val="22"/>
          <w:szCs w:val="22"/>
        </w:rPr>
      </w:pPr>
    </w:p>
    <w:p w14:paraId="1D0964E1">
      <w:pPr>
        <w:rPr>
          <w:rStyle w:val="11"/>
          <w:rFonts w:hint="default" w:ascii="Times New Roman" w:hAnsi="Times New Roman" w:eastAsia="宋体" w:cs="Times New Roman"/>
          <w:sz w:val="22"/>
          <w:szCs w:val="22"/>
        </w:rPr>
      </w:pPr>
    </w:p>
    <w:p w14:paraId="63CB4227">
      <w:pPr>
        <w:rPr>
          <w:rStyle w:val="11"/>
          <w:rFonts w:hint="default" w:ascii="Times New Roman" w:hAnsi="Times New Roman" w:eastAsia="宋体" w:cs="Times New Roman"/>
          <w:sz w:val="22"/>
          <w:szCs w:val="22"/>
        </w:rPr>
      </w:pPr>
    </w:p>
    <w:p w14:paraId="0CF7B490">
      <w:pPr>
        <w:rPr>
          <w:rStyle w:val="11"/>
          <w:rFonts w:hint="default" w:ascii="Times New Roman" w:hAnsi="Times New Roman" w:eastAsia="宋体" w:cs="Times New Roman"/>
          <w:sz w:val="22"/>
          <w:szCs w:val="22"/>
        </w:rPr>
      </w:pPr>
    </w:p>
    <w:p w14:paraId="69449F7D">
      <w:pPr>
        <w:rPr>
          <w:rStyle w:val="11"/>
          <w:rFonts w:hint="default" w:ascii="Times New Roman" w:hAnsi="Times New Roman" w:eastAsia="宋体" w:cs="Times New Roman"/>
          <w:sz w:val="22"/>
          <w:szCs w:val="22"/>
        </w:rPr>
      </w:pPr>
    </w:p>
    <w:p w14:paraId="75DE52F7">
      <w:pPr>
        <w:rPr>
          <w:rStyle w:val="11"/>
          <w:rFonts w:hint="default" w:ascii="Times New Roman" w:hAnsi="Times New Roman" w:eastAsia="宋体" w:cs="Times New Roman"/>
          <w:sz w:val="22"/>
          <w:szCs w:val="22"/>
        </w:rPr>
      </w:pPr>
    </w:p>
    <w:p w14:paraId="72B64560">
      <w:pPr>
        <w:ind w:firstLine="4196" w:firstLineChars="1900"/>
        <w:rPr>
          <w:rFonts w:hint="default" w:ascii="Times New Roman" w:hAnsi="Times New Roman" w:eastAsia="宋体" w:cs="Times New Roman"/>
          <w:sz w:val="22"/>
          <w:szCs w:val="22"/>
        </w:rPr>
      </w:pPr>
      <w:r>
        <w:rPr>
          <w:rStyle w:val="11"/>
          <w:rFonts w:hint="default" w:ascii="Times New Roman" w:hAnsi="Times New Roman" w:eastAsia="宋体" w:cs="Times New Roman"/>
          <w:sz w:val="22"/>
          <w:szCs w:val="22"/>
        </w:rPr>
        <w:t>Note:</w:t>
      </w:r>
      <w:r>
        <w:rPr>
          <w:rFonts w:hint="default" w:ascii="Times New Roman" w:hAnsi="Times New Roman" w:eastAsia="宋体" w:cs="Times New Roman"/>
          <w:sz w:val="22"/>
          <w:szCs w:val="22"/>
        </w:rPr>
        <w:t xml:space="preserve"> Percentages for evidence type, language and publication year are based on all </w:t>
      </w:r>
    </w:p>
    <w:p w14:paraId="2EAA70ED">
      <w:pPr>
        <w:ind w:firstLine="4180" w:firstLineChars="190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 xml:space="preserve">included records (n = 168). Percentages for policy document institutions are based on policy </w:t>
      </w:r>
    </w:p>
    <w:p w14:paraId="62FCA6D9">
      <w:pPr>
        <w:ind w:firstLine="4180" w:firstLineChars="1900"/>
        <w:rPr>
          <w:rFonts w:hint="default" w:ascii="Times New Roman" w:hAnsi="Times New Roman" w:cs="Times New Roman"/>
          <w:sz w:val="22"/>
          <w:szCs w:val="22"/>
        </w:rPr>
      </w:pPr>
      <w:r>
        <w:rPr>
          <w:rFonts w:hint="default" w:ascii="Times New Roman" w:hAnsi="Times New Roman" w:eastAsia="宋体" w:cs="Times New Roman"/>
          <w:sz w:val="22"/>
          <w:szCs w:val="22"/>
        </w:rPr>
        <w:t>documents only (n = 105).</w:t>
      </w:r>
    </w:p>
    <w:p w14:paraId="1199C4F3">
      <w:pPr>
        <w:rPr>
          <w:rFonts w:hint="default" w:ascii="Times New Roman" w:hAnsi="Times New Roman" w:cs="Times New Roman"/>
          <w:sz w:val="22"/>
          <w:szCs w:val="22"/>
        </w:rPr>
      </w:pPr>
    </w:p>
    <w:p w14:paraId="53256A41">
      <w:pPr>
        <w:rPr>
          <w:rFonts w:hint="default" w:ascii="Times New Roman" w:hAnsi="Times New Roman" w:cs="Times New Roman"/>
          <w:sz w:val="22"/>
          <w:szCs w:val="22"/>
        </w:rPr>
      </w:pPr>
    </w:p>
    <w:p w14:paraId="5D6A207E">
      <w:pPr>
        <w:rPr>
          <w:rFonts w:hint="default" w:ascii="Times New Roman" w:hAnsi="Times New Roman" w:cs="Times New Roman"/>
          <w:sz w:val="22"/>
          <w:szCs w:val="22"/>
        </w:rPr>
      </w:pPr>
    </w:p>
    <w:p w14:paraId="4B6D7CA8">
      <w:pPr>
        <w:rPr>
          <w:rFonts w:hint="default" w:ascii="Times New Roman" w:hAnsi="Times New Roman" w:cs="Times New Roman"/>
          <w:sz w:val="22"/>
          <w:szCs w:val="22"/>
        </w:rPr>
      </w:pPr>
    </w:p>
    <w:p w14:paraId="42540EAD">
      <w:pPr>
        <w:rPr>
          <w:rFonts w:hint="default" w:ascii="Times New Roman" w:hAnsi="Times New Roman" w:cs="Times New Roman"/>
          <w:sz w:val="22"/>
          <w:szCs w:val="22"/>
        </w:rPr>
      </w:pPr>
    </w:p>
    <w:p w14:paraId="2DC3CDED">
      <w:pPr>
        <w:tabs>
          <w:tab w:val="left" w:pos="11336"/>
        </w:tabs>
        <w:jc w:val="left"/>
        <w:rPr>
          <w:rFonts w:hint="default" w:ascii="Times New Roman" w:hAnsi="Times New Roman" w:cs="Times New Roman"/>
          <w:sz w:val="22"/>
          <w:szCs w:val="22"/>
        </w:rPr>
      </w:pPr>
      <w:r>
        <w:rPr>
          <w:rFonts w:hint="default" w:ascii="Times New Roman" w:hAnsi="Times New Roman" w:cs="Times New Roman"/>
          <w:sz w:val="22"/>
          <w:szCs w:val="22"/>
        </w:rPr>
        <w:tab/>
      </w:r>
    </w:p>
    <w:p w14:paraId="4BBFD716">
      <w:pPr>
        <w:tabs>
          <w:tab w:val="left" w:pos="11336"/>
        </w:tabs>
        <w:jc w:val="left"/>
        <w:rPr>
          <w:rFonts w:hint="default" w:ascii="Times New Roman" w:hAnsi="Times New Roman" w:cs="Times New Roman"/>
          <w:sz w:val="22"/>
          <w:szCs w:val="22"/>
        </w:rPr>
      </w:pPr>
    </w:p>
    <w:p w14:paraId="373EDF62">
      <w:pPr>
        <w:tabs>
          <w:tab w:val="left" w:pos="11336"/>
        </w:tabs>
        <w:jc w:val="left"/>
        <w:rPr>
          <w:rFonts w:hint="default" w:ascii="Times New Roman" w:hAnsi="Times New Roman" w:eastAsia="宋体" w:cs="Times New Roman"/>
          <w:color w:val="1B1B1B"/>
          <w:sz w:val="22"/>
          <w:szCs w:val="22"/>
          <w:shd w:val="clear" w:color="auto" w:fill="FFFFFF"/>
        </w:rPr>
      </w:pPr>
    </w:p>
    <w:sectPr>
      <w:pgSz w:w="16838" w:h="11906" w:orient="landscape"/>
      <w:pgMar w:top="567" w:right="283" w:bottom="567" w:left="2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A3EB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4A08E">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14A08E">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072F20"/>
    <w:multiLevelType w:val="singleLevel"/>
    <w:tmpl w:val="BE072F20"/>
    <w:lvl w:ilvl="0" w:tentative="0">
      <w:start w:val="1"/>
      <w:numFmt w:val="decimal"/>
      <w:suff w:val="space"/>
      <w:lvlText w:val="(%1)"/>
      <w:lvlJc w:val="left"/>
      <w:rPr>
        <w:rFonts w:hint="default" w:ascii="Times New Roman" w:hAnsi="Times New Roman" w:cs="Times New Roman"/>
        <w:b w:val="0"/>
        <w:bCs w:val="0"/>
      </w:rPr>
    </w:lvl>
  </w:abstractNum>
  <w:abstractNum w:abstractNumId="1">
    <w:nsid w:val="60032E39"/>
    <w:multiLevelType w:val="singleLevel"/>
    <w:tmpl w:val="60032E39"/>
    <w:lvl w:ilvl="0" w:tentative="0">
      <w:start w:val="1"/>
      <w:numFmt w:val="decimal"/>
      <w:suff w:val="space"/>
      <w:lvlText w:val="(%1)"/>
      <w:lvlJc w:val="left"/>
      <w:rPr>
        <w:rFonts w:hint="default"/>
        <w:b w:val="0"/>
        <w:bCs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D7D37"/>
    <w:rsid w:val="0019714B"/>
    <w:rsid w:val="001F4911"/>
    <w:rsid w:val="002E33C4"/>
    <w:rsid w:val="00590F8A"/>
    <w:rsid w:val="00707681"/>
    <w:rsid w:val="007619E4"/>
    <w:rsid w:val="00C24C4D"/>
    <w:rsid w:val="00F60C78"/>
    <w:rsid w:val="00FB4962"/>
    <w:rsid w:val="01676E93"/>
    <w:rsid w:val="019B1886"/>
    <w:rsid w:val="02493090"/>
    <w:rsid w:val="02573B41"/>
    <w:rsid w:val="028E6956"/>
    <w:rsid w:val="02F94AB6"/>
    <w:rsid w:val="033E696D"/>
    <w:rsid w:val="03493372"/>
    <w:rsid w:val="03630182"/>
    <w:rsid w:val="03975670"/>
    <w:rsid w:val="03B15391"/>
    <w:rsid w:val="03E47515"/>
    <w:rsid w:val="04742728"/>
    <w:rsid w:val="04A92035"/>
    <w:rsid w:val="05BF3D7B"/>
    <w:rsid w:val="05E277B3"/>
    <w:rsid w:val="064A387B"/>
    <w:rsid w:val="06913258"/>
    <w:rsid w:val="06D33870"/>
    <w:rsid w:val="06DF2215"/>
    <w:rsid w:val="070B300A"/>
    <w:rsid w:val="07504EC1"/>
    <w:rsid w:val="07CF3E52"/>
    <w:rsid w:val="0808754A"/>
    <w:rsid w:val="0809043D"/>
    <w:rsid w:val="080A4EFA"/>
    <w:rsid w:val="08167EB9"/>
    <w:rsid w:val="09075A53"/>
    <w:rsid w:val="090B72F2"/>
    <w:rsid w:val="09290516"/>
    <w:rsid w:val="092A3D98"/>
    <w:rsid w:val="094B5940"/>
    <w:rsid w:val="09E518F1"/>
    <w:rsid w:val="0A1A6F23"/>
    <w:rsid w:val="0A33204C"/>
    <w:rsid w:val="0A391C3C"/>
    <w:rsid w:val="0A47022C"/>
    <w:rsid w:val="0A4E4DF4"/>
    <w:rsid w:val="0AE4604C"/>
    <w:rsid w:val="0B156DBB"/>
    <w:rsid w:val="0B3C7C36"/>
    <w:rsid w:val="0B6B55CC"/>
    <w:rsid w:val="0B9F6D5F"/>
    <w:rsid w:val="0BC10559"/>
    <w:rsid w:val="0BDA2FAB"/>
    <w:rsid w:val="0BEF40B1"/>
    <w:rsid w:val="0D63594E"/>
    <w:rsid w:val="0D7A4A46"/>
    <w:rsid w:val="0DB241E0"/>
    <w:rsid w:val="0E415563"/>
    <w:rsid w:val="0EAC15F9"/>
    <w:rsid w:val="0ECE5049"/>
    <w:rsid w:val="0F0547E3"/>
    <w:rsid w:val="0F152C78"/>
    <w:rsid w:val="0F8F1193"/>
    <w:rsid w:val="1004758E"/>
    <w:rsid w:val="105921EF"/>
    <w:rsid w:val="1097451A"/>
    <w:rsid w:val="10DD37A0"/>
    <w:rsid w:val="11163ADF"/>
    <w:rsid w:val="1118788E"/>
    <w:rsid w:val="115D4462"/>
    <w:rsid w:val="11F72B09"/>
    <w:rsid w:val="123B7E78"/>
    <w:rsid w:val="126A5144"/>
    <w:rsid w:val="12DE7825"/>
    <w:rsid w:val="12F02E1F"/>
    <w:rsid w:val="135D699C"/>
    <w:rsid w:val="138403CC"/>
    <w:rsid w:val="13D42198"/>
    <w:rsid w:val="140B464A"/>
    <w:rsid w:val="141636D8"/>
    <w:rsid w:val="145C30F7"/>
    <w:rsid w:val="149312D1"/>
    <w:rsid w:val="14CE474B"/>
    <w:rsid w:val="15263BEF"/>
    <w:rsid w:val="15BD1974"/>
    <w:rsid w:val="15CF515F"/>
    <w:rsid w:val="15F70B98"/>
    <w:rsid w:val="16104199"/>
    <w:rsid w:val="16135A37"/>
    <w:rsid w:val="16781D3E"/>
    <w:rsid w:val="16B334CA"/>
    <w:rsid w:val="16F615E1"/>
    <w:rsid w:val="17051824"/>
    <w:rsid w:val="17237EFC"/>
    <w:rsid w:val="17C15C05"/>
    <w:rsid w:val="17D336D0"/>
    <w:rsid w:val="180424E4"/>
    <w:rsid w:val="18707171"/>
    <w:rsid w:val="187C58A8"/>
    <w:rsid w:val="18B2061D"/>
    <w:rsid w:val="18B51028"/>
    <w:rsid w:val="18B6025C"/>
    <w:rsid w:val="192275AD"/>
    <w:rsid w:val="19413836"/>
    <w:rsid w:val="19DB1778"/>
    <w:rsid w:val="19EC0A79"/>
    <w:rsid w:val="1A402B73"/>
    <w:rsid w:val="1A8567D8"/>
    <w:rsid w:val="1AB41E66"/>
    <w:rsid w:val="1AE856E5"/>
    <w:rsid w:val="1B1F4E7E"/>
    <w:rsid w:val="1B1F6C2C"/>
    <w:rsid w:val="1B414DF5"/>
    <w:rsid w:val="1B8371BB"/>
    <w:rsid w:val="1BC25A79"/>
    <w:rsid w:val="1BCA2C1F"/>
    <w:rsid w:val="1C0876C1"/>
    <w:rsid w:val="1C0C5403"/>
    <w:rsid w:val="1C534DE0"/>
    <w:rsid w:val="1CCB706C"/>
    <w:rsid w:val="1DDB1C88"/>
    <w:rsid w:val="1E081BFA"/>
    <w:rsid w:val="1E0D0FBE"/>
    <w:rsid w:val="1FAF67D1"/>
    <w:rsid w:val="1FDE2C12"/>
    <w:rsid w:val="202F346E"/>
    <w:rsid w:val="20436F19"/>
    <w:rsid w:val="20F6042F"/>
    <w:rsid w:val="20FA1CCE"/>
    <w:rsid w:val="21641401"/>
    <w:rsid w:val="2177331E"/>
    <w:rsid w:val="219F1439"/>
    <w:rsid w:val="21BA320B"/>
    <w:rsid w:val="21DA38AD"/>
    <w:rsid w:val="21F037F0"/>
    <w:rsid w:val="220358DB"/>
    <w:rsid w:val="22673393"/>
    <w:rsid w:val="227B1683"/>
    <w:rsid w:val="227E2F00"/>
    <w:rsid w:val="24082954"/>
    <w:rsid w:val="243A0D7D"/>
    <w:rsid w:val="24776664"/>
    <w:rsid w:val="265832F6"/>
    <w:rsid w:val="26C03072"/>
    <w:rsid w:val="26D905D7"/>
    <w:rsid w:val="271B6D61"/>
    <w:rsid w:val="27DF0BA6"/>
    <w:rsid w:val="27F82CDF"/>
    <w:rsid w:val="28417E9F"/>
    <w:rsid w:val="2880760E"/>
    <w:rsid w:val="28C3509B"/>
    <w:rsid w:val="294F4B81"/>
    <w:rsid w:val="29637A76"/>
    <w:rsid w:val="29820AB2"/>
    <w:rsid w:val="2A7862B9"/>
    <w:rsid w:val="2AAD7DB1"/>
    <w:rsid w:val="2ABC6246"/>
    <w:rsid w:val="2AF976EE"/>
    <w:rsid w:val="2B233118"/>
    <w:rsid w:val="2B481888"/>
    <w:rsid w:val="2BA50A88"/>
    <w:rsid w:val="2BB754C1"/>
    <w:rsid w:val="2BBE1B4A"/>
    <w:rsid w:val="2C0F23A5"/>
    <w:rsid w:val="2C2E2107"/>
    <w:rsid w:val="2C9A6113"/>
    <w:rsid w:val="2CA85DE1"/>
    <w:rsid w:val="2D0E2A7A"/>
    <w:rsid w:val="2D3042B4"/>
    <w:rsid w:val="2DA51213"/>
    <w:rsid w:val="2DB80F46"/>
    <w:rsid w:val="2DFF6B75"/>
    <w:rsid w:val="2E4317F2"/>
    <w:rsid w:val="2EA80FBB"/>
    <w:rsid w:val="2F2D326E"/>
    <w:rsid w:val="2F340AA1"/>
    <w:rsid w:val="2FE62223"/>
    <w:rsid w:val="2FEF49C8"/>
    <w:rsid w:val="30077184"/>
    <w:rsid w:val="3082583C"/>
    <w:rsid w:val="30913CD1"/>
    <w:rsid w:val="30DF67EA"/>
    <w:rsid w:val="313A6116"/>
    <w:rsid w:val="3183186B"/>
    <w:rsid w:val="31BE0AF5"/>
    <w:rsid w:val="326D7D37"/>
    <w:rsid w:val="329B4993"/>
    <w:rsid w:val="33067842"/>
    <w:rsid w:val="335C05C6"/>
    <w:rsid w:val="34394463"/>
    <w:rsid w:val="34E56399"/>
    <w:rsid w:val="36914A2B"/>
    <w:rsid w:val="3699743B"/>
    <w:rsid w:val="37A8202C"/>
    <w:rsid w:val="37BD53AB"/>
    <w:rsid w:val="37C87FD8"/>
    <w:rsid w:val="37F232A7"/>
    <w:rsid w:val="382E7EE9"/>
    <w:rsid w:val="38305B7D"/>
    <w:rsid w:val="39785A2E"/>
    <w:rsid w:val="3A331955"/>
    <w:rsid w:val="3A63685A"/>
    <w:rsid w:val="3AC54CA3"/>
    <w:rsid w:val="3AE74C19"/>
    <w:rsid w:val="3AF25A9E"/>
    <w:rsid w:val="3B556027"/>
    <w:rsid w:val="3B7F4E52"/>
    <w:rsid w:val="3C2123AD"/>
    <w:rsid w:val="3C241E9D"/>
    <w:rsid w:val="3C2E6878"/>
    <w:rsid w:val="3C9C7C85"/>
    <w:rsid w:val="3CBE4C0D"/>
    <w:rsid w:val="3D7E2A99"/>
    <w:rsid w:val="3D850719"/>
    <w:rsid w:val="3DB37034"/>
    <w:rsid w:val="3DEB2C72"/>
    <w:rsid w:val="3E1877DF"/>
    <w:rsid w:val="3E502AD5"/>
    <w:rsid w:val="3E5776D4"/>
    <w:rsid w:val="3EA03A5D"/>
    <w:rsid w:val="3EE576C2"/>
    <w:rsid w:val="3F1B1335"/>
    <w:rsid w:val="3FE94F8F"/>
    <w:rsid w:val="4003755E"/>
    <w:rsid w:val="400D176C"/>
    <w:rsid w:val="413E57AF"/>
    <w:rsid w:val="429D3086"/>
    <w:rsid w:val="42E44100"/>
    <w:rsid w:val="438F22F2"/>
    <w:rsid w:val="43E91A02"/>
    <w:rsid w:val="44983428"/>
    <w:rsid w:val="457053EC"/>
    <w:rsid w:val="4577303D"/>
    <w:rsid w:val="458967A2"/>
    <w:rsid w:val="45921C25"/>
    <w:rsid w:val="462F3918"/>
    <w:rsid w:val="46A45EDD"/>
    <w:rsid w:val="47544B14"/>
    <w:rsid w:val="47E920CD"/>
    <w:rsid w:val="491C0184"/>
    <w:rsid w:val="49A168DB"/>
    <w:rsid w:val="49DC5B65"/>
    <w:rsid w:val="49EC3FFA"/>
    <w:rsid w:val="4A1D0657"/>
    <w:rsid w:val="4A5676C5"/>
    <w:rsid w:val="4A5C2802"/>
    <w:rsid w:val="4A767D68"/>
    <w:rsid w:val="4AF939B8"/>
    <w:rsid w:val="4B1650A7"/>
    <w:rsid w:val="4BC863A1"/>
    <w:rsid w:val="4C59349D"/>
    <w:rsid w:val="4C60060E"/>
    <w:rsid w:val="4D134FA0"/>
    <w:rsid w:val="4D316B33"/>
    <w:rsid w:val="4DB71C6D"/>
    <w:rsid w:val="4DC96400"/>
    <w:rsid w:val="4DD5524B"/>
    <w:rsid w:val="4DE65204"/>
    <w:rsid w:val="4E036BCA"/>
    <w:rsid w:val="4EB42C0C"/>
    <w:rsid w:val="4EBB043F"/>
    <w:rsid w:val="4F2A1121"/>
    <w:rsid w:val="4F34633D"/>
    <w:rsid w:val="4F6B70EB"/>
    <w:rsid w:val="4F807E4C"/>
    <w:rsid w:val="4F950C90"/>
    <w:rsid w:val="4FA56238"/>
    <w:rsid w:val="5019077B"/>
    <w:rsid w:val="50485D02"/>
    <w:rsid w:val="50A078EC"/>
    <w:rsid w:val="50FE0AB7"/>
    <w:rsid w:val="518A40F8"/>
    <w:rsid w:val="518E3BE9"/>
    <w:rsid w:val="51C63383"/>
    <w:rsid w:val="52BC6534"/>
    <w:rsid w:val="52D10231"/>
    <w:rsid w:val="5331489C"/>
    <w:rsid w:val="53BF50F3"/>
    <w:rsid w:val="540463E4"/>
    <w:rsid w:val="54451139"/>
    <w:rsid w:val="5463135D"/>
    <w:rsid w:val="54907C78"/>
    <w:rsid w:val="551B0BB1"/>
    <w:rsid w:val="55517A88"/>
    <w:rsid w:val="55633225"/>
    <w:rsid w:val="558C48E3"/>
    <w:rsid w:val="55997370"/>
    <w:rsid w:val="55FA7A9F"/>
    <w:rsid w:val="55FB7373"/>
    <w:rsid w:val="56505911"/>
    <w:rsid w:val="56AD10F4"/>
    <w:rsid w:val="56E57E9E"/>
    <w:rsid w:val="5728063B"/>
    <w:rsid w:val="58733B38"/>
    <w:rsid w:val="599D6D92"/>
    <w:rsid w:val="5A643739"/>
    <w:rsid w:val="5AC13672"/>
    <w:rsid w:val="5B844A35"/>
    <w:rsid w:val="5BB16E51"/>
    <w:rsid w:val="5C076A71"/>
    <w:rsid w:val="5CA22C3E"/>
    <w:rsid w:val="5CB36BF9"/>
    <w:rsid w:val="5D126FB2"/>
    <w:rsid w:val="5D2F3F5A"/>
    <w:rsid w:val="5DE51034"/>
    <w:rsid w:val="5E0D40E7"/>
    <w:rsid w:val="5E3652E9"/>
    <w:rsid w:val="5E370EEC"/>
    <w:rsid w:val="5EA031AD"/>
    <w:rsid w:val="5EDB41E5"/>
    <w:rsid w:val="5EE017FC"/>
    <w:rsid w:val="5EF808F3"/>
    <w:rsid w:val="5F2E07B9"/>
    <w:rsid w:val="5FCB6008"/>
    <w:rsid w:val="5FEE3C09"/>
    <w:rsid w:val="603275D4"/>
    <w:rsid w:val="603C295B"/>
    <w:rsid w:val="605E50CE"/>
    <w:rsid w:val="606A29F9"/>
    <w:rsid w:val="60A96349"/>
    <w:rsid w:val="60B4604C"/>
    <w:rsid w:val="60D809DC"/>
    <w:rsid w:val="60ED6C7F"/>
    <w:rsid w:val="60FC22A0"/>
    <w:rsid w:val="617050B9"/>
    <w:rsid w:val="6193125E"/>
    <w:rsid w:val="61AE7A4D"/>
    <w:rsid w:val="61B9080E"/>
    <w:rsid w:val="61FB61B5"/>
    <w:rsid w:val="61FD0DEF"/>
    <w:rsid w:val="62832BCA"/>
    <w:rsid w:val="62854B94"/>
    <w:rsid w:val="62C3746A"/>
    <w:rsid w:val="630A6E47"/>
    <w:rsid w:val="63512CC8"/>
    <w:rsid w:val="635356F3"/>
    <w:rsid w:val="637A23E2"/>
    <w:rsid w:val="639B17F6"/>
    <w:rsid w:val="640935C9"/>
    <w:rsid w:val="65A73073"/>
    <w:rsid w:val="65F3158F"/>
    <w:rsid w:val="661A55F3"/>
    <w:rsid w:val="6679056C"/>
    <w:rsid w:val="667C62AE"/>
    <w:rsid w:val="67AE2497"/>
    <w:rsid w:val="67B37BBA"/>
    <w:rsid w:val="67BD092C"/>
    <w:rsid w:val="68AB4C28"/>
    <w:rsid w:val="68C1269E"/>
    <w:rsid w:val="68F71C1C"/>
    <w:rsid w:val="69112CDD"/>
    <w:rsid w:val="694E54FF"/>
    <w:rsid w:val="69557BB0"/>
    <w:rsid w:val="6958125A"/>
    <w:rsid w:val="69635503"/>
    <w:rsid w:val="698C4A5A"/>
    <w:rsid w:val="69CC69C6"/>
    <w:rsid w:val="6A955B90"/>
    <w:rsid w:val="6B364C7D"/>
    <w:rsid w:val="6B4C4AE6"/>
    <w:rsid w:val="6BBF2EC5"/>
    <w:rsid w:val="6C6829F9"/>
    <w:rsid w:val="6C992139"/>
    <w:rsid w:val="6CE612E6"/>
    <w:rsid w:val="6CFE5C6F"/>
    <w:rsid w:val="6D1B720F"/>
    <w:rsid w:val="6D263022"/>
    <w:rsid w:val="6D592EA5"/>
    <w:rsid w:val="6E02353D"/>
    <w:rsid w:val="6E1374F8"/>
    <w:rsid w:val="6E23123A"/>
    <w:rsid w:val="6E533D98"/>
    <w:rsid w:val="6F4A6F49"/>
    <w:rsid w:val="6FD26F3F"/>
    <w:rsid w:val="70244C09"/>
    <w:rsid w:val="70545BA6"/>
    <w:rsid w:val="706933FF"/>
    <w:rsid w:val="70C12B6D"/>
    <w:rsid w:val="70CD22D0"/>
    <w:rsid w:val="71155335"/>
    <w:rsid w:val="71465579"/>
    <w:rsid w:val="716B778F"/>
    <w:rsid w:val="72071122"/>
    <w:rsid w:val="7235058D"/>
    <w:rsid w:val="730275C0"/>
    <w:rsid w:val="731D4975"/>
    <w:rsid w:val="73C117A4"/>
    <w:rsid w:val="73C3376E"/>
    <w:rsid w:val="74277859"/>
    <w:rsid w:val="745E5245"/>
    <w:rsid w:val="74976203"/>
    <w:rsid w:val="74EF29BE"/>
    <w:rsid w:val="75422471"/>
    <w:rsid w:val="762E5A44"/>
    <w:rsid w:val="763C15B6"/>
    <w:rsid w:val="765F33E2"/>
    <w:rsid w:val="76A74C81"/>
    <w:rsid w:val="76DE3E86"/>
    <w:rsid w:val="76F459ED"/>
    <w:rsid w:val="772462D2"/>
    <w:rsid w:val="784F55D0"/>
    <w:rsid w:val="78E977D3"/>
    <w:rsid w:val="7965335C"/>
    <w:rsid w:val="79660E24"/>
    <w:rsid w:val="796B01E8"/>
    <w:rsid w:val="79812A62"/>
    <w:rsid w:val="79DC2E94"/>
    <w:rsid w:val="7A0348C4"/>
    <w:rsid w:val="7A2B5BC9"/>
    <w:rsid w:val="7A3A2795"/>
    <w:rsid w:val="7A8552D9"/>
    <w:rsid w:val="7A8D23E0"/>
    <w:rsid w:val="7AEA6455"/>
    <w:rsid w:val="7B0F1047"/>
    <w:rsid w:val="7B643141"/>
    <w:rsid w:val="7BE6624C"/>
    <w:rsid w:val="7D060228"/>
    <w:rsid w:val="7D387BFF"/>
    <w:rsid w:val="7D7B24D7"/>
    <w:rsid w:val="7DDF2F52"/>
    <w:rsid w:val="7DE93DD1"/>
    <w:rsid w:val="7E5B6A5D"/>
    <w:rsid w:val="7E857F9E"/>
    <w:rsid w:val="7ED54355"/>
    <w:rsid w:val="7EE34CC4"/>
    <w:rsid w:val="7FC40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800080"/>
      <w:u w:val="single"/>
    </w:rPr>
  </w:style>
  <w:style w:type="character" w:styleId="13">
    <w:name w:val="Hyperlink"/>
    <w:basedOn w:val="10"/>
    <w:qFormat/>
    <w:uiPriority w:val="0"/>
    <w:rPr>
      <w:color w:val="0000FF"/>
      <w:u w:val="single"/>
    </w:rPr>
  </w:style>
  <w:style w:type="character" w:styleId="14">
    <w:name w:val="annotation reference"/>
    <w:basedOn w:val="10"/>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4449</Words>
  <Characters>32795</Characters>
  <Lines>2063</Lines>
  <Paragraphs>1102</Paragraphs>
  <TotalTime>2</TotalTime>
  <ScaleCrop>false</ScaleCrop>
  <LinksUpToDate>false</LinksUpToDate>
  <CharactersWithSpaces>36500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2025-12-15T04:04:00Z</dcterms:created>
  <dc:creator>甘梓萱</dc:creator>
  <cp:lastModifiedBy>甘梓萱</cp:lastModifiedBy>
  <dcterms:modified xsi:type="dcterms:W3CDTF">2026-09-15T22:41:55Z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C787D1B92DC24D8C8912218A2FD46E7D_13</vt:lpwstr>
  </property>
  <property fmtid="{D5CDD505-2E9C-101B-9397-08002B2CF9AE}" pid="4" name="KSOTemplateDocerSaveRecord">
    <vt:lpwstr>eyJoZGlkIjoiOTYwMGM2Y2U4ZTI3NWYzYzNjOWZiYTQzMjk2Y2VmMTgiLCJ1c2VySWQiOiIxMTIwNzAzNjEyIn0=</vt:lpwstr>
  </property>
</Properties>
</file>