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C4AEB">
      <w:pPr>
        <w:pStyle w:val="2"/>
        <w:numPr>
          <w:ilvl w:val="0"/>
          <w:numId w:val="0"/>
        </w:numPr>
        <w:spacing w:before="312" w:after="156" w:afterLines="50"/>
        <w:jc w:val="both"/>
        <w:rPr>
          <w:rFonts w:hint="default" w:ascii="Calibri" w:hAnsi="Calibri" w:cs="Calibri"/>
        </w:rPr>
      </w:pPr>
      <w:bookmarkStart w:id="4" w:name="_GoBack"/>
      <w:bookmarkEnd w:id="4"/>
      <w:r>
        <w:rPr>
          <w:rFonts w:hint="default" w:ascii="Calibri" w:hAnsi="Calibri" w:cs="Calibri"/>
        </w:rPr>
        <w:t>Supplementary Material</w:t>
      </w:r>
    </w:p>
    <w:p w14:paraId="28CF7ED2">
      <w:pPr>
        <w:pStyle w:val="20"/>
        <w:spacing w:before="156" w:beforeLines="50"/>
        <w:rPr>
          <w:rFonts w:hint="default" w:ascii="Calibri" w:hAnsi="Calibri" w:cs="Calibri"/>
        </w:rPr>
      </w:pPr>
      <w:bookmarkStart w:id="0" w:name="_Ref118120067"/>
      <w:bookmarkStart w:id="1" w:name="_Ref118120058"/>
      <w:r>
        <w:rPr>
          <w:rFonts w:hint="default" w:ascii="Calibri" w:hAnsi="Calibri" w:cs="Calibri"/>
        </w:rPr>
        <w:t>Table S</w:t>
      </w: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SEQ Table \* ARABIC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</w:rPr>
        <w:t>1</w:t>
      </w:r>
      <w:r>
        <w:rPr>
          <w:rFonts w:hint="default" w:ascii="Calibri" w:hAnsi="Calibri" w:cs="Calibri"/>
        </w:rPr>
        <w:fldChar w:fldCharType="end"/>
      </w:r>
      <w:bookmarkEnd w:id="0"/>
      <w:r>
        <w:rPr>
          <w:rFonts w:hint="default" w:ascii="Calibri" w:hAnsi="Calibri" w:cs="Calibri"/>
        </w:rPr>
        <w:t xml:space="preserve"> Boundary conditions for static mesh</w:t>
      </w:r>
      <w:bookmarkEnd w:id="1"/>
      <w:r>
        <w:rPr>
          <w:rFonts w:hint="default" w:ascii="Calibri" w:hAnsi="Calibri" w:cs="Calibri"/>
        </w:rPr>
        <w:t>.</w:t>
      </w:r>
    </w:p>
    <w:tbl>
      <w:tblPr>
        <w:tblStyle w:val="9"/>
        <w:tblW w:w="92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987"/>
        <w:gridCol w:w="1968"/>
        <w:gridCol w:w="1319"/>
        <w:gridCol w:w="845"/>
        <w:gridCol w:w="709"/>
        <w:gridCol w:w="717"/>
        <w:gridCol w:w="985"/>
      </w:tblGrid>
      <w:tr w14:paraId="5D583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2" w:type="dxa"/>
          </w:tcPr>
          <w:p w14:paraId="3B41114F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  <w:b/>
                <w:bCs/>
              </w:rPr>
            </w:pPr>
            <w:r>
              <w:rPr>
                <w:rFonts w:hint="default" w:ascii="Calibri" w:hAnsi="Calibri" w:cs="Calibri"/>
                <w:b/>
                <w:bCs/>
              </w:rPr>
              <w:t>Position</w:t>
            </w:r>
          </w:p>
        </w:tc>
        <w:tc>
          <w:tcPr>
            <w:tcW w:w="7530" w:type="dxa"/>
            <w:gridSpan w:val="7"/>
          </w:tcPr>
          <w:p w14:paraId="4A41E76E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  <w:b/>
                <w:bCs/>
              </w:rPr>
            </w:pPr>
            <w:r>
              <w:rPr>
                <w:rFonts w:hint="default" w:ascii="Calibri" w:hAnsi="Calibri" w:cs="Calibri"/>
                <w:b/>
                <w:bCs/>
              </w:rPr>
              <w:t>Boundary Conditions</w:t>
            </w:r>
          </w:p>
        </w:tc>
      </w:tr>
      <w:tr w14:paraId="5B3C9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1682" w:type="dxa"/>
            <w:vMerge w:val="restart"/>
            <w:vAlign w:val="center"/>
          </w:tcPr>
          <w:p w14:paraId="1C5EF9CC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Front</w:t>
            </w:r>
          </w:p>
        </w:tc>
        <w:tc>
          <w:tcPr>
            <w:tcW w:w="987" w:type="dxa"/>
            <w:vMerge w:val="restart"/>
            <w:vAlign w:val="center"/>
          </w:tcPr>
          <w:p w14:paraId="02A1BA11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Velocity inlet</w:t>
            </w:r>
          </w:p>
        </w:tc>
        <w:tc>
          <w:tcPr>
            <w:tcW w:w="1968" w:type="dxa"/>
          </w:tcPr>
          <w:p w14:paraId="116BBF13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Velocity</w:t>
            </w:r>
          </w:p>
        </w:tc>
        <w:tc>
          <w:tcPr>
            <w:tcW w:w="1319" w:type="dxa"/>
          </w:tcPr>
          <w:p w14:paraId="6D8DE56A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Temperature</w:t>
            </w:r>
          </w:p>
        </w:tc>
        <w:tc>
          <w:tcPr>
            <w:tcW w:w="3256" w:type="dxa"/>
            <w:gridSpan w:val="4"/>
          </w:tcPr>
          <w:p w14:paraId="77A6F61C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Component</w:t>
            </w:r>
          </w:p>
        </w:tc>
      </w:tr>
      <w:tr w14:paraId="6EC3E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1682" w:type="dxa"/>
            <w:vMerge w:val="continue"/>
          </w:tcPr>
          <w:p w14:paraId="3DB50209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987" w:type="dxa"/>
            <w:vMerge w:val="continue"/>
          </w:tcPr>
          <w:p w14:paraId="641BEDEE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1968" w:type="dxa"/>
          </w:tcPr>
          <w:p w14:paraId="1E83BB6C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0.0 m/s at 0 km/h</w:t>
            </w:r>
          </w:p>
        </w:tc>
        <w:tc>
          <w:tcPr>
            <w:tcW w:w="1319" w:type="dxa"/>
            <w:vMerge w:val="restart"/>
            <w:vAlign w:val="center"/>
          </w:tcPr>
          <w:p w14:paraId="3EB9F0A8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300 K</w:t>
            </w:r>
          </w:p>
        </w:tc>
        <w:tc>
          <w:tcPr>
            <w:tcW w:w="3256" w:type="dxa"/>
            <w:gridSpan w:val="4"/>
            <w:vMerge w:val="restart"/>
            <w:vAlign w:val="center"/>
          </w:tcPr>
          <w:p w14:paraId="7E522F60">
            <w:pPr>
              <w:pStyle w:val="17"/>
              <w:spacing w:line="240" w:lineRule="auto"/>
              <w:ind w:firstLine="0" w:firstLineChars="0"/>
              <w:jc w:val="center"/>
              <w:rPr>
                <w:rStyle w:val="19"/>
                <w:rFonts w:hint="default" w:ascii="Calibri" w:hAnsi="Calibri" w:cs="Calibri"/>
              </w:rPr>
            </w:pPr>
            <w:r>
              <w:rPr>
                <w:rStyle w:val="19"/>
                <w:rFonts w:hint="default" w:ascii="Calibri" w:hAnsi="Calibri" w:cs="Calibri"/>
              </w:rPr>
              <w:t>79% N</w:t>
            </w:r>
            <w:r>
              <w:rPr>
                <w:rStyle w:val="19"/>
                <w:rFonts w:hint="default" w:ascii="Calibri" w:hAnsi="Calibri" w:cs="Calibri"/>
                <w:vertAlign w:val="subscript"/>
              </w:rPr>
              <w:t>2</w:t>
            </w:r>
            <w:r>
              <w:rPr>
                <w:rStyle w:val="19"/>
                <w:rFonts w:hint="default" w:ascii="Calibri" w:hAnsi="Calibri" w:cs="Calibri"/>
              </w:rPr>
              <w:t>,</w:t>
            </w:r>
          </w:p>
          <w:p w14:paraId="31F0679E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Style w:val="19"/>
                <w:rFonts w:hint="default" w:ascii="Calibri" w:hAnsi="Calibri" w:cs="Calibri"/>
              </w:rPr>
              <w:t>21% O</w:t>
            </w:r>
            <w:r>
              <w:rPr>
                <w:rStyle w:val="19"/>
                <w:rFonts w:hint="default" w:ascii="Calibri" w:hAnsi="Calibri" w:cs="Calibri"/>
                <w:vertAlign w:val="subscript"/>
              </w:rPr>
              <w:t>2</w:t>
            </w:r>
          </w:p>
        </w:tc>
      </w:tr>
      <w:tr w14:paraId="5500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1682" w:type="dxa"/>
            <w:vMerge w:val="continue"/>
          </w:tcPr>
          <w:p w14:paraId="6CA9F16B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987" w:type="dxa"/>
            <w:vMerge w:val="continue"/>
          </w:tcPr>
          <w:p w14:paraId="4E9F86CA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1968" w:type="dxa"/>
          </w:tcPr>
          <w:p w14:paraId="5902C308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8.3 m/s at 30 km/h</w:t>
            </w:r>
          </w:p>
        </w:tc>
        <w:tc>
          <w:tcPr>
            <w:tcW w:w="1319" w:type="dxa"/>
            <w:vMerge w:val="continue"/>
          </w:tcPr>
          <w:p w14:paraId="5A00E6F7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3256" w:type="dxa"/>
            <w:gridSpan w:val="4"/>
            <w:vMerge w:val="continue"/>
          </w:tcPr>
          <w:p w14:paraId="6FA9827F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</w:tr>
      <w:tr w14:paraId="6D35B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1682" w:type="dxa"/>
            <w:vMerge w:val="continue"/>
          </w:tcPr>
          <w:p w14:paraId="025D5F0E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987" w:type="dxa"/>
            <w:vMerge w:val="continue"/>
          </w:tcPr>
          <w:p w14:paraId="5314437F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1968" w:type="dxa"/>
          </w:tcPr>
          <w:p w14:paraId="4B6E4DCF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25.0 m/s at 90 km/h</w:t>
            </w:r>
          </w:p>
        </w:tc>
        <w:tc>
          <w:tcPr>
            <w:tcW w:w="1319" w:type="dxa"/>
            <w:vMerge w:val="continue"/>
          </w:tcPr>
          <w:p w14:paraId="61ABD38A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3256" w:type="dxa"/>
            <w:gridSpan w:val="4"/>
            <w:vMerge w:val="continue"/>
          </w:tcPr>
          <w:p w14:paraId="17DF5111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</w:tr>
      <w:tr w14:paraId="64EE9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2" w:type="dxa"/>
          </w:tcPr>
          <w:p w14:paraId="41AB77A1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Rear</w:t>
            </w:r>
          </w:p>
        </w:tc>
        <w:tc>
          <w:tcPr>
            <w:tcW w:w="7530" w:type="dxa"/>
            <w:gridSpan w:val="7"/>
          </w:tcPr>
          <w:p w14:paraId="6A193AB8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Pressure outlet</w:t>
            </w:r>
          </w:p>
        </w:tc>
      </w:tr>
      <w:tr w14:paraId="751A3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2" w:type="dxa"/>
          </w:tcPr>
          <w:p w14:paraId="317837F5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Left</w:t>
            </w:r>
          </w:p>
        </w:tc>
        <w:tc>
          <w:tcPr>
            <w:tcW w:w="7530" w:type="dxa"/>
            <w:gridSpan w:val="7"/>
          </w:tcPr>
          <w:p w14:paraId="6C0774D6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Periodic boundary</w:t>
            </w:r>
          </w:p>
        </w:tc>
      </w:tr>
      <w:tr w14:paraId="7E286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2" w:type="dxa"/>
          </w:tcPr>
          <w:p w14:paraId="09B6D51D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Right</w:t>
            </w:r>
          </w:p>
        </w:tc>
        <w:tc>
          <w:tcPr>
            <w:tcW w:w="7530" w:type="dxa"/>
            <w:gridSpan w:val="7"/>
          </w:tcPr>
          <w:p w14:paraId="461A6884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Periodic boundary</w:t>
            </w:r>
          </w:p>
        </w:tc>
      </w:tr>
      <w:tr w14:paraId="59F3E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2" w:type="dxa"/>
          </w:tcPr>
          <w:p w14:paraId="6ECB89C9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Upper</w:t>
            </w:r>
          </w:p>
        </w:tc>
        <w:tc>
          <w:tcPr>
            <w:tcW w:w="7530" w:type="dxa"/>
            <w:gridSpan w:val="7"/>
          </w:tcPr>
          <w:p w14:paraId="1171E892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Pressure outlet</w:t>
            </w:r>
          </w:p>
        </w:tc>
      </w:tr>
      <w:tr w14:paraId="307FA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2" w:type="dxa"/>
          </w:tcPr>
          <w:p w14:paraId="7D3CB027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Bottom</w:t>
            </w:r>
          </w:p>
        </w:tc>
        <w:tc>
          <w:tcPr>
            <w:tcW w:w="7530" w:type="dxa"/>
            <w:gridSpan w:val="7"/>
          </w:tcPr>
          <w:p w14:paraId="1C3ECE5E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No-slip wall</w:t>
            </w:r>
          </w:p>
        </w:tc>
      </w:tr>
      <w:tr w14:paraId="2B23B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2" w:type="dxa"/>
          </w:tcPr>
          <w:p w14:paraId="2CF2F997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Vehicle surface</w:t>
            </w:r>
          </w:p>
        </w:tc>
        <w:tc>
          <w:tcPr>
            <w:tcW w:w="7530" w:type="dxa"/>
            <w:gridSpan w:val="7"/>
          </w:tcPr>
          <w:p w14:paraId="005DD792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No-slip wall</w:t>
            </w:r>
          </w:p>
        </w:tc>
      </w:tr>
      <w:tr w14:paraId="02F29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1682" w:type="dxa"/>
            <w:vMerge w:val="restart"/>
            <w:vAlign w:val="center"/>
          </w:tcPr>
          <w:p w14:paraId="14C8F8D8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Exhaust tailpipe</w:t>
            </w:r>
          </w:p>
        </w:tc>
        <w:tc>
          <w:tcPr>
            <w:tcW w:w="987" w:type="dxa"/>
            <w:vMerge w:val="restart"/>
            <w:vAlign w:val="center"/>
          </w:tcPr>
          <w:p w14:paraId="7CFF272B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Velocity inlet</w:t>
            </w:r>
          </w:p>
        </w:tc>
        <w:tc>
          <w:tcPr>
            <w:tcW w:w="1968" w:type="dxa"/>
          </w:tcPr>
          <w:p w14:paraId="638E9F5E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Velocity</w:t>
            </w:r>
          </w:p>
        </w:tc>
        <w:tc>
          <w:tcPr>
            <w:tcW w:w="1319" w:type="dxa"/>
          </w:tcPr>
          <w:p w14:paraId="7184D800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Temperature</w:t>
            </w:r>
          </w:p>
        </w:tc>
        <w:tc>
          <w:tcPr>
            <w:tcW w:w="845" w:type="dxa"/>
          </w:tcPr>
          <w:p w14:paraId="105F65B3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O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</w:p>
        </w:tc>
        <w:tc>
          <w:tcPr>
            <w:tcW w:w="709" w:type="dxa"/>
          </w:tcPr>
          <w:p w14:paraId="36CD3482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CO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</w:p>
        </w:tc>
        <w:tc>
          <w:tcPr>
            <w:tcW w:w="717" w:type="dxa"/>
          </w:tcPr>
          <w:p w14:paraId="796426B4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H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O</w:t>
            </w:r>
          </w:p>
        </w:tc>
        <w:tc>
          <w:tcPr>
            <w:tcW w:w="985" w:type="dxa"/>
          </w:tcPr>
          <w:p w14:paraId="122DD289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NO</w:t>
            </w:r>
          </w:p>
        </w:tc>
      </w:tr>
      <w:tr w14:paraId="09266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1682" w:type="dxa"/>
            <w:vMerge w:val="continue"/>
          </w:tcPr>
          <w:p w14:paraId="2EB4BF20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987" w:type="dxa"/>
            <w:vMerge w:val="continue"/>
          </w:tcPr>
          <w:p w14:paraId="67150910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1968" w:type="dxa"/>
          </w:tcPr>
          <w:p w14:paraId="2D09A4DF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2.0 m/s at 0 km/h</w:t>
            </w:r>
          </w:p>
        </w:tc>
        <w:tc>
          <w:tcPr>
            <w:tcW w:w="1319" w:type="dxa"/>
          </w:tcPr>
          <w:p w14:paraId="6606D4BA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384 K</w:t>
            </w:r>
          </w:p>
        </w:tc>
        <w:tc>
          <w:tcPr>
            <w:tcW w:w="845" w:type="dxa"/>
          </w:tcPr>
          <w:p w14:paraId="2F1BDBFB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18.0%</w:t>
            </w:r>
          </w:p>
        </w:tc>
        <w:tc>
          <w:tcPr>
            <w:tcW w:w="709" w:type="dxa"/>
          </w:tcPr>
          <w:p w14:paraId="5AD3020D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2.3%</w:t>
            </w:r>
          </w:p>
        </w:tc>
        <w:tc>
          <w:tcPr>
            <w:tcW w:w="717" w:type="dxa"/>
          </w:tcPr>
          <w:p w14:paraId="6C028CB4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2.3%</w:t>
            </w:r>
          </w:p>
        </w:tc>
        <w:tc>
          <w:tcPr>
            <w:tcW w:w="985" w:type="dxa"/>
          </w:tcPr>
          <w:p w14:paraId="38DCC961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115 ppm</w:t>
            </w:r>
          </w:p>
        </w:tc>
      </w:tr>
      <w:tr w14:paraId="59257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1682" w:type="dxa"/>
            <w:vMerge w:val="continue"/>
          </w:tcPr>
          <w:p w14:paraId="227C0D0B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987" w:type="dxa"/>
            <w:vMerge w:val="continue"/>
          </w:tcPr>
          <w:p w14:paraId="0C0D1685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1968" w:type="dxa"/>
          </w:tcPr>
          <w:p w14:paraId="6D25B6A5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15.6 m/s at 30 km/h</w:t>
            </w:r>
          </w:p>
        </w:tc>
        <w:tc>
          <w:tcPr>
            <w:tcW w:w="1319" w:type="dxa"/>
          </w:tcPr>
          <w:p w14:paraId="5ADCB8F9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548 K</w:t>
            </w:r>
          </w:p>
        </w:tc>
        <w:tc>
          <w:tcPr>
            <w:tcW w:w="845" w:type="dxa"/>
          </w:tcPr>
          <w:p w14:paraId="60B10AFC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8.1%</w:t>
            </w:r>
          </w:p>
        </w:tc>
        <w:tc>
          <w:tcPr>
            <w:tcW w:w="709" w:type="dxa"/>
          </w:tcPr>
          <w:p w14:paraId="02FF6049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9.0%</w:t>
            </w:r>
          </w:p>
        </w:tc>
        <w:tc>
          <w:tcPr>
            <w:tcW w:w="717" w:type="dxa"/>
          </w:tcPr>
          <w:p w14:paraId="1A1D71DE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9.0%</w:t>
            </w:r>
          </w:p>
        </w:tc>
        <w:tc>
          <w:tcPr>
            <w:tcW w:w="985" w:type="dxa"/>
          </w:tcPr>
          <w:p w14:paraId="76A5FE9B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450 ppm</w:t>
            </w:r>
          </w:p>
        </w:tc>
      </w:tr>
      <w:tr w14:paraId="67758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  <w:jc w:val="center"/>
        </w:trPr>
        <w:tc>
          <w:tcPr>
            <w:tcW w:w="1682" w:type="dxa"/>
            <w:vMerge w:val="continue"/>
          </w:tcPr>
          <w:p w14:paraId="0C5BAEF6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987" w:type="dxa"/>
            <w:vMerge w:val="continue"/>
          </w:tcPr>
          <w:p w14:paraId="3453CFC3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1968" w:type="dxa"/>
          </w:tcPr>
          <w:p w14:paraId="0E562EC1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40.4 m/s at 90 km/h</w:t>
            </w:r>
          </w:p>
        </w:tc>
        <w:tc>
          <w:tcPr>
            <w:tcW w:w="1319" w:type="dxa"/>
          </w:tcPr>
          <w:p w14:paraId="1B4C5D76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613 K</w:t>
            </w:r>
          </w:p>
        </w:tc>
        <w:tc>
          <w:tcPr>
            <w:tcW w:w="845" w:type="dxa"/>
          </w:tcPr>
          <w:p w14:paraId="5BAA25F2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11.2%</w:t>
            </w:r>
          </w:p>
        </w:tc>
        <w:tc>
          <w:tcPr>
            <w:tcW w:w="709" w:type="dxa"/>
          </w:tcPr>
          <w:p w14:paraId="297EA9F4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7.2%</w:t>
            </w:r>
          </w:p>
        </w:tc>
        <w:tc>
          <w:tcPr>
            <w:tcW w:w="717" w:type="dxa"/>
          </w:tcPr>
          <w:p w14:paraId="7B4AC4D6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7.2%</w:t>
            </w:r>
          </w:p>
        </w:tc>
        <w:tc>
          <w:tcPr>
            <w:tcW w:w="985" w:type="dxa"/>
          </w:tcPr>
          <w:p w14:paraId="7E6E45B7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360 ppm</w:t>
            </w:r>
          </w:p>
        </w:tc>
      </w:tr>
    </w:tbl>
    <w:p w14:paraId="6F52663D">
      <w:pPr>
        <w:rPr>
          <w:rFonts w:hint="default" w:ascii="Calibri" w:hAnsi="Calibri" w:cs="Calibri"/>
        </w:rPr>
      </w:pPr>
    </w:p>
    <w:p w14:paraId="1D851821">
      <w:pPr>
        <w:spacing w:after="156" w:afterLines="50"/>
        <w:jc w:val="both"/>
        <w:rPr>
          <w:rFonts w:hint="default" w:ascii="Calibri" w:hAnsi="Calibri" w:cs="Calibri"/>
        </w:rPr>
      </w:pPr>
    </w:p>
    <w:p w14:paraId="19B2416F">
      <w:pPr>
        <w:pStyle w:val="16"/>
        <w:spacing w:before="156" w:beforeLines="50" w:line="240" w:lineRule="auto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Table S</w:t>
      </w: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SEQ Table \* ARABIC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</w:rPr>
        <w:t>2</w:t>
      </w:r>
      <w:r>
        <w:rPr>
          <w:rFonts w:hint="default" w:ascii="Calibri" w:hAnsi="Calibri" w:cs="Calibri"/>
        </w:rPr>
        <w:fldChar w:fldCharType="end"/>
      </w:r>
      <w:r>
        <w:rPr>
          <w:rFonts w:hint="default" w:ascii="Calibri" w:hAnsi="Calibri" w:cs="Calibri"/>
        </w:rPr>
        <w:t xml:space="preserve"> Boundary condition for dynamic mesh.</w:t>
      </w:r>
    </w:p>
    <w:tbl>
      <w:tblPr>
        <w:tblStyle w:val="9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268"/>
        <w:gridCol w:w="2268"/>
        <w:gridCol w:w="2268"/>
      </w:tblGrid>
      <w:tr w14:paraId="0398F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68501EF">
            <w:pPr>
              <w:pStyle w:val="17"/>
              <w:spacing w:line="240" w:lineRule="auto"/>
              <w:ind w:firstLine="0" w:firstLineChars="0"/>
              <w:jc w:val="center"/>
              <w:rPr>
                <w:rFonts w:hint="default" w:ascii="Calibri" w:hAnsi="Calibri" w:cs="Calibri"/>
              </w:rPr>
            </w:pPr>
          </w:p>
        </w:tc>
        <w:tc>
          <w:tcPr>
            <w:tcW w:w="226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7A81A06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  <w:b/>
                <w:bCs/>
              </w:rPr>
            </w:pPr>
            <w:r>
              <w:rPr>
                <w:rFonts w:hint="default" w:ascii="Calibri" w:hAnsi="Calibri" w:cs="Calibri"/>
                <w:b/>
                <w:bCs/>
              </w:rPr>
              <w:t>Region A</w:t>
            </w:r>
          </w:p>
        </w:tc>
        <w:tc>
          <w:tcPr>
            <w:tcW w:w="226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6FB16BF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  <w:b/>
                <w:bCs/>
              </w:rPr>
            </w:pPr>
            <w:r>
              <w:rPr>
                <w:rFonts w:hint="default" w:ascii="Calibri" w:hAnsi="Calibri" w:cs="Calibri"/>
                <w:b/>
                <w:bCs/>
              </w:rPr>
              <w:t>Region B</w:t>
            </w:r>
          </w:p>
        </w:tc>
        <w:tc>
          <w:tcPr>
            <w:tcW w:w="226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9A46A91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  <w:b/>
                <w:bCs/>
              </w:rPr>
            </w:pPr>
            <w:r>
              <w:rPr>
                <w:rFonts w:hint="default" w:ascii="Calibri" w:hAnsi="Calibri" w:cs="Calibri"/>
                <w:b/>
                <w:bCs/>
              </w:rPr>
              <w:t>Region C</w:t>
            </w:r>
          </w:p>
        </w:tc>
      </w:tr>
      <w:tr w14:paraId="2630F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tcBorders>
              <w:top w:val="single" w:color="auto" w:sz="4" w:space="0"/>
            </w:tcBorders>
            <w:vAlign w:val="center"/>
          </w:tcPr>
          <w:p w14:paraId="1DC613E5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Front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vAlign w:val="center"/>
          </w:tcPr>
          <w:p w14:paraId="52F5ED77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Velocity inlet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vAlign w:val="center"/>
          </w:tcPr>
          <w:p w14:paraId="3FA3CDB1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Interface A-B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vAlign w:val="center"/>
          </w:tcPr>
          <w:p w14:paraId="0A16C284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Interface B-C</w:t>
            </w:r>
          </w:p>
        </w:tc>
      </w:tr>
      <w:tr w14:paraId="05B4C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 w14:paraId="3EDFB329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Rear</w:t>
            </w:r>
          </w:p>
        </w:tc>
        <w:tc>
          <w:tcPr>
            <w:tcW w:w="2268" w:type="dxa"/>
            <w:vAlign w:val="center"/>
          </w:tcPr>
          <w:p w14:paraId="26E8FC12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Interface A-B</w:t>
            </w:r>
          </w:p>
        </w:tc>
        <w:tc>
          <w:tcPr>
            <w:tcW w:w="2268" w:type="dxa"/>
            <w:vAlign w:val="center"/>
          </w:tcPr>
          <w:p w14:paraId="531AFFA7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Interface B-C</w:t>
            </w:r>
          </w:p>
        </w:tc>
        <w:tc>
          <w:tcPr>
            <w:tcW w:w="2268" w:type="dxa"/>
            <w:vAlign w:val="center"/>
          </w:tcPr>
          <w:p w14:paraId="4DCE7D96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Pressure outlet</w:t>
            </w:r>
          </w:p>
        </w:tc>
      </w:tr>
      <w:tr w14:paraId="7EFA3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 w14:paraId="04541A96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Left</w:t>
            </w:r>
          </w:p>
        </w:tc>
        <w:tc>
          <w:tcPr>
            <w:tcW w:w="2268" w:type="dxa"/>
            <w:vAlign w:val="center"/>
          </w:tcPr>
          <w:p w14:paraId="298C9D1F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Periodic boundary</w:t>
            </w:r>
          </w:p>
        </w:tc>
        <w:tc>
          <w:tcPr>
            <w:tcW w:w="2268" w:type="dxa"/>
            <w:vAlign w:val="center"/>
          </w:tcPr>
          <w:p w14:paraId="127483AF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Periodic boundary</w:t>
            </w:r>
          </w:p>
        </w:tc>
        <w:tc>
          <w:tcPr>
            <w:tcW w:w="2268" w:type="dxa"/>
            <w:vAlign w:val="center"/>
          </w:tcPr>
          <w:p w14:paraId="1AEC86C0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Periodic boundary</w:t>
            </w:r>
          </w:p>
        </w:tc>
      </w:tr>
      <w:tr w14:paraId="412ED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 w14:paraId="5F9FB825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Right</w:t>
            </w:r>
          </w:p>
        </w:tc>
        <w:tc>
          <w:tcPr>
            <w:tcW w:w="2268" w:type="dxa"/>
            <w:vAlign w:val="center"/>
          </w:tcPr>
          <w:p w14:paraId="0D683F3B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Periodic boundary</w:t>
            </w:r>
          </w:p>
        </w:tc>
        <w:tc>
          <w:tcPr>
            <w:tcW w:w="2268" w:type="dxa"/>
            <w:vAlign w:val="center"/>
          </w:tcPr>
          <w:p w14:paraId="734E8176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Periodic boundary</w:t>
            </w:r>
          </w:p>
        </w:tc>
        <w:tc>
          <w:tcPr>
            <w:tcW w:w="2268" w:type="dxa"/>
            <w:vAlign w:val="center"/>
          </w:tcPr>
          <w:p w14:paraId="25C99390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Periodic boundary</w:t>
            </w:r>
          </w:p>
        </w:tc>
      </w:tr>
      <w:tr w14:paraId="182BA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 w14:paraId="3C6F0DF2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Upper</w:t>
            </w:r>
          </w:p>
        </w:tc>
        <w:tc>
          <w:tcPr>
            <w:tcW w:w="2268" w:type="dxa"/>
            <w:vAlign w:val="center"/>
          </w:tcPr>
          <w:p w14:paraId="0B76C61F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Pressure outlet</w:t>
            </w:r>
          </w:p>
        </w:tc>
        <w:tc>
          <w:tcPr>
            <w:tcW w:w="2268" w:type="dxa"/>
            <w:vAlign w:val="center"/>
          </w:tcPr>
          <w:p w14:paraId="669B587E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Pressure outlet</w:t>
            </w:r>
          </w:p>
        </w:tc>
        <w:tc>
          <w:tcPr>
            <w:tcW w:w="2268" w:type="dxa"/>
            <w:vAlign w:val="center"/>
          </w:tcPr>
          <w:p w14:paraId="709ED3AE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Pressure outlet</w:t>
            </w:r>
          </w:p>
        </w:tc>
      </w:tr>
      <w:tr w14:paraId="5DC8F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tcBorders>
              <w:bottom w:val="single" w:color="auto" w:sz="12" w:space="0"/>
            </w:tcBorders>
            <w:vAlign w:val="center"/>
          </w:tcPr>
          <w:p w14:paraId="5DE6857F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Bottom</w:t>
            </w: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6F9C3C30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No-slip wall</w:t>
            </w: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57BE0295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No-slip wall</w:t>
            </w: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2F7605CA">
            <w:pPr>
              <w:pStyle w:val="17"/>
              <w:spacing w:line="240" w:lineRule="auto"/>
              <w:ind w:firstLine="0" w:firstLineChars="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No-slip wall</w:t>
            </w:r>
          </w:p>
        </w:tc>
      </w:tr>
    </w:tbl>
    <w:p w14:paraId="254780E8">
      <w:pPr>
        <w:rPr>
          <w:rFonts w:hint="default" w:ascii="Calibri" w:hAnsi="Calibri" w:cs="Calibri"/>
        </w:rPr>
      </w:pPr>
    </w:p>
    <w:p w14:paraId="631F794B">
      <w:pPr>
        <w:rPr>
          <w:rFonts w:hint="default" w:ascii="Calibri" w:hAnsi="Calibri" w:cs="Calibri"/>
        </w:rPr>
      </w:pPr>
    </w:p>
    <w:p w14:paraId="2A5F7F4E">
      <w:pPr>
        <w:spacing w:after="156" w:afterLines="50"/>
        <w:jc w:val="center"/>
        <w:rPr>
          <w:rFonts w:hint="default" w:ascii="Calibri" w:hAnsi="Calibri" w:cs="Calibri"/>
        </w:rPr>
      </w:pPr>
      <w:bookmarkStart w:id="2" w:name="_Ref163337018"/>
      <w:r>
        <w:rPr>
          <w:rFonts w:hint="default" w:ascii="Calibri" w:hAnsi="Calibri" w:cs="Calibri"/>
        </w:rPr>
        <w:t>Table S</w:t>
      </w: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SEQ Table \* ARABIC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</w:rPr>
        <w:t>3</w:t>
      </w:r>
      <w:r>
        <w:rPr>
          <w:rFonts w:hint="default" w:ascii="Calibri" w:hAnsi="Calibri" w:cs="Calibri"/>
        </w:rPr>
        <w:fldChar w:fldCharType="end"/>
      </w:r>
      <w:bookmarkEnd w:id="2"/>
      <w:r>
        <w:rPr>
          <w:rFonts w:hint="default" w:ascii="Calibri" w:hAnsi="Calibri" w:cs="Calibri"/>
        </w:rPr>
        <w:t xml:space="preserve"> </w:t>
      </w:r>
      <w:bookmarkStart w:id="3" w:name="_Hlk166143727"/>
      <w:r>
        <w:rPr>
          <w:rFonts w:hint="default" w:ascii="Calibri" w:hAnsi="Calibri" w:cs="Calibri"/>
        </w:rPr>
        <w:t>Fitting function for the mass diffusivity coefficient</w:t>
      </w:r>
      <w:bookmarkEnd w:id="3"/>
    </w:p>
    <w:tbl>
      <w:tblPr>
        <w:tblStyle w:val="9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705"/>
      </w:tblGrid>
      <w:tr w14:paraId="43B8B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CA38E62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</w:rPr>
              <w:t>Type of gas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999FE2D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</w:rPr>
              <w:t>Second-order fitting function</w:t>
            </w:r>
          </w:p>
        </w:tc>
      </w:tr>
      <w:tr w14:paraId="4978E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213D0225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</w:rPr>
              <w:t>CO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-H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O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3C8806C8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  <w:i/>
                <w:iCs/>
              </w:rPr>
              <w:t>D</w:t>
            </w:r>
            <w:r>
              <w:rPr>
                <w:rFonts w:hint="default" w:ascii="Calibri" w:hAnsi="Calibri" w:cs="Calibri"/>
              </w:rPr>
              <w:t xml:space="preserve"> = -3.681×10</w:t>
            </w:r>
            <w:r>
              <w:rPr>
                <w:rFonts w:hint="default" w:ascii="Calibri" w:hAnsi="Calibri" w:cs="Calibri"/>
                <w:vertAlign w:val="superscript"/>
              </w:rPr>
              <w:t>-6</w:t>
            </w:r>
            <w:r>
              <w:rPr>
                <w:rFonts w:hint="default" w:ascii="Calibri" w:hAnsi="Calibri" w:cs="Calibri"/>
              </w:rPr>
              <w:t>+1.973×10</w:t>
            </w:r>
            <w:r>
              <w:rPr>
                <w:rFonts w:hint="default" w:ascii="Calibri" w:hAnsi="Calibri" w:cs="Calibri"/>
                <w:vertAlign w:val="superscript"/>
              </w:rPr>
              <w:t>-8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</w:rPr>
              <w:t>+1.520×10</w:t>
            </w:r>
            <w:r>
              <w:rPr>
                <w:rFonts w:hint="default" w:ascii="Calibri" w:hAnsi="Calibri" w:cs="Calibri"/>
                <w:vertAlign w:val="superscript"/>
              </w:rPr>
              <w:t>-10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  <w:vertAlign w:val="superscript"/>
              </w:rPr>
              <w:t>2</w:t>
            </w:r>
          </w:p>
        </w:tc>
      </w:tr>
      <w:tr w14:paraId="2598B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E940229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</w:rPr>
              <w:t>CO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-O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</w:p>
        </w:tc>
        <w:tc>
          <w:tcPr>
            <w:tcW w:w="0" w:type="auto"/>
            <w:vAlign w:val="center"/>
          </w:tcPr>
          <w:p w14:paraId="4F23A5B3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  <w:i/>
                <w:iCs/>
              </w:rPr>
              <w:t>D</w:t>
            </w:r>
            <w:r>
              <w:rPr>
                <w:rFonts w:hint="default" w:ascii="Calibri" w:hAnsi="Calibri" w:cs="Calibri"/>
              </w:rPr>
              <w:t xml:space="preserve"> = -5.564×10</w:t>
            </w:r>
            <w:r>
              <w:rPr>
                <w:rFonts w:hint="default" w:ascii="Calibri" w:hAnsi="Calibri" w:cs="Calibri"/>
                <w:vertAlign w:val="superscript"/>
              </w:rPr>
              <w:t>-6</w:t>
            </w:r>
            <w:r>
              <w:rPr>
                <w:rFonts w:hint="default" w:ascii="Calibri" w:hAnsi="Calibri" w:cs="Calibri"/>
              </w:rPr>
              <w:t>+4.349×10</w:t>
            </w:r>
            <w:r>
              <w:rPr>
                <w:rFonts w:hint="default" w:ascii="Calibri" w:hAnsi="Calibri" w:cs="Calibri"/>
                <w:vertAlign w:val="superscript"/>
              </w:rPr>
              <w:t>-8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</w:rPr>
              <w:t>+1.008×10</w:t>
            </w:r>
            <w:r>
              <w:rPr>
                <w:rFonts w:hint="default" w:ascii="Calibri" w:hAnsi="Calibri" w:cs="Calibri"/>
                <w:vertAlign w:val="superscript"/>
              </w:rPr>
              <w:t>-10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  <w:vertAlign w:val="superscript"/>
              </w:rPr>
              <w:t>2</w:t>
            </w:r>
          </w:p>
        </w:tc>
      </w:tr>
      <w:tr w14:paraId="1DBC1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EAA5441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</w:rPr>
              <w:t>CO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-NO</w:t>
            </w:r>
          </w:p>
        </w:tc>
        <w:tc>
          <w:tcPr>
            <w:tcW w:w="0" w:type="auto"/>
            <w:vAlign w:val="center"/>
          </w:tcPr>
          <w:p w14:paraId="176F23C6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  <w:i/>
                <w:iCs/>
              </w:rPr>
              <w:t>D</w:t>
            </w:r>
            <w:r>
              <w:rPr>
                <w:rFonts w:hint="default" w:ascii="Calibri" w:hAnsi="Calibri" w:cs="Calibri"/>
              </w:rPr>
              <w:t xml:space="preserve"> = -5.632×10</w:t>
            </w:r>
            <w:r>
              <w:rPr>
                <w:rFonts w:hint="default" w:ascii="Calibri" w:hAnsi="Calibri" w:cs="Calibri"/>
                <w:vertAlign w:val="superscript"/>
              </w:rPr>
              <w:t>-6</w:t>
            </w:r>
            <w:r>
              <w:rPr>
                <w:rFonts w:hint="default" w:ascii="Calibri" w:hAnsi="Calibri" w:cs="Calibri"/>
              </w:rPr>
              <w:t>+4.325×10</w:t>
            </w:r>
            <w:r>
              <w:rPr>
                <w:rFonts w:hint="default" w:ascii="Calibri" w:hAnsi="Calibri" w:cs="Calibri"/>
                <w:vertAlign w:val="superscript"/>
              </w:rPr>
              <w:t>-8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</w:rPr>
              <w:t>+1.016×10</w:t>
            </w:r>
            <w:r>
              <w:rPr>
                <w:rFonts w:hint="default" w:ascii="Calibri" w:hAnsi="Calibri" w:cs="Calibri"/>
                <w:vertAlign w:val="superscript"/>
              </w:rPr>
              <w:t>-10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  <w:vertAlign w:val="superscript"/>
              </w:rPr>
              <w:t>2</w:t>
            </w:r>
          </w:p>
        </w:tc>
      </w:tr>
      <w:tr w14:paraId="64EB6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36F688E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</w:rPr>
              <w:t>CO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-N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</w:p>
        </w:tc>
        <w:tc>
          <w:tcPr>
            <w:tcW w:w="0" w:type="auto"/>
            <w:vAlign w:val="center"/>
          </w:tcPr>
          <w:p w14:paraId="740AFF27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  <w:i/>
                <w:iCs/>
              </w:rPr>
              <w:t>D</w:t>
            </w:r>
            <w:r>
              <w:rPr>
                <w:rFonts w:hint="default" w:ascii="Calibri" w:hAnsi="Calibri" w:cs="Calibri"/>
              </w:rPr>
              <w:t xml:space="preserve"> = -5.179×10</w:t>
            </w:r>
            <w:r>
              <w:rPr>
                <w:rFonts w:hint="default" w:ascii="Calibri" w:hAnsi="Calibri" w:cs="Calibri"/>
                <w:vertAlign w:val="superscript"/>
              </w:rPr>
              <w:t>-6</w:t>
            </w:r>
            <w:r>
              <w:rPr>
                <w:rFonts w:hint="default" w:ascii="Calibri" w:hAnsi="Calibri" w:cs="Calibri"/>
              </w:rPr>
              <w:t>+4.381×10</w:t>
            </w:r>
            <w:r>
              <w:rPr>
                <w:rFonts w:hint="default" w:ascii="Calibri" w:hAnsi="Calibri" w:cs="Calibri"/>
                <w:vertAlign w:val="superscript"/>
              </w:rPr>
              <w:t>-8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</w:rPr>
              <w:t>+9.812×10</w:t>
            </w:r>
            <w:r>
              <w:rPr>
                <w:rFonts w:hint="default" w:ascii="Calibri" w:hAnsi="Calibri" w:cs="Calibri"/>
                <w:vertAlign w:val="superscript"/>
              </w:rPr>
              <w:t>-11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  <w:vertAlign w:val="superscript"/>
              </w:rPr>
              <w:t>2</w:t>
            </w:r>
          </w:p>
        </w:tc>
      </w:tr>
      <w:tr w14:paraId="5F7BB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5D240C0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</w:rPr>
              <w:t>H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O-O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</w:p>
        </w:tc>
        <w:tc>
          <w:tcPr>
            <w:tcW w:w="0" w:type="auto"/>
            <w:vAlign w:val="center"/>
          </w:tcPr>
          <w:p w14:paraId="5E0ACD88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  <w:i/>
                <w:iCs/>
              </w:rPr>
              <w:t>D</w:t>
            </w:r>
            <w:r>
              <w:rPr>
                <w:rFonts w:hint="default" w:ascii="Calibri" w:hAnsi="Calibri" w:cs="Calibri"/>
              </w:rPr>
              <w:t xml:space="preserve"> = -7.106×10</w:t>
            </w:r>
            <w:r>
              <w:rPr>
                <w:rFonts w:hint="default" w:ascii="Calibri" w:hAnsi="Calibri" w:cs="Calibri"/>
                <w:vertAlign w:val="superscript"/>
              </w:rPr>
              <w:t>-6</w:t>
            </w:r>
            <w:r>
              <w:rPr>
                <w:rFonts w:hint="default" w:ascii="Calibri" w:hAnsi="Calibri" w:cs="Calibri"/>
              </w:rPr>
              <w:t>+4.319×10</w:t>
            </w:r>
            <w:r>
              <w:rPr>
                <w:rFonts w:hint="default" w:ascii="Calibri" w:hAnsi="Calibri" w:cs="Calibri"/>
                <w:vertAlign w:val="superscript"/>
              </w:rPr>
              <w:t>-8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</w:rPr>
              <w:t>+1.861×10</w:t>
            </w:r>
            <w:r>
              <w:rPr>
                <w:rFonts w:hint="default" w:ascii="Calibri" w:hAnsi="Calibri" w:cs="Calibri"/>
                <w:vertAlign w:val="superscript"/>
              </w:rPr>
              <w:t>-10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  <w:vertAlign w:val="superscript"/>
              </w:rPr>
              <w:t>2</w:t>
            </w:r>
          </w:p>
        </w:tc>
      </w:tr>
      <w:tr w14:paraId="701FD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7CFE5C9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</w:rPr>
              <w:t>H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O-NO</w:t>
            </w:r>
          </w:p>
        </w:tc>
        <w:tc>
          <w:tcPr>
            <w:tcW w:w="0" w:type="auto"/>
            <w:vAlign w:val="center"/>
          </w:tcPr>
          <w:p w14:paraId="6DAF10AE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  <w:i/>
                <w:iCs/>
              </w:rPr>
              <w:t>D</w:t>
            </w:r>
            <w:r>
              <w:rPr>
                <w:rFonts w:hint="default" w:ascii="Calibri" w:hAnsi="Calibri" w:cs="Calibri"/>
              </w:rPr>
              <w:t xml:space="preserve"> = -6.755×10</w:t>
            </w:r>
            <w:r>
              <w:rPr>
                <w:rFonts w:hint="default" w:ascii="Calibri" w:hAnsi="Calibri" w:cs="Calibri"/>
                <w:vertAlign w:val="superscript"/>
              </w:rPr>
              <w:t>-6</w:t>
            </w:r>
            <w:r>
              <w:rPr>
                <w:rFonts w:hint="default" w:ascii="Calibri" w:hAnsi="Calibri" w:cs="Calibri"/>
              </w:rPr>
              <w:t>+4.039×10</w:t>
            </w:r>
            <w:r>
              <w:rPr>
                <w:rFonts w:hint="default" w:ascii="Calibri" w:hAnsi="Calibri" w:cs="Calibri"/>
                <w:vertAlign w:val="superscript"/>
              </w:rPr>
              <w:t>-8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</w:rPr>
              <w:t>+1.868×10</w:t>
            </w:r>
            <w:r>
              <w:rPr>
                <w:rFonts w:hint="default" w:ascii="Calibri" w:hAnsi="Calibri" w:cs="Calibri"/>
                <w:vertAlign w:val="superscript"/>
              </w:rPr>
              <w:t>-10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  <w:vertAlign w:val="superscript"/>
              </w:rPr>
              <w:t>2</w:t>
            </w:r>
          </w:p>
        </w:tc>
      </w:tr>
      <w:tr w14:paraId="19220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0FCDB80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</w:rPr>
              <w:t>H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O-N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</w:p>
        </w:tc>
        <w:tc>
          <w:tcPr>
            <w:tcW w:w="0" w:type="auto"/>
            <w:vAlign w:val="center"/>
          </w:tcPr>
          <w:p w14:paraId="4F7D6895">
            <w:pPr>
              <w:pStyle w:val="20"/>
              <w:jc w:val="both"/>
              <w:rPr>
                <w:rFonts w:hint="default" w:ascii="Calibri" w:hAnsi="Calibri" w:cs="Calibri" w:eastAsiaTheme="minorEastAsia"/>
              </w:rPr>
            </w:pPr>
            <w:r>
              <w:rPr>
                <w:rFonts w:hint="default" w:ascii="Calibri" w:hAnsi="Calibri" w:cs="Calibri"/>
                <w:i/>
                <w:iCs/>
              </w:rPr>
              <w:t>D</w:t>
            </w:r>
            <w:r>
              <w:rPr>
                <w:rFonts w:hint="default" w:ascii="Calibri" w:hAnsi="Calibri" w:cs="Calibri"/>
              </w:rPr>
              <w:t xml:space="preserve"> = -7.940×10</w:t>
            </w:r>
            <w:r>
              <w:rPr>
                <w:rFonts w:hint="default" w:ascii="Calibri" w:hAnsi="Calibri" w:cs="Calibri"/>
                <w:vertAlign w:val="superscript"/>
              </w:rPr>
              <w:t>-6</w:t>
            </w:r>
            <w:r>
              <w:rPr>
                <w:rFonts w:hint="default" w:ascii="Calibri" w:hAnsi="Calibri" w:cs="Calibri"/>
              </w:rPr>
              <w:t>+5.166×10</w:t>
            </w:r>
            <w:r>
              <w:rPr>
                <w:rFonts w:hint="default" w:ascii="Calibri" w:hAnsi="Calibri" w:cs="Calibri"/>
                <w:vertAlign w:val="superscript"/>
              </w:rPr>
              <w:t>-8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</w:rPr>
              <w:t>+1.701×10</w:t>
            </w:r>
            <w:r>
              <w:rPr>
                <w:rFonts w:hint="default" w:ascii="Calibri" w:hAnsi="Calibri" w:cs="Calibri"/>
                <w:vertAlign w:val="superscript"/>
              </w:rPr>
              <w:t>-10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  <w:vertAlign w:val="superscript"/>
              </w:rPr>
              <w:t>2</w:t>
            </w:r>
          </w:p>
        </w:tc>
      </w:tr>
      <w:tr w14:paraId="2413E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9727F69">
            <w:pPr>
              <w:pStyle w:val="2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O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-NO</w:t>
            </w:r>
          </w:p>
        </w:tc>
        <w:tc>
          <w:tcPr>
            <w:tcW w:w="0" w:type="auto"/>
            <w:vAlign w:val="center"/>
          </w:tcPr>
          <w:p w14:paraId="488EA9C6">
            <w:pPr>
              <w:pStyle w:val="2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i/>
                <w:iCs/>
              </w:rPr>
              <w:t>D</w:t>
            </w:r>
            <w:r>
              <w:rPr>
                <w:rFonts w:hint="default" w:ascii="Calibri" w:hAnsi="Calibri" w:cs="Calibri"/>
              </w:rPr>
              <w:t xml:space="preserve"> = -6.665×10</w:t>
            </w:r>
            <w:r>
              <w:rPr>
                <w:rFonts w:hint="default" w:ascii="Calibri" w:hAnsi="Calibri" w:cs="Calibri"/>
                <w:vertAlign w:val="superscript"/>
              </w:rPr>
              <w:t>-6</w:t>
            </w:r>
            <w:r>
              <w:rPr>
                <w:rFonts w:hint="default" w:ascii="Calibri" w:hAnsi="Calibri" w:cs="Calibri"/>
              </w:rPr>
              <w:t>+5.755×10</w:t>
            </w:r>
            <w:r>
              <w:rPr>
                <w:rFonts w:hint="default" w:ascii="Calibri" w:hAnsi="Calibri" w:cs="Calibri"/>
                <w:vertAlign w:val="superscript"/>
              </w:rPr>
              <w:t>-8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</w:rPr>
              <w:t>+1.281×10</w:t>
            </w:r>
            <w:r>
              <w:rPr>
                <w:rFonts w:hint="default" w:ascii="Calibri" w:hAnsi="Calibri" w:cs="Calibri"/>
                <w:vertAlign w:val="superscript"/>
              </w:rPr>
              <w:t>-10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  <w:vertAlign w:val="superscript"/>
              </w:rPr>
              <w:t>2</w:t>
            </w:r>
          </w:p>
        </w:tc>
      </w:tr>
      <w:tr w14:paraId="453BF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AA3DEEE">
            <w:pPr>
              <w:pStyle w:val="2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O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  <w:r>
              <w:rPr>
                <w:rFonts w:hint="default" w:ascii="Calibri" w:hAnsi="Calibri" w:cs="Calibri"/>
              </w:rPr>
              <w:t>-N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</w:p>
        </w:tc>
        <w:tc>
          <w:tcPr>
            <w:tcW w:w="0" w:type="auto"/>
            <w:vAlign w:val="center"/>
          </w:tcPr>
          <w:p w14:paraId="6BAC1F5C">
            <w:pPr>
              <w:pStyle w:val="2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i/>
                <w:iCs/>
              </w:rPr>
              <w:t>D</w:t>
            </w:r>
            <w:r>
              <w:rPr>
                <w:rFonts w:hint="default" w:ascii="Calibri" w:hAnsi="Calibri" w:cs="Calibri"/>
              </w:rPr>
              <w:t xml:space="preserve"> = -6.138×10</w:t>
            </w:r>
            <w:r>
              <w:rPr>
                <w:rFonts w:hint="default" w:ascii="Calibri" w:hAnsi="Calibri" w:cs="Calibri"/>
                <w:vertAlign w:val="superscript"/>
              </w:rPr>
              <w:t>-6</w:t>
            </w:r>
            <w:r>
              <w:rPr>
                <w:rFonts w:hint="default" w:ascii="Calibri" w:hAnsi="Calibri" w:cs="Calibri"/>
              </w:rPr>
              <w:t>+5.699×10</w:t>
            </w:r>
            <w:r>
              <w:rPr>
                <w:rFonts w:hint="default" w:ascii="Calibri" w:hAnsi="Calibri" w:cs="Calibri"/>
                <w:vertAlign w:val="superscript"/>
              </w:rPr>
              <w:t>-8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</w:rPr>
              <w:t>+1.232×10</w:t>
            </w:r>
            <w:r>
              <w:rPr>
                <w:rFonts w:hint="default" w:ascii="Calibri" w:hAnsi="Calibri" w:cs="Calibri"/>
                <w:vertAlign w:val="superscript"/>
              </w:rPr>
              <w:t>-10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  <w:vertAlign w:val="superscript"/>
              </w:rPr>
              <w:t>2</w:t>
            </w:r>
          </w:p>
        </w:tc>
      </w:tr>
      <w:tr w14:paraId="2D4CF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2787384C">
            <w:pPr>
              <w:pStyle w:val="2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</w:rPr>
              <w:t>NO-N</w:t>
            </w:r>
            <w:r>
              <w:rPr>
                <w:rFonts w:hint="default" w:ascii="Calibri" w:hAnsi="Calibri" w:cs="Calibri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09877981">
            <w:pPr>
              <w:pStyle w:val="2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i/>
                <w:iCs/>
              </w:rPr>
              <w:t>D</w:t>
            </w:r>
            <w:r>
              <w:rPr>
                <w:rFonts w:hint="default" w:ascii="Calibri" w:hAnsi="Calibri" w:cs="Calibri"/>
              </w:rPr>
              <w:t xml:space="preserve"> = -6.182×10</w:t>
            </w:r>
            <w:r>
              <w:rPr>
                <w:rFonts w:hint="default" w:ascii="Calibri" w:hAnsi="Calibri" w:cs="Calibri"/>
                <w:vertAlign w:val="superscript"/>
              </w:rPr>
              <w:t>-6</w:t>
            </w:r>
            <w:r>
              <w:rPr>
                <w:rFonts w:hint="default" w:ascii="Calibri" w:hAnsi="Calibri" w:cs="Calibri"/>
              </w:rPr>
              <w:t>+5.677×10</w:t>
            </w:r>
            <w:r>
              <w:rPr>
                <w:rFonts w:hint="default" w:ascii="Calibri" w:hAnsi="Calibri" w:cs="Calibri"/>
                <w:vertAlign w:val="superscript"/>
              </w:rPr>
              <w:t>-8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</w:rPr>
              <w:t>+1.235×10</w:t>
            </w:r>
            <w:r>
              <w:rPr>
                <w:rFonts w:hint="default" w:ascii="Calibri" w:hAnsi="Calibri" w:cs="Calibri"/>
                <w:vertAlign w:val="superscript"/>
              </w:rPr>
              <w:t>-10</w:t>
            </w:r>
            <w:r>
              <w:rPr>
                <w:rFonts w:hint="default" w:ascii="Calibri" w:hAnsi="Calibri" w:cs="Calibri"/>
                <w:i/>
                <w:iCs/>
              </w:rPr>
              <w:t>T</w:t>
            </w:r>
            <w:r>
              <w:rPr>
                <w:rFonts w:hint="default" w:ascii="Calibri" w:hAnsi="Calibri" w:cs="Calibri"/>
                <w:vertAlign w:val="superscript"/>
              </w:rPr>
              <w:t>2</w:t>
            </w:r>
          </w:p>
        </w:tc>
      </w:tr>
    </w:tbl>
    <w:p w14:paraId="001E6F15">
      <w:pPr>
        <w:rPr>
          <w:rFonts w:hint="eastAsia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6222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7702A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7702A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A132FE"/>
    <w:multiLevelType w:val="multilevel"/>
    <w:tmpl w:val="43A132F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>
    <w:nsid w:val="7B0836C5"/>
    <w:multiLevelType w:val="multilevel"/>
    <w:tmpl w:val="7B0836C5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eastAsia" w:ascii="Times New Roman" w:hAnsi="Times New Roman" w:eastAsia="黑体"/>
        <w:b/>
        <w:sz w:val="32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TSzNLSwsDQ1NzAwNzVS0lEKTi0uzszPAykwrAUAm7wEViwAAAA="/>
  </w:docVars>
  <w:rsids>
    <w:rsidRoot w:val="004C047E"/>
    <w:rsid w:val="00130D97"/>
    <w:rsid w:val="001D4A05"/>
    <w:rsid w:val="004C047E"/>
    <w:rsid w:val="005C6A09"/>
    <w:rsid w:val="00605D51"/>
    <w:rsid w:val="0079291B"/>
    <w:rsid w:val="00842676"/>
    <w:rsid w:val="00877F87"/>
    <w:rsid w:val="008B3B93"/>
    <w:rsid w:val="009036D9"/>
    <w:rsid w:val="00A065C5"/>
    <w:rsid w:val="00A2048E"/>
    <w:rsid w:val="00B14502"/>
    <w:rsid w:val="00C34FE2"/>
    <w:rsid w:val="00CC3F32"/>
    <w:rsid w:val="00D858BF"/>
    <w:rsid w:val="00E054B9"/>
    <w:rsid w:val="00E20431"/>
    <w:rsid w:val="0D673961"/>
    <w:rsid w:val="182545F3"/>
    <w:rsid w:val="30F14934"/>
    <w:rsid w:val="3764171D"/>
    <w:rsid w:val="5BB5303D"/>
    <w:rsid w:val="6E6F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numPr>
        <w:ilvl w:val="0"/>
        <w:numId w:val="1"/>
      </w:numPr>
      <w:spacing w:before="100" w:beforeLines="100" w:after="100" w:afterLines="100"/>
      <w:jc w:val="center"/>
      <w:outlineLvl w:val="0"/>
    </w:pPr>
    <w:rPr>
      <w:rFonts w:ascii="Times New Roman" w:hAnsi="Times New Roman"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numPr>
        <w:ilvl w:val="1"/>
        <w:numId w:val="2"/>
      </w:numPr>
      <w:ind w:left="0" w:firstLine="0"/>
      <w:jc w:val="left"/>
      <w:outlineLvl w:val="1"/>
    </w:pPr>
    <w:rPr>
      <w:rFonts w:ascii="Times New Roman" w:hAnsi="Times New Roman" w:eastAsia="黑体" w:cstheme="majorBidi"/>
      <w:bCs/>
      <w:sz w:val="24"/>
      <w:szCs w:val="32"/>
    </w:rPr>
  </w:style>
  <w:style w:type="paragraph" w:styleId="4">
    <w:name w:val="heading 3"/>
    <w:basedOn w:val="1"/>
    <w:next w:val="1"/>
    <w:link w:val="15"/>
    <w:unhideWhenUsed/>
    <w:qFormat/>
    <w:uiPriority w:val="9"/>
    <w:pPr>
      <w:keepNext/>
      <w:keepLines/>
      <w:numPr>
        <w:ilvl w:val="2"/>
        <w:numId w:val="1"/>
      </w:numPr>
      <w:spacing w:before="50" w:beforeLines="50" w:after="50" w:afterLines="50"/>
      <w:jc w:val="left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6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正文一"/>
    <w:basedOn w:val="1"/>
    <w:link w:val="12"/>
    <w:qFormat/>
    <w:uiPriority w:val="0"/>
    <w:pPr>
      <w:adjustRightInd w:val="0"/>
      <w:snapToGrid w:val="0"/>
      <w:spacing w:line="440" w:lineRule="exact"/>
      <w:ind w:firstLine="200" w:firstLineChars="200"/>
    </w:pPr>
    <w:rPr>
      <w:rFonts w:ascii="Times New Roman" w:hAnsi="Times New Roman" w:eastAsia="宋体" w:cs="Times New Roman"/>
      <w:sz w:val="24"/>
      <w:szCs w:val="24"/>
    </w:rPr>
  </w:style>
  <w:style w:type="character" w:customStyle="1" w:styleId="12">
    <w:name w:val="正文一 字符"/>
    <w:basedOn w:val="10"/>
    <w:link w:val="11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3">
    <w:name w:val="标题 1 字符"/>
    <w:basedOn w:val="10"/>
    <w:link w:val="2"/>
    <w:qFormat/>
    <w:uiPriority w:val="9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14">
    <w:name w:val="标题 2 字符"/>
    <w:basedOn w:val="10"/>
    <w:link w:val="3"/>
    <w:qFormat/>
    <w:uiPriority w:val="9"/>
    <w:rPr>
      <w:rFonts w:ascii="Times New Roman" w:hAnsi="Times New Roman" w:eastAsia="黑体" w:cstheme="majorBidi"/>
      <w:bCs/>
      <w:sz w:val="24"/>
      <w:szCs w:val="32"/>
    </w:rPr>
  </w:style>
  <w:style w:type="character" w:customStyle="1" w:styleId="15">
    <w:name w:val="标题 3 字符"/>
    <w:basedOn w:val="10"/>
    <w:link w:val="4"/>
    <w:qFormat/>
    <w:uiPriority w:val="9"/>
    <w:rPr>
      <w:rFonts w:ascii="Times New Roman" w:hAnsi="Times New Roman" w:eastAsia="宋体"/>
      <w:b/>
      <w:bCs/>
      <w:sz w:val="24"/>
      <w:szCs w:val="32"/>
    </w:rPr>
  </w:style>
  <w:style w:type="paragraph" w:customStyle="1" w:styleId="16">
    <w:name w:val="样式1"/>
    <w:basedOn w:val="1"/>
    <w:link w:val="18"/>
    <w:qFormat/>
    <w:uiPriority w:val="0"/>
    <w:pPr>
      <w:spacing w:line="360" w:lineRule="auto"/>
      <w:jc w:val="center"/>
    </w:pPr>
    <w:rPr>
      <w:rFonts w:ascii="Times New Roman" w:hAnsi="Times New Roman"/>
      <w:sz w:val="20"/>
    </w:rPr>
  </w:style>
  <w:style w:type="paragraph" w:customStyle="1" w:styleId="17">
    <w:name w:val="正文1"/>
    <w:basedOn w:val="1"/>
    <w:link w:val="19"/>
    <w:qFormat/>
    <w:uiPriority w:val="0"/>
    <w:pPr>
      <w:spacing w:line="480" w:lineRule="auto"/>
      <w:ind w:firstLine="200" w:firstLineChars="200"/>
    </w:pPr>
    <w:rPr>
      <w:rFonts w:ascii="Times New Roman" w:hAnsi="Times New Roman" w:eastAsia="宋体"/>
    </w:rPr>
  </w:style>
  <w:style w:type="character" w:customStyle="1" w:styleId="18">
    <w:name w:val="样式1 字符"/>
    <w:basedOn w:val="10"/>
    <w:link w:val="16"/>
    <w:qFormat/>
    <w:uiPriority w:val="0"/>
    <w:rPr>
      <w:rFonts w:ascii="Times New Roman" w:hAnsi="Times New Roman"/>
      <w:sz w:val="20"/>
    </w:rPr>
  </w:style>
  <w:style w:type="character" w:customStyle="1" w:styleId="19">
    <w:name w:val="正文1 字符"/>
    <w:basedOn w:val="10"/>
    <w:link w:val="17"/>
    <w:qFormat/>
    <w:uiPriority w:val="0"/>
    <w:rPr>
      <w:rFonts w:ascii="Times New Roman" w:hAnsi="Times New Roman" w:eastAsia="宋体"/>
    </w:rPr>
  </w:style>
  <w:style w:type="paragraph" w:customStyle="1" w:styleId="20">
    <w:name w:val="正文2"/>
    <w:qFormat/>
    <w:uiPriority w:val="0"/>
    <w:pPr>
      <w:jc w:val="center"/>
    </w:pPr>
    <w:rPr>
      <w:rFonts w:ascii="Times New Roman" w:hAnsi="Times New Roman" w:eastAsia="宋体" w:cs="Calibri"/>
      <w:kern w:val="2"/>
      <w:sz w:val="20"/>
      <w:szCs w:val="21"/>
      <w:lang w:val="en-US" w:eastAsia="zh-CN" w:bidi="ar-SA"/>
    </w:rPr>
  </w:style>
  <w:style w:type="character" w:customStyle="1" w:styleId="21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1350</Characters>
  <Lines>153</Lines>
  <Paragraphs>115</Paragraphs>
  <TotalTime>2</TotalTime>
  <ScaleCrop>false</ScaleCrop>
  <LinksUpToDate>false</LinksUpToDate>
  <CharactersWithSpaces>1460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2024-05-08T09:58:00Z</dcterms:created>
  <dc:creator>si bo</dc:creator>
  <cp:lastModifiedBy>WALL</cp:lastModifiedBy>
  <dcterms:modified xsi:type="dcterms:W3CDTF">2026-09-17T11:27:54Z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38ff1937-9d1b-45db-a57a-242fd9817027</vt:lpwstr>
  </property>
  <property fmtid="{D5CDD505-2E9C-101B-9397-08002B2CF9AE}" pid="3" name="KSOTemplateDocerSaveRecord">
    <vt:lpwstr>eyJoZGlkIjoiOTM3N2I0NDFjZGFhZGRmYTU2NjEwNmYzYzYzZTRhNTgiLCJ1c2VySWQiOiIxMDMzMDc2MjIxIn0=</vt:lpwstr>
  </property>
  <property fmtid="{D5CDD505-2E9C-101B-9397-08002B2CF9AE}" pid="4" name="KSOProductBuildVer">
    <vt:lpwstr>2052-12.1.0.28505</vt:lpwstr>
  </property>
  <property fmtid="{D5CDD505-2E9C-101B-9397-08002B2CF9AE}" pid="5" name="ICV">
    <vt:lpwstr>1B1BCB8025AE4868B43C3396695F1607_13</vt:lpwstr>
  </property>
</Properties>
</file>