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Additional file 1</w:t>
      </w:r>
    </w:p>
    <w:p>
      <w:pPr>
        <w:jc w:val="center"/>
      </w:pPr>
      <w:r>
        <w:rPr>
          <w:b/>
        </w:rPr>
        <w:t>Supplementary tables</w:t>
      </w:r>
    </w:p>
    <w:p>
      <w:r>
        <w:t>Supporting information for: First-hour infection recognition and 24-hour sepsis classification in emergency resuscitation-room encounters: a retrospective cohort study</w:t>
      </w:r>
    </w:p>
    <w:p>
      <w:pPr>
        <w:keepNext/>
      </w:pPr>
      <w:r>
        <w:rPr>
          <w:b/>
        </w:rPr>
        <w:t>Table S1. Extended characteristics by final diagnostic group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Characteristic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Overall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Non-infectious critical illness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Infection without sepsis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Sepsis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FDR-adjusted P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Effect size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Missing, %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Age, years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65.0 (52.0–76.0)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59.0 (44.0–72.0)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65.0 (46.2–75.8)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67.0 (55.0–77.0)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0.024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Temperature, °C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36.6 (36.5–37.0)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36.6 (36.5–36.8)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36.7 (36.5–37.3)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36.7 (36.5–37.2)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0.017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0.2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Systolic blood pressure, mmHg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125.0 (110.0–142.0)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127.0 (112.0–144.0)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129.0 (115.0–141.0)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123.0 (108.0–140.0)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0.004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0.008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Diastolic blood pressure, mmHg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73.0 (65.0–83.0)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76.0 (67.0–85.0)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76.0 (66.0–84.0)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72.0 (63.0–81.0)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0.014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Pulse, beats/min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87.0 (77.0–101.0)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82.0 (72.0–93.5)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88.0 (78.0–100.0)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89.0 (78.0–105.0)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Respiratory rate, breaths/min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20.0 (17.0–23.0)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19.0 (16.0–20.0)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20.0 (17.0–22.2)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20.0 (18.0–24.0)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0.034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1.4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Peripheral oxygen saturation, %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98.0 (97.0–100.0)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98.0 (97.0–100.0)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98.0 (97.0–99.0)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98.0 (97.0–100.0)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0.104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0.002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1.5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White blood cells, ×10⁹/L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9.00 (6.26–12.76)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7.92 (6.14–10.43)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9.27 (6.10–12.54)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9.60 (6.38–13.75)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0.012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Neutrophils, ×10⁹/L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6.99 (4.28–10.77)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5.64 (3.77–7.96)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7.04 (4.42–10.16)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7.81 (4.60–11.79)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0.028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Neutrophils, %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79.3 (69.2–87.3)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72.0 (61.1–80.0)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78.7 (68.2–85.4)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82.1 (73.0–89.0)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0.076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Haemoglobin, g/L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103.0 (80.2–123.0)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114.0 (85.0–131.0)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107.0 (93.5–122.0)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98.0 (76.0–121.0)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0.025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Platelets, ×10⁹/L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186.5 (126.2–258.8)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220.0 (184.0–265.0)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236.0 (185.0–318.0)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153.0 (96.0–219.0)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0.162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Lymphocytes, ×10⁹/L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0.97 (0.62–1.49)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1.36 (0.94–1.89)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1.09 (0.70–1.58)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0.83 (0.52–1.25)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0.102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Neutrophil-to-lymphocyte ratio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6.88 (3.56–13.88)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3.88 (2.31–6.95)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6.71 (3.57–11.52)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8.58 (4.55–17.24)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0.094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Lactate, mmol/L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1.30 (1.00–2.00)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1.21 (0.90–1.80)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1.20 (0.90–1.65)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1.40 (1.00–2.10)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0.004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0.01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16.8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Procalcitonin, ng/mL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0.440 (0.070–4.660)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0.025 (0.025–0.207)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0.190 (0.025–1.230)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1.230 (0.195–12.340)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0.195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7.9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SOFA score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2.0 (1.0–4.0)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 (0.0–1.0)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 (0.0–1.0)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4.0 (2.0–6.0)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0.726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APACHE II score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9.0 (6.0–13.0)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6.0 (4.0–8.0)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7.5 (5.0–10.0)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11.0 (8.0–14.0)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0.177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18.0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Male sex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715 (59.8%)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145 (60.4%)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95 (43.6%)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475 (64.5%)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Smoking history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339 (28.6%)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73 (30.5%)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50 (23.0%)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216 (29.6%)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0.135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0.059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Hypertension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502 (42.3%)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88 (37.0%)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83 (38.2%)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331 (45.3%)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0.038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0.076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Diabetes mellitus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304 (25.6%)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48 (20.2%)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61 (28.1%)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195 (26.7%)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0.100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0.064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Chronic obstructive pulmonary disease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56 (4.7%)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6 (2.5%)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13 (6.0%)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37 (5.1%)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0.168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0.055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Cardiovascular disease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240 (20.2%)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33 (13.9%)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51 (23.5%)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156 (21.3%)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0.023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0.082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Chronic kidney failure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85 (7.2%)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 (0.4%)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 (1.8%)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80 (10.9%)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0.186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Cirrhosis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53 (4.5%)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3 (1.3%)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 (0.9%)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48 (6.6%)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&lt;0.001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0.129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  <w:tr>
        <w:trPr>
          <w:cantSplit/>
        </w:trPr>
        <w:tc>
          <w:tcPr>
            <w:tcW w:type="dxa" w:w="266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Malignancy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296 (25.0%)</w:t>
            </w:r>
          </w:p>
        </w:tc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42 (17.6%)</w:t>
            </w:r>
          </w:p>
        </w:tc>
        <w:tc>
          <w:tcPr>
            <w:tcW w:type="dxa" w:w="1987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52 (24.0%)</w:t>
            </w:r>
          </w:p>
        </w:tc>
        <w:tc>
          <w:tcPr>
            <w:tcW w:type="dxa" w:w="180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202 (27.7%)</w:t>
            </w:r>
          </w:p>
        </w:tc>
        <w:tc>
          <w:tcPr>
            <w:tcW w:type="dxa" w:w="115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0.009</w:t>
            </w:r>
          </w:p>
        </w:tc>
        <w:tc>
          <w:tcPr>
            <w:tcW w:type="dxa" w:w="100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0.092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</w:t>
            </w:r>
          </w:p>
        </w:tc>
      </w:tr>
    </w:tbl>
    <w:p>
      <w:pPr>
        <w:pStyle w:val="Caption"/>
      </w:pPr>
      <w:r>
        <w:rPr>
          <w:b/>
        </w:rPr>
        <w:t xml:space="preserve">Note. </w:t>
      </w:r>
      <w:r>
        <w:t>Continuous values are median (IQR); categorical values are n (%). Kruskal–Wallis or chi-square tests were adjusted by the Benjamini–Hochberg method. Effect size is epsilon-squared for continuous variables and Cramér's V for categorical variables. Percentages for categorical variables use non-missing observations as the denominator.</w:t>
      </w:r>
    </w:p>
    <w:p>
      <w:r>
        <w:br w:type="page"/>
      </w:r>
    </w:p>
    <w:p>
      <w:pPr>
        <w:keepNext/>
      </w:pPr>
      <w:r>
        <w:rPr>
          <w:b/>
        </w:rPr>
        <w:t>Table S2a. Secondary discrimination and calibration measures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Clinical question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Information set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AUROC (95% CI)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AUPRC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Brier score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Calibration intercept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Calibration slope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Age, sex and vital signs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0.706 (0.626–0.787)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0.915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0.15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-0.945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1.632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0.808 (0.733–0.877)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0.945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0.131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-0.329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1.144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 + lactate/PCT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0.868 (0.813–0.921)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0.967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0.12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-0.618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1.277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Full set + platelet count (sensitivity analysis)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0.867 (0.808–0.920)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0.966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0.12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-0.51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1.152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Age, sex and vital signs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0.709 (0.603–0.805)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0.897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0.153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-0.266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1.308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0.780 (0.682–0.865)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0.931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0.14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-0.614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1.567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 + lactate/PCT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0.766 (0.665–0.856)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0.924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0.141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-0.669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1.586</w:t>
            </w:r>
          </w:p>
        </w:tc>
      </w:tr>
      <w:tr>
        <w:trPr>
          <w:cantSplit/>
        </w:trPr>
        <w:tc>
          <w:tcPr>
            <w:tcW w:type="dxa" w:w="223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30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Full set + platelet count (sensitivity analysis)</w:t>
            </w:r>
          </w:p>
        </w:tc>
        <w:tc>
          <w:tcPr>
            <w:tcW w:type="dxa" w:w="165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0.808 (0.720–0.884)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0.941</w:t>
            </w:r>
          </w:p>
        </w:tc>
        <w:tc>
          <w:tcPr>
            <w:tcW w:type="dxa" w:w="1080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0.141</w:t>
            </w:r>
          </w:p>
        </w:tc>
        <w:tc>
          <w:tcPr>
            <w:tcW w:type="dxa" w:w="136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-0.798</w:t>
            </w:r>
          </w:p>
        </w:tc>
        <w:tc>
          <w:tcPr>
            <w:tcW w:type="dxa" w:w="129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1.636</w:t>
            </w:r>
          </w:p>
        </w:tc>
      </w:tr>
    </w:tbl>
    <w:p>
      <w:pPr>
        <w:pStyle w:val="Caption"/>
      </w:pPr>
      <w:r>
        <w:rPr>
          <w:b/>
        </w:rPr>
        <w:t xml:space="preserve">Note. </w:t>
      </w:r>
      <w:r>
        <w:t>Measures are from the post hoc 2025 temporal sample. AUROC confidence intervals were obtained from 2,500 stratified patient-group bootstrap samples. AUPRC, area under the precision–recall curve; AUROC, area under the receiver operating characteristic curve; CBC, complete blood count; PCT, procalcitonin.</w:t>
      </w:r>
    </w:p>
    <w:p>
      <w:pPr>
        <w:keepNext/>
      </w:pPr>
      <w:r>
        <w:rPr>
          <w:b/>
        </w:rPr>
        <w:t>Table S2b. Performance at development-fixed high-sensitivity thresholds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Clinical question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Information set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Threshold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TP/FP/TN/FN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Sensitivity (95% CI)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Specificity (95% CI)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PPV (95% CI)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4"/>
              </w:rPr>
              <w:t>NPV (95% CI)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Age, sex and vital signs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0.717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126/30/5/13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0.906 (0.847–0.945)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0.143 (0.063–0.294)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0.808 (0.739–0.862)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0.278 (0.125–0.509)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0.623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125/25/10/14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0.899 (0.838–0.939)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0.286 (0.163–0.451)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0.833 (0.766–0.884)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0.417 (0.245–0.612)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 + lactate/PCT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0.605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127/23/12/12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0.914 (0.855–0.950)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0.343 (0.208–0.508)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0.847 (0.780–0.896)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0.500 (0.314–0.686)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Infection vs non-infectious critical illness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Full set + platelet count (sensitivity analysis)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0.594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128/23/12/11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0.921 (0.864–0.955)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0.343 (0.208–0.508)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0.848 (0.782–0.896)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0.522 (0.330–0.708)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Age, sex and vital signs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0.645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103/26/3/7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0.936 (0.874–0.969)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0.103 (0.036–0.264)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0.798 (0.721–0.859)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0.300 (0.108–0.603)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0.63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103/21/8/7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0.936 (0.874–0.969)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0.276 (0.147–0.457)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0.831 (0.755–0.886)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0.533 (0.301–0.752)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Clinical information + CBC + lactate/PCT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0.639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104/19/10/6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0.945 (0.886–0.975)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0.345 (0.199–0.527)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0.846 (0.771–0.899)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0.625 (0.386–0.815)</w:t>
            </w:r>
          </w:p>
        </w:tc>
      </w:tr>
      <w:tr>
        <w:trPr>
          <w:cantSplit/>
        </w:trPr>
        <w:tc>
          <w:tcPr>
            <w:tcW w:type="dxa" w:w="2088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Sepsis vs infection without sepsis</w:t>
            </w:r>
          </w:p>
        </w:tc>
        <w:tc>
          <w:tcPr>
            <w:tcW w:type="dxa" w:w="27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4"/>
              </w:rPr>
              <w:t>Full set + platelet count (sensitivity analysis)</w:t>
            </w:r>
          </w:p>
        </w:tc>
        <w:tc>
          <w:tcPr>
            <w:tcW w:type="dxa" w:w="936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0.661</w:t>
            </w:r>
          </w:p>
        </w:tc>
        <w:tc>
          <w:tcPr>
            <w:tcW w:type="dxa" w:w="122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103/21/8/7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0.936 (0.874–0.969)</w:t>
            </w:r>
          </w:p>
        </w:tc>
        <w:tc>
          <w:tcPr>
            <w:tcW w:type="dxa" w:w="1584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0.276 (0.147–0.457)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0.831 (0.755–0.886)</w:t>
            </w:r>
          </w:p>
        </w:tc>
        <w:tc>
          <w:tcPr>
            <w:tcW w:type="dxa" w:w="1512"/>
            <w:tcMar>
              <w:top w:w="20" w:type="dxa"/>
              <w:start w:w="55" w:type="dxa"/>
              <w:bottom w:w="20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4"/>
              </w:rPr>
              <w:t>0.533 (0.301–0.752)</w:t>
            </w:r>
          </w:p>
        </w:tc>
      </w:tr>
    </w:tbl>
    <w:p>
      <w:pPr>
        <w:pStyle w:val="Caption"/>
      </w:pPr>
      <w:r>
        <w:rPr>
          <w:b/>
        </w:rPr>
        <w:t xml:space="preserve">Note. </w:t>
      </w:r>
      <w:r>
        <w:t>Thresholds were selected from out-of-fold development predictions to target approximately 90% sensitivity and were then applied unchanged to 2025. Wilson 95% confidence intervals are shown for proportions. FN, false negative; FP, false positive; NPV, negative predictive value; PPV, positive predictive value; TN, true negative; TP, true positive.</w:t>
      </w:r>
    </w:p>
    <w:p>
      <w:r>
        <w:br w:type="page"/>
      </w:r>
    </w:p>
    <w:p>
      <w:pPr>
        <w:keepNext/>
      </w:pPr>
      <w:r>
        <w:rPr>
          <w:b/>
        </w:rPr>
        <w:t>Table S3. Sensitivity and spectrum analyses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302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Analysis</w:t>
            </w:r>
          </w:p>
        </w:tc>
        <w:tc>
          <w:tcPr>
            <w:tcW w:type="dxa" w:w="691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n</w:t>
            </w:r>
          </w:p>
        </w:tc>
        <w:tc>
          <w:tcPr>
            <w:tcW w:type="dxa" w:w="79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Events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Comparator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Comparator AUROC (95% CI)</w:t>
            </w:r>
          </w:p>
        </w:tc>
        <w:tc>
          <w:tcPr>
            <w:tcW w:type="dxa" w:w="244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Expanded set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Expanded AUROC (95% CI)</w:t>
            </w:r>
          </w:p>
        </w:tc>
        <w:tc>
          <w:tcPr>
            <w:tcW w:type="dxa" w:w="1800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5"/>
              </w:rPr>
              <w:t>ΔAUROC (95% CI)</w:t>
            </w:r>
          </w:p>
        </w:tc>
      </w:tr>
      <w:tr>
        <w:trPr>
          <w:cantSplit/>
        </w:trPr>
        <w:tc>
          <w:tcPr>
            <w:tcW w:type="dxa" w:w="302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Both lactate and PCT measured, Question 1</w:t>
            </w:r>
          </w:p>
        </w:tc>
        <w:tc>
          <w:tcPr>
            <w:tcW w:type="dxa" w:w="691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79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115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0.772 (0.667–0.871)</w:t>
            </w:r>
          </w:p>
        </w:tc>
        <w:tc>
          <w:tcPr>
            <w:tcW w:type="dxa" w:w="244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 + lactate/PCT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0.851 (0.774–0.920)</w:t>
            </w:r>
          </w:p>
        </w:tc>
        <w:tc>
          <w:tcPr>
            <w:tcW w:type="dxa" w:w="1800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0.079 (0.036–0.131)</w:t>
            </w:r>
          </w:p>
        </w:tc>
      </w:tr>
      <w:tr>
        <w:trPr>
          <w:cantSplit/>
        </w:trPr>
        <w:tc>
          <w:tcPr>
            <w:tcW w:type="dxa" w:w="302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Both lactate and PCT measured, Question 2</w:t>
            </w:r>
          </w:p>
        </w:tc>
        <w:tc>
          <w:tcPr>
            <w:tcW w:type="dxa" w:w="691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115</w:t>
            </w:r>
          </w:p>
        </w:tc>
        <w:tc>
          <w:tcPr>
            <w:tcW w:type="dxa" w:w="79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95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0.822 (0.732–0.903)</w:t>
            </w:r>
          </w:p>
        </w:tc>
        <w:tc>
          <w:tcPr>
            <w:tcW w:type="dxa" w:w="244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 + lactate/PCT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0.829 (0.726–0.915)</w:t>
            </w:r>
          </w:p>
        </w:tc>
        <w:tc>
          <w:tcPr>
            <w:tcW w:type="dxa" w:w="1800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0.007 (-0.058–0.072)</w:t>
            </w:r>
          </w:p>
        </w:tc>
      </w:tr>
      <w:tr>
        <w:trPr>
          <w:cantSplit/>
        </w:trPr>
        <w:tc>
          <w:tcPr>
            <w:tcW w:type="dxa" w:w="302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Infection without sepsis vs non-infectious illness</w:t>
            </w:r>
          </w:p>
        </w:tc>
        <w:tc>
          <w:tcPr>
            <w:tcW w:type="dxa" w:w="691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64</w:t>
            </w:r>
          </w:p>
        </w:tc>
        <w:tc>
          <w:tcPr>
            <w:tcW w:type="dxa" w:w="79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29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0.677 (0.539–0.806)</w:t>
            </w:r>
          </w:p>
        </w:tc>
        <w:tc>
          <w:tcPr>
            <w:tcW w:type="dxa" w:w="244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 + lactate/PCT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0.729 (0.598–0.855)</w:t>
            </w:r>
          </w:p>
        </w:tc>
        <w:tc>
          <w:tcPr>
            <w:tcW w:type="dxa" w:w="1800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0.052 (0.000–0.119)</w:t>
            </w:r>
          </w:p>
        </w:tc>
      </w:tr>
      <w:tr>
        <w:trPr>
          <w:cantSplit/>
        </w:trPr>
        <w:tc>
          <w:tcPr>
            <w:tcW w:type="dxa" w:w="302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Question 2 excluding chronic kidney failure or cirrhosis</w:t>
            </w:r>
          </w:p>
        </w:tc>
        <w:tc>
          <w:tcPr>
            <w:tcW w:type="dxa" w:w="691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5"/>
              </w:rPr>
              <w:t>120</w:t>
            </w:r>
          </w:p>
        </w:tc>
        <w:tc>
          <w:tcPr>
            <w:tcW w:type="dxa" w:w="79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92</w:t>
            </w:r>
          </w:p>
        </w:tc>
        <w:tc>
          <w:tcPr>
            <w:tcW w:type="dxa" w:w="208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0.748 (0.648–0.841)</w:t>
            </w:r>
          </w:p>
        </w:tc>
        <w:tc>
          <w:tcPr>
            <w:tcW w:type="dxa" w:w="244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Clinical information + CBC + lactate/PCT</w:t>
            </w:r>
          </w:p>
        </w:tc>
        <w:tc>
          <w:tcPr>
            <w:tcW w:type="dxa" w:w="1872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0.746 (0.639–0.842)</w:t>
            </w:r>
          </w:p>
        </w:tc>
        <w:tc>
          <w:tcPr>
            <w:tcW w:type="dxa" w:w="1800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sz w:val="15"/>
              </w:rPr>
              <w:t>-0.002 (-0.079–0.070)</w:t>
            </w:r>
          </w:p>
        </w:tc>
      </w:tr>
    </w:tbl>
    <w:p>
      <w:pPr>
        <w:pStyle w:val="Caption"/>
      </w:pPr>
      <w:r>
        <w:rPr>
          <w:b/>
        </w:rPr>
        <w:t xml:space="preserve">Note. </w:t>
      </w:r>
      <w:r>
        <w:t>Confidence intervals were obtained from 2,500 outcome-stratified bootstrap samples within each selected 2025 subset. These analyses are descriptive because biomarker availability and subgroup membership were not randomly assigned. AUROC, area under the receiver operating characteristic curve; CBC, complete blood count; PCT, procalcitonin.</w:t>
      </w:r>
    </w:p>
    <w:p>
      <w:pPr>
        <w:keepNext/>
      </w:pPr>
      <w:r>
        <w:rPr>
          <w:b/>
        </w:rPr>
        <w:t>Table S4. Final reference-standard consistency audit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rPr>
          <w:tblHeader w:val="true"/>
        </w:trPr>
        <w:tc>
          <w:tcPr>
            <w:tcW w:type="dxa" w:w="950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Reference-standard audit action</w:t>
            </w:r>
          </w:p>
        </w:tc>
        <w:tc>
          <w:tcPr>
            <w:tcW w:type="dxa" w:w="172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center"/>
            </w:pPr>
            <w:r>
              <w:rPr>
                <w:rFonts w:ascii="Arial" w:hAnsi="Arial"/>
                <w:b/>
                <w:sz w:val="16"/>
              </w:rPr>
              <w:t>Encounters, n</w:t>
            </w:r>
          </w:p>
        </w:tc>
      </w:tr>
      <w:tr>
        <w:trPr>
          <w:cantSplit/>
        </w:trPr>
        <w:tc>
          <w:tcPr>
            <w:tcW w:type="dxa" w:w="950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Reclassified from sepsis to infection without sepsis</w:t>
            </w:r>
          </w:p>
        </w:tc>
        <w:tc>
          <w:tcPr>
            <w:tcW w:type="dxa" w:w="172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950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Reclassified from sepsis to non-infectious critical illness</w:t>
            </w:r>
          </w:p>
        </w:tc>
        <w:tc>
          <w:tcPr>
            <w:tcW w:type="dxa" w:w="172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950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Corrected SOFA summary from 1 to 2 using the documented discharge-record score</w:t>
            </w:r>
          </w:p>
        </w:tc>
        <w:tc>
          <w:tcPr>
            <w:tcW w:type="dxa" w:w="172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9504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Excluded because SOFA could not be reconstructed from available component data</w:t>
            </w:r>
          </w:p>
        </w:tc>
        <w:tc>
          <w:tcPr>
            <w:tcW w:type="dxa" w:w="1728"/>
            <w:tcMar>
              <w:top w:w="25" w:type="dxa"/>
              <w:start w:w="55" w:type="dxa"/>
              <w:bottom w:w="25" w:type="dxa"/>
              <w:end w:w="55" w:type="dxa"/>
            </w:tcMar>
            <w:vAlign w:val="center"/>
          </w:tcPr>
          <w:p>
            <w:pPr>
              <w:spacing w:line="240" w:lineRule="auto" w:after="0"/>
              <w:jc w:val="left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</w:tbl>
    <w:p>
      <w:pPr>
        <w:pStyle w:val="Caption"/>
      </w:pPr>
      <w:r>
        <w:rPr>
          <w:b/>
        </w:rPr>
        <w:t xml:space="preserve">Note. </w:t>
      </w:r>
      <w:r>
        <w:t>All audited encounters occurred before 2025; the post hoc temporal sample was unchanged. No record identifiers or patient-level data are included.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80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60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Times New Roman" w:hAnsi="Times New Roman" w:eastAsia="Times New Roman"/>
      <w:b/>
      <w:bCs/>
      <w:i w:val="0"/>
      <w:color w:val="00000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