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320BB" w14:textId="77777777" w:rsidR="00AE5DFD" w:rsidRPr="00B57EA4" w:rsidRDefault="001A186A">
      <w:pPr>
        <w:rPr>
          <w:rFonts w:ascii="Times New Roman" w:hAnsi="Times New Roman" w:cs="Times New Roman"/>
          <w:b/>
          <w:bCs/>
          <w:lang w:val="en-GB"/>
        </w:rPr>
      </w:pPr>
      <w:r w:rsidRPr="00B57EA4">
        <w:rPr>
          <w:rFonts w:ascii="Times New Roman" w:hAnsi="Times New Roman" w:cs="Times New Roman"/>
          <w:b/>
          <w:bCs/>
          <w:lang w:val="en-GB"/>
        </w:rPr>
        <w:t>Supplementary</w:t>
      </w:r>
      <w:r w:rsidR="00476929" w:rsidRPr="00B57EA4">
        <w:rPr>
          <w:rFonts w:ascii="Times New Roman" w:hAnsi="Times New Roman" w:cs="Times New Roman"/>
          <w:b/>
          <w:bCs/>
          <w:lang w:val="en-GB"/>
        </w:rPr>
        <w:t xml:space="preserve"> File 1:</w:t>
      </w:r>
      <w:r w:rsidRPr="00B57EA4">
        <w:rPr>
          <w:rFonts w:ascii="Times New Roman" w:hAnsi="Times New Roman" w:cs="Times New Roman"/>
          <w:b/>
          <w:bCs/>
          <w:lang w:val="en-GB"/>
        </w:rPr>
        <w:t xml:space="preserve"> Matri</w:t>
      </w:r>
      <w:r w:rsidR="009F19D1" w:rsidRPr="00B57EA4">
        <w:rPr>
          <w:rFonts w:ascii="Times New Roman" w:hAnsi="Times New Roman" w:cs="Times New Roman"/>
          <w:b/>
          <w:bCs/>
          <w:lang w:val="en-GB"/>
        </w:rPr>
        <w:t>ces</w:t>
      </w:r>
      <w:r w:rsidRPr="00B57EA4">
        <w:rPr>
          <w:rFonts w:ascii="Times New Roman" w:hAnsi="Times New Roman" w:cs="Times New Roman"/>
          <w:b/>
          <w:bCs/>
          <w:lang w:val="en-GB"/>
        </w:rPr>
        <w:t xml:space="preserve"> </w:t>
      </w:r>
    </w:p>
    <w:p w14:paraId="37AB6F97" w14:textId="77777777" w:rsidR="001A186A" w:rsidRPr="000C588B" w:rsidRDefault="001A186A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46E4BC89" w14:textId="77777777" w:rsidR="001A186A" w:rsidRDefault="001A186A" w:rsidP="001A186A">
      <w:pPr>
        <w:pStyle w:val="NoSpacing"/>
        <w:rPr>
          <w:rFonts w:ascii="Times New Roman" w:hAnsi="Times New Roman" w:cs="Times New Roman"/>
          <w:sz w:val="22"/>
          <w:szCs w:val="22"/>
          <w:lang w:val="en-US"/>
        </w:rPr>
      </w:pPr>
      <w:r w:rsidRPr="000C588B">
        <w:rPr>
          <w:rFonts w:ascii="Times New Roman" w:hAnsi="Times New Roman" w:cs="Times New Roman"/>
          <w:sz w:val="22"/>
          <w:szCs w:val="22"/>
          <w:lang w:val="en-US"/>
        </w:rPr>
        <w:t xml:space="preserve">Matrix 1: Themes </w:t>
      </w:r>
      <w:proofErr w:type="gramStart"/>
      <w:r w:rsidRPr="000C588B">
        <w:rPr>
          <w:rFonts w:ascii="Times New Roman" w:hAnsi="Times New Roman" w:cs="Times New Roman"/>
          <w:sz w:val="22"/>
          <w:szCs w:val="22"/>
          <w:lang w:val="en-US"/>
        </w:rPr>
        <w:t>from</w:t>
      </w:r>
      <w:proofErr w:type="gramEnd"/>
      <w:r w:rsidRPr="000C588B">
        <w:rPr>
          <w:rFonts w:ascii="Times New Roman" w:hAnsi="Times New Roman" w:cs="Times New Roman"/>
          <w:sz w:val="22"/>
          <w:szCs w:val="22"/>
          <w:lang w:val="en-US"/>
        </w:rPr>
        <w:t xml:space="preserve"> Security and Access Challenges</w:t>
      </w:r>
    </w:p>
    <w:p w14:paraId="1F8991B8" w14:textId="77777777" w:rsidR="00B57EA4" w:rsidRPr="000C588B" w:rsidRDefault="00B57EA4" w:rsidP="001A186A">
      <w:pPr>
        <w:pStyle w:val="NoSpacing"/>
        <w:rPr>
          <w:rFonts w:ascii="Times New Roman" w:hAnsi="Times New Roman" w:cs="Times New Roman"/>
          <w:sz w:val="22"/>
          <w:szCs w:val="22"/>
          <w:lang w:val="en-US"/>
        </w:rPr>
      </w:pPr>
    </w:p>
    <w:tbl>
      <w:tblPr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3783"/>
        <w:gridCol w:w="3389"/>
      </w:tblGrid>
      <w:tr w:rsidR="001A186A" w:rsidRPr="000C588B" w14:paraId="61423384" w14:textId="77777777" w:rsidTr="00F43237">
        <w:trPr>
          <w:trHeight w:val="165"/>
        </w:trPr>
        <w:tc>
          <w:tcPr>
            <w:tcW w:w="1838" w:type="dxa"/>
            <w:shd w:val="clear" w:color="auto" w:fill="F7CBAC"/>
          </w:tcPr>
          <w:p w14:paraId="5021B4F3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Sub-theme</w:t>
            </w:r>
          </w:p>
        </w:tc>
        <w:tc>
          <w:tcPr>
            <w:tcW w:w="3783" w:type="dxa"/>
            <w:shd w:val="clear" w:color="auto" w:fill="F7CBAC"/>
          </w:tcPr>
          <w:p w14:paraId="3827BEAC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Description</w:t>
            </w:r>
          </w:p>
        </w:tc>
        <w:tc>
          <w:tcPr>
            <w:tcW w:w="3389" w:type="dxa"/>
            <w:shd w:val="clear" w:color="auto" w:fill="F7CBAC"/>
          </w:tcPr>
          <w:p w14:paraId="67CA91A4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Illustrative Quote</w:t>
            </w:r>
          </w:p>
        </w:tc>
      </w:tr>
      <w:tr w:rsidR="001A186A" w:rsidRPr="000C588B" w14:paraId="5746C1AA" w14:textId="77777777" w:rsidTr="00F43237">
        <w:trPr>
          <w:trHeight w:val="180"/>
        </w:trPr>
        <w:tc>
          <w:tcPr>
            <w:tcW w:w="1838" w:type="dxa"/>
            <w:shd w:val="clear" w:color="auto" w:fill="F7CBAC"/>
          </w:tcPr>
          <w:p w14:paraId="43BF4138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Inaccessibility of High-Risk LGAs</w:t>
            </w:r>
          </w:p>
        </w:tc>
        <w:tc>
          <w:tcPr>
            <w:tcW w:w="3783" w:type="dxa"/>
          </w:tcPr>
          <w:p w14:paraId="1B35DB43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Several LGAs, including </w:t>
            </w:r>
            <w:proofErr w:type="spellStart"/>
            <w:r w:rsidRPr="000C588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Gulani</w:t>
            </w:r>
            <w:proofErr w:type="spellEnd"/>
            <w:r w:rsidRPr="000C588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Gujba</w:t>
            </w:r>
            <w:proofErr w:type="spellEnd"/>
            <w:r w:rsidRPr="000C588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, and parts of Borno, were labeled inaccessible due to active insurgency and roadblocks.</w:t>
            </w:r>
          </w:p>
        </w:tc>
        <w:tc>
          <w:tcPr>
            <w:tcW w:w="3389" w:type="dxa"/>
          </w:tcPr>
          <w:p w14:paraId="7C294B9D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"We don’t go to </w:t>
            </w:r>
            <w:proofErr w:type="spellStart"/>
            <w:r w:rsidRPr="000C588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Gulani</w:t>
            </w:r>
            <w:proofErr w:type="spellEnd"/>
            <w:r w:rsidRPr="000C588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anymore. It's a no-go area for surveillance due to the insurgency." – DSNO, Yobe</w:t>
            </w:r>
          </w:p>
        </w:tc>
      </w:tr>
      <w:tr w:rsidR="001A186A" w:rsidRPr="000C588B" w14:paraId="6B440078" w14:textId="77777777" w:rsidTr="00F43237">
        <w:trPr>
          <w:trHeight w:val="165"/>
        </w:trPr>
        <w:tc>
          <w:tcPr>
            <w:tcW w:w="1838" w:type="dxa"/>
            <w:shd w:val="clear" w:color="auto" w:fill="F7CBAC"/>
          </w:tcPr>
          <w:p w14:paraId="50808BDF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Fear of Violence and Abduction</w:t>
            </w:r>
          </w:p>
        </w:tc>
        <w:tc>
          <w:tcPr>
            <w:tcW w:w="3783" w:type="dxa"/>
          </w:tcPr>
          <w:p w14:paraId="6E82C02D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Health workers faced the constant threat of ambush, abduction, or being caught between warring factions during field operations.</w:t>
            </w:r>
          </w:p>
        </w:tc>
        <w:tc>
          <w:tcPr>
            <w:tcW w:w="3389" w:type="dxa"/>
          </w:tcPr>
          <w:p w14:paraId="29137A35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"We feared we wouldn’t return alive after hearing gunshots during sample collection." – Lab Focal Person, Yobe</w:t>
            </w:r>
          </w:p>
        </w:tc>
      </w:tr>
      <w:tr w:rsidR="001A186A" w:rsidRPr="000C588B" w14:paraId="25A3587D" w14:textId="77777777" w:rsidTr="00F43237">
        <w:trPr>
          <w:trHeight w:val="165"/>
        </w:trPr>
        <w:tc>
          <w:tcPr>
            <w:tcW w:w="1838" w:type="dxa"/>
            <w:shd w:val="clear" w:color="auto" w:fill="F7CBAC"/>
          </w:tcPr>
          <w:p w14:paraId="2AD2E4CB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Destruction of Health Infrastructure</w:t>
            </w:r>
          </w:p>
        </w:tc>
        <w:tc>
          <w:tcPr>
            <w:tcW w:w="3783" w:type="dxa"/>
          </w:tcPr>
          <w:p w14:paraId="77A01A7B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Facilities were vandalized or destroyed, with some lacking roofs, walls, or basic supplies due to previous attacks.</w:t>
            </w:r>
          </w:p>
        </w:tc>
        <w:tc>
          <w:tcPr>
            <w:tcW w:w="3389" w:type="dxa"/>
          </w:tcPr>
          <w:p w14:paraId="5424DF9C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"Our facility had no roof after it was attacked. We kept vaccines in the corridor." – Health Worker, Borno</w:t>
            </w:r>
          </w:p>
        </w:tc>
      </w:tr>
      <w:tr w:rsidR="001A186A" w:rsidRPr="000C588B" w14:paraId="1468187D" w14:textId="77777777" w:rsidTr="00F43237">
        <w:trPr>
          <w:trHeight w:val="165"/>
        </w:trPr>
        <w:tc>
          <w:tcPr>
            <w:tcW w:w="1838" w:type="dxa"/>
            <w:shd w:val="clear" w:color="auto" w:fill="F7CBAC"/>
          </w:tcPr>
          <w:p w14:paraId="06866DB5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Military Restrictions and Curfews</w:t>
            </w:r>
          </w:p>
        </w:tc>
        <w:tc>
          <w:tcPr>
            <w:tcW w:w="3783" w:type="dxa"/>
          </w:tcPr>
          <w:p w14:paraId="6E2B785E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Military-imposed curfews and restricted movement significantly reduced the time available for field surveillance and response.</w:t>
            </w:r>
          </w:p>
        </w:tc>
        <w:tc>
          <w:tcPr>
            <w:tcW w:w="3389" w:type="dxa"/>
          </w:tcPr>
          <w:p w14:paraId="14B59028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"You can’t move after 4 pm, and surveillance has to wait till morning, even during outbreaks." – WHO Officer, Adamawa</w:t>
            </w:r>
          </w:p>
        </w:tc>
      </w:tr>
      <w:tr w:rsidR="001A186A" w:rsidRPr="000C588B" w14:paraId="57CC02E6" w14:textId="77777777" w:rsidTr="00F43237">
        <w:trPr>
          <w:trHeight w:val="165"/>
        </w:trPr>
        <w:tc>
          <w:tcPr>
            <w:tcW w:w="1838" w:type="dxa"/>
            <w:shd w:val="clear" w:color="auto" w:fill="F7CBAC"/>
          </w:tcPr>
          <w:p w14:paraId="78803199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Dependence on Informal Access Routes</w:t>
            </w:r>
          </w:p>
        </w:tc>
        <w:tc>
          <w:tcPr>
            <w:tcW w:w="3783" w:type="dxa"/>
          </w:tcPr>
          <w:p w14:paraId="68FBB1A4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Health staff relied on market-day movements and community channels to reach otherwise inaccessible populations.</w:t>
            </w:r>
          </w:p>
        </w:tc>
        <w:tc>
          <w:tcPr>
            <w:tcW w:w="3389" w:type="dxa"/>
          </w:tcPr>
          <w:p w14:paraId="1ADAD28C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"We used market-day routes to carry drugs and collect data without drawing attention." – Director of Public Health, Yobe</w:t>
            </w:r>
          </w:p>
        </w:tc>
      </w:tr>
      <w:tr w:rsidR="001A186A" w:rsidRPr="000C588B" w14:paraId="4B1B45F0" w14:textId="77777777" w:rsidTr="00F43237">
        <w:trPr>
          <w:trHeight w:val="165"/>
        </w:trPr>
        <w:tc>
          <w:tcPr>
            <w:tcW w:w="1838" w:type="dxa"/>
            <w:shd w:val="clear" w:color="auto" w:fill="F7CBAC"/>
          </w:tcPr>
          <w:p w14:paraId="48981AAE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Adaptations through Vigilante Networks</w:t>
            </w:r>
          </w:p>
        </w:tc>
        <w:tc>
          <w:tcPr>
            <w:tcW w:w="3783" w:type="dxa"/>
          </w:tcPr>
          <w:p w14:paraId="0E4458FC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Surveillance activities were supported by local vigilantes who provided security and helped access restricted zones.</w:t>
            </w:r>
          </w:p>
        </w:tc>
        <w:tc>
          <w:tcPr>
            <w:tcW w:w="3389" w:type="dxa"/>
          </w:tcPr>
          <w:p w14:paraId="6F1671DE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"The vigilantes helped us enter the communities quietly and alerted us when it was safe." – Surveillance Officer, Borno</w:t>
            </w:r>
          </w:p>
        </w:tc>
      </w:tr>
      <w:tr w:rsidR="001A186A" w:rsidRPr="000C588B" w14:paraId="69F0D3BE" w14:textId="77777777" w:rsidTr="00F43237">
        <w:trPr>
          <w:trHeight w:val="165"/>
        </w:trPr>
        <w:tc>
          <w:tcPr>
            <w:tcW w:w="1838" w:type="dxa"/>
            <w:shd w:val="clear" w:color="auto" w:fill="F7CBAC"/>
          </w:tcPr>
          <w:p w14:paraId="7056DE6D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Impact on Disease Reporting and Sample Collection</w:t>
            </w:r>
          </w:p>
        </w:tc>
        <w:tc>
          <w:tcPr>
            <w:tcW w:w="3783" w:type="dxa"/>
          </w:tcPr>
          <w:p w14:paraId="4F9FFE6C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Delays in reaching affected areas often led to underreporting, late outbreak detection, and challenges in laboratory sample transport.</w:t>
            </w:r>
          </w:p>
        </w:tc>
        <w:tc>
          <w:tcPr>
            <w:tcW w:w="3389" w:type="dxa"/>
          </w:tcPr>
          <w:p w14:paraId="47F054C5" w14:textId="77777777" w:rsidR="001A186A" w:rsidRPr="000C588B" w:rsidRDefault="001A186A" w:rsidP="001A18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"We often hear of cholera only after dozens have died. We simply can't reach on time." – Epidemiologist, Adamawa</w:t>
            </w:r>
          </w:p>
        </w:tc>
      </w:tr>
    </w:tbl>
    <w:p w14:paraId="56F8197B" w14:textId="77777777" w:rsidR="001A186A" w:rsidRDefault="001A186A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1E0B87D2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5C4FA35D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53094F79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13FCBB01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25F895D8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30C7CB99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08443BD8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0BB0A72E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097034C1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06F66E63" w14:textId="77777777" w:rsidR="001A186A" w:rsidRDefault="001A186A" w:rsidP="001A186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 w:rsidRPr="000C588B">
        <w:rPr>
          <w:rFonts w:ascii="Times New Roman" w:hAnsi="Times New Roman" w:cs="Times New Roman"/>
          <w:sz w:val="22"/>
          <w:szCs w:val="22"/>
          <w:lang w:val="en-US"/>
        </w:rPr>
        <w:lastRenderedPageBreak/>
        <w:t xml:space="preserve">Matrix 2: </w:t>
      </w:r>
      <w:r w:rsidRPr="000C588B">
        <w:rPr>
          <w:rFonts w:ascii="Times New Roman" w:hAnsi="Times New Roman" w:cs="Times New Roman"/>
          <w:color w:val="000000"/>
          <w:sz w:val="22"/>
          <w:szCs w:val="22"/>
          <w:lang w:val="en-US"/>
        </w:rPr>
        <w:t>Sub-themes on Human Resource and Capacity Gaps</w:t>
      </w:r>
    </w:p>
    <w:p w14:paraId="75E65A2E" w14:textId="77777777" w:rsidR="00B57EA4" w:rsidRPr="000C588B" w:rsidRDefault="00B57EA4" w:rsidP="001A186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9"/>
        <w:gridCol w:w="3558"/>
        <w:gridCol w:w="3519"/>
      </w:tblGrid>
      <w:tr w:rsidR="001A186A" w:rsidRPr="000C588B" w14:paraId="4634DD1F" w14:textId="77777777" w:rsidTr="00F43237">
        <w:trPr>
          <w:trHeight w:val="165"/>
        </w:trPr>
        <w:tc>
          <w:tcPr>
            <w:tcW w:w="1939" w:type="dxa"/>
            <w:shd w:val="clear" w:color="auto" w:fill="F7CBAC"/>
          </w:tcPr>
          <w:p w14:paraId="36F57241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Sub-theme</w:t>
            </w:r>
          </w:p>
        </w:tc>
        <w:tc>
          <w:tcPr>
            <w:tcW w:w="3558" w:type="dxa"/>
            <w:shd w:val="clear" w:color="auto" w:fill="F7CBAC"/>
          </w:tcPr>
          <w:p w14:paraId="012CFA7D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Description</w:t>
            </w:r>
          </w:p>
        </w:tc>
        <w:tc>
          <w:tcPr>
            <w:tcW w:w="3519" w:type="dxa"/>
            <w:shd w:val="clear" w:color="auto" w:fill="F7CBAC"/>
          </w:tcPr>
          <w:p w14:paraId="35923CD7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Illustrative Quote</w:t>
            </w:r>
          </w:p>
        </w:tc>
      </w:tr>
      <w:tr w:rsidR="001A186A" w:rsidRPr="000C588B" w14:paraId="4DBF6D1A" w14:textId="77777777" w:rsidTr="00F43237">
        <w:trPr>
          <w:trHeight w:val="180"/>
        </w:trPr>
        <w:tc>
          <w:tcPr>
            <w:tcW w:w="1939" w:type="dxa"/>
            <w:shd w:val="clear" w:color="auto" w:fill="F7CBAC"/>
          </w:tcPr>
          <w:p w14:paraId="7513CB78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Shortage of Skilled Personnel</w:t>
            </w:r>
          </w:p>
        </w:tc>
        <w:tc>
          <w:tcPr>
            <w:tcW w:w="3558" w:type="dxa"/>
          </w:tcPr>
          <w:p w14:paraId="1371B94D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Many LGAs lack sufficient DSNOs, lab scientists, and surveillance focal persons, especially in high-risk or rural zones.</w:t>
            </w:r>
          </w:p>
        </w:tc>
        <w:tc>
          <w:tcPr>
            <w:tcW w:w="3519" w:type="dxa"/>
          </w:tcPr>
          <w:p w14:paraId="0CDE7872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"We have only one DSNO for four LGAs. He’s completely overwhelmed." – Surveillance Coordinator, Adamawa</w:t>
            </w:r>
          </w:p>
        </w:tc>
      </w:tr>
      <w:tr w:rsidR="001A186A" w:rsidRPr="000C588B" w14:paraId="407745FC" w14:textId="77777777" w:rsidTr="00F43237">
        <w:trPr>
          <w:trHeight w:val="165"/>
        </w:trPr>
        <w:tc>
          <w:tcPr>
            <w:tcW w:w="1939" w:type="dxa"/>
            <w:shd w:val="clear" w:color="auto" w:fill="F7CBAC"/>
          </w:tcPr>
          <w:p w14:paraId="43C9676C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High Staff Turnover</w:t>
            </w:r>
          </w:p>
        </w:tc>
        <w:tc>
          <w:tcPr>
            <w:tcW w:w="3558" w:type="dxa"/>
          </w:tcPr>
          <w:p w14:paraId="20916012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Frequent staff attrition due to insecurity, low pay, and burnout disrupts continuity and institutional memory.</w:t>
            </w:r>
          </w:p>
        </w:tc>
        <w:tc>
          <w:tcPr>
            <w:tcW w:w="3519" w:type="dxa"/>
          </w:tcPr>
          <w:p w14:paraId="041F511C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"Many people resign or transfer out. They don’t want to risk their lives." – WHO Consultant, Borno</w:t>
            </w:r>
          </w:p>
        </w:tc>
      </w:tr>
      <w:tr w:rsidR="001A186A" w:rsidRPr="000C588B" w14:paraId="1B9164DD" w14:textId="77777777" w:rsidTr="00F43237">
        <w:trPr>
          <w:trHeight w:val="165"/>
        </w:trPr>
        <w:tc>
          <w:tcPr>
            <w:tcW w:w="1939" w:type="dxa"/>
            <w:shd w:val="clear" w:color="auto" w:fill="F7CBAC"/>
          </w:tcPr>
          <w:p w14:paraId="3AC4B1D5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Lack of Regular Training</w:t>
            </w:r>
          </w:p>
        </w:tc>
        <w:tc>
          <w:tcPr>
            <w:tcW w:w="3558" w:type="dxa"/>
          </w:tcPr>
          <w:p w14:paraId="26E717B1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Most staff have not received refresher courses on IDSR tools or outbreak investigation in recent years.</w:t>
            </w:r>
          </w:p>
        </w:tc>
        <w:tc>
          <w:tcPr>
            <w:tcW w:w="3519" w:type="dxa"/>
          </w:tcPr>
          <w:p w14:paraId="0A849694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"I’ve never attended any IDSR training since I was posted here two years ago." – DSNO, Yobe</w:t>
            </w:r>
          </w:p>
        </w:tc>
      </w:tr>
      <w:tr w:rsidR="001A186A" w:rsidRPr="000C588B" w14:paraId="67341AFD" w14:textId="77777777" w:rsidTr="00F43237">
        <w:trPr>
          <w:trHeight w:val="165"/>
        </w:trPr>
        <w:tc>
          <w:tcPr>
            <w:tcW w:w="1939" w:type="dxa"/>
            <w:shd w:val="clear" w:color="auto" w:fill="F7CBAC"/>
          </w:tcPr>
          <w:p w14:paraId="33D7357F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Limited Motivation and Incentives</w:t>
            </w:r>
          </w:p>
        </w:tc>
        <w:tc>
          <w:tcPr>
            <w:tcW w:w="3558" w:type="dxa"/>
          </w:tcPr>
          <w:p w14:paraId="622C205A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Health workers reported working without hazard pay, transport allowances, or recognition for their frontline roles.</w:t>
            </w:r>
          </w:p>
        </w:tc>
        <w:tc>
          <w:tcPr>
            <w:tcW w:w="3519" w:type="dxa"/>
          </w:tcPr>
          <w:p w14:paraId="51E20705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"We work every day, even weekends, and don’t get any extra support." – Health Worker, Yobe</w:t>
            </w:r>
          </w:p>
        </w:tc>
      </w:tr>
      <w:tr w:rsidR="001A186A" w:rsidRPr="000C588B" w14:paraId="2E994D54" w14:textId="77777777" w:rsidTr="00F43237">
        <w:trPr>
          <w:trHeight w:val="165"/>
        </w:trPr>
        <w:tc>
          <w:tcPr>
            <w:tcW w:w="1939" w:type="dxa"/>
            <w:shd w:val="clear" w:color="auto" w:fill="F7CBAC"/>
          </w:tcPr>
          <w:p w14:paraId="54FC4363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Overburdened Field Officers</w:t>
            </w:r>
          </w:p>
        </w:tc>
        <w:tc>
          <w:tcPr>
            <w:tcW w:w="3558" w:type="dxa"/>
          </w:tcPr>
          <w:p w14:paraId="6CB200E2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Surveillance officers often handle multiple LGAs and tasks with limited support or relief.</w:t>
            </w:r>
          </w:p>
        </w:tc>
        <w:tc>
          <w:tcPr>
            <w:tcW w:w="3519" w:type="dxa"/>
          </w:tcPr>
          <w:p w14:paraId="03D8C8BB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"Sometimes I handle two LGAs and still report daily. It’s exhausting." – LGA Focal Person, Adamawa</w:t>
            </w:r>
          </w:p>
        </w:tc>
      </w:tr>
      <w:tr w:rsidR="001A186A" w:rsidRPr="000C588B" w14:paraId="2AFC9D88" w14:textId="77777777" w:rsidTr="00F43237">
        <w:trPr>
          <w:trHeight w:val="165"/>
        </w:trPr>
        <w:tc>
          <w:tcPr>
            <w:tcW w:w="1939" w:type="dxa"/>
            <w:shd w:val="clear" w:color="auto" w:fill="F7CBAC"/>
          </w:tcPr>
          <w:p w14:paraId="4A386D7A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Inadequate Mentorship and Supervision</w:t>
            </w:r>
          </w:p>
        </w:tc>
        <w:tc>
          <w:tcPr>
            <w:tcW w:w="3558" w:type="dxa"/>
          </w:tcPr>
          <w:p w14:paraId="71CCB29D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There are gaps in on-the-job mentoring, especially for new recruits or those transferred into surveillance roles.</w:t>
            </w:r>
          </w:p>
        </w:tc>
        <w:tc>
          <w:tcPr>
            <w:tcW w:w="3519" w:type="dxa"/>
          </w:tcPr>
          <w:p w14:paraId="54ED344F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"Nobody taught me how to fill these forms; I just copied what others were doing." – Surveillance Assistant, Borno</w:t>
            </w:r>
          </w:p>
        </w:tc>
      </w:tr>
      <w:tr w:rsidR="001A186A" w:rsidRPr="000C588B" w14:paraId="39F20DA4" w14:textId="77777777" w:rsidTr="00F43237">
        <w:trPr>
          <w:trHeight w:val="165"/>
        </w:trPr>
        <w:tc>
          <w:tcPr>
            <w:tcW w:w="1939" w:type="dxa"/>
            <w:shd w:val="clear" w:color="auto" w:fill="F7CBAC"/>
          </w:tcPr>
          <w:p w14:paraId="38343449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Deployment to Insecure Areas</w:t>
            </w:r>
          </w:p>
        </w:tc>
        <w:tc>
          <w:tcPr>
            <w:tcW w:w="3558" w:type="dxa"/>
          </w:tcPr>
          <w:p w14:paraId="45C6B21B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Many field workers are reluctant to accept postings in remote or conflict-affected areas due to personal safety concerns.</w:t>
            </w:r>
          </w:p>
        </w:tc>
        <w:tc>
          <w:tcPr>
            <w:tcW w:w="3519" w:type="dxa"/>
          </w:tcPr>
          <w:p w14:paraId="72AB8AA0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"Even when staff are posted here, they refuse to come. They say it's too dangerous." – DPH, Yobe</w:t>
            </w:r>
          </w:p>
        </w:tc>
      </w:tr>
    </w:tbl>
    <w:p w14:paraId="16022D9D" w14:textId="77777777" w:rsidR="001A186A" w:rsidRPr="000C588B" w:rsidRDefault="001A186A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6C9C9C20" w14:textId="77777777" w:rsidR="001A186A" w:rsidRDefault="001A186A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2E3CD8FF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70B43439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7928E956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7558C63B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181EE1AF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5D320A12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54E13221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4BEC7BC1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23DB548A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2F83AE10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0956AB31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5038C3E1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47D67385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5D8225B7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1178B59E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3C5773B4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21414628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41902E9B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0D9564E8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18B8BD13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0DC57FEC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7FB96F35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0F6F7E38" w14:textId="77777777" w:rsidR="00B57EA4" w:rsidRPr="000C588B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4F1E6B63" w14:textId="77777777" w:rsidR="001A186A" w:rsidRDefault="001A186A" w:rsidP="001A186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 w:rsidRPr="000C588B">
        <w:rPr>
          <w:rFonts w:ascii="Times New Roman" w:hAnsi="Times New Roman" w:cs="Times New Roman"/>
          <w:color w:val="000000"/>
          <w:sz w:val="22"/>
          <w:szCs w:val="22"/>
          <w:lang w:val="en-US"/>
        </w:rPr>
        <w:lastRenderedPageBreak/>
        <w:t>Matrix 3: Sub-themes on Infrastructure and Logistics Constraints</w:t>
      </w:r>
    </w:p>
    <w:p w14:paraId="02F23CEC" w14:textId="77777777" w:rsidR="00B57EA4" w:rsidRPr="000C588B" w:rsidRDefault="00B57EA4" w:rsidP="001A186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77"/>
        <w:gridCol w:w="3839"/>
        <w:gridCol w:w="3100"/>
      </w:tblGrid>
      <w:tr w:rsidR="001A186A" w:rsidRPr="000C588B" w14:paraId="75EB17CC" w14:textId="77777777" w:rsidTr="00F43237">
        <w:trPr>
          <w:trHeight w:val="165"/>
        </w:trPr>
        <w:tc>
          <w:tcPr>
            <w:tcW w:w="2077" w:type="dxa"/>
            <w:shd w:val="clear" w:color="auto" w:fill="F7CBAC"/>
          </w:tcPr>
          <w:p w14:paraId="5D0AA73B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Sub-theme</w:t>
            </w:r>
          </w:p>
        </w:tc>
        <w:tc>
          <w:tcPr>
            <w:tcW w:w="3839" w:type="dxa"/>
            <w:shd w:val="clear" w:color="auto" w:fill="F7CBAC"/>
          </w:tcPr>
          <w:p w14:paraId="7CBE5C58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Description</w:t>
            </w:r>
          </w:p>
        </w:tc>
        <w:tc>
          <w:tcPr>
            <w:tcW w:w="3100" w:type="dxa"/>
            <w:shd w:val="clear" w:color="auto" w:fill="F7CBAC"/>
          </w:tcPr>
          <w:p w14:paraId="2DE99AF9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Illustrative Quote</w:t>
            </w:r>
          </w:p>
        </w:tc>
      </w:tr>
      <w:tr w:rsidR="001A186A" w:rsidRPr="000C588B" w14:paraId="1C035664" w14:textId="77777777" w:rsidTr="00F43237">
        <w:trPr>
          <w:trHeight w:val="180"/>
        </w:trPr>
        <w:tc>
          <w:tcPr>
            <w:tcW w:w="2077" w:type="dxa"/>
            <w:shd w:val="clear" w:color="auto" w:fill="F7CBAC"/>
          </w:tcPr>
          <w:p w14:paraId="56FCE90A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Destruction of Health Facilities</w:t>
            </w:r>
          </w:p>
        </w:tc>
        <w:tc>
          <w:tcPr>
            <w:tcW w:w="3839" w:type="dxa"/>
          </w:tcPr>
          <w:p w14:paraId="3F850F42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Health facilities in many conflict-affected LGAs have been damaged or abandoned, limiting space for service delivery and surveillance coordination.</w:t>
            </w:r>
          </w:p>
        </w:tc>
        <w:tc>
          <w:tcPr>
            <w:tcW w:w="3100" w:type="dxa"/>
          </w:tcPr>
          <w:p w14:paraId="6EA71CA8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“Our health center was burned during an attack. We now use a temporary shelter for reporting.” – Health Worker, Borno</w:t>
            </w:r>
          </w:p>
        </w:tc>
      </w:tr>
      <w:tr w:rsidR="001A186A" w:rsidRPr="000C588B" w14:paraId="44E3A4DD" w14:textId="77777777" w:rsidTr="00F43237">
        <w:trPr>
          <w:trHeight w:val="165"/>
        </w:trPr>
        <w:tc>
          <w:tcPr>
            <w:tcW w:w="2077" w:type="dxa"/>
            <w:shd w:val="clear" w:color="auto" w:fill="F7CBAC"/>
          </w:tcPr>
          <w:p w14:paraId="4715E975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Lack of Transport Vehicles</w:t>
            </w:r>
          </w:p>
        </w:tc>
        <w:tc>
          <w:tcPr>
            <w:tcW w:w="3839" w:type="dxa"/>
          </w:tcPr>
          <w:p w14:paraId="2EAA1103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Many DSNOs lack functional motorcycles or vehicles to reach hard-to-access communities for outbreak investigation and sample transport.</w:t>
            </w:r>
          </w:p>
        </w:tc>
        <w:tc>
          <w:tcPr>
            <w:tcW w:w="3100" w:type="dxa"/>
          </w:tcPr>
          <w:p w14:paraId="4D5B5BF5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“We rely on public transport or motorcycles borrowed from other programs.” – DSNO, Adamawa</w:t>
            </w:r>
          </w:p>
        </w:tc>
      </w:tr>
      <w:tr w:rsidR="001A186A" w:rsidRPr="000C588B" w14:paraId="569213C3" w14:textId="77777777" w:rsidTr="00F43237">
        <w:trPr>
          <w:trHeight w:val="165"/>
        </w:trPr>
        <w:tc>
          <w:tcPr>
            <w:tcW w:w="2077" w:type="dxa"/>
            <w:shd w:val="clear" w:color="auto" w:fill="F7CBAC"/>
          </w:tcPr>
          <w:p w14:paraId="6C388A79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Cold Chain and Power Supply Challenges</w:t>
            </w:r>
          </w:p>
        </w:tc>
        <w:tc>
          <w:tcPr>
            <w:tcW w:w="3839" w:type="dxa"/>
          </w:tcPr>
          <w:p w14:paraId="50253C24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Unreliable electricity supply hampers vaccine storage and use of digital devices for data entry and communication.</w:t>
            </w:r>
          </w:p>
        </w:tc>
        <w:tc>
          <w:tcPr>
            <w:tcW w:w="3100" w:type="dxa"/>
          </w:tcPr>
          <w:p w14:paraId="3F811868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“There’s no constant light. We store vaccines in coolers with ice blocks.” – Lab Assistant, Yobe</w:t>
            </w:r>
          </w:p>
        </w:tc>
      </w:tr>
      <w:tr w:rsidR="001A186A" w:rsidRPr="000C588B" w14:paraId="6A78AFB8" w14:textId="77777777" w:rsidTr="00F43237">
        <w:trPr>
          <w:trHeight w:val="165"/>
        </w:trPr>
        <w:tc>
          <w:tcPr>
            <w:tcW w:w="2077" w:type="dxa"/>
            <w:shd w:val="clear" w:color="auto" w:fill="F7CBAC"/>
          </w:tcPr>
          <w:p w14:paraId="3D0D12B5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Inadequate Laboratory Equipment</w:t>
            </w:r>
          </w:p>
        </w:tc>
        <w:tc>
          <w:tcPr>
            <w:tcW w:w="3839" w:type="dxa"/>
          </w:tcPr>
          <w:p w14:paraId="39936EB0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Labs often lack reagents, consumables, and functioning equipment needed for timely diagnosis of notifiable diseases.</w:t>
            </w:r>
          </w:p>
        </w:tc>
        <w:tc>
          <w:tcPr>
            <w:tcW w:w="3100" w:type="dxa"/>
          </w:tcPr>
          <w:p w14:paraId="680A33F8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“We don’t even have basic reagents. Samples get delayed or expire.” – Lab Focal Person, Borno</w:t>
            </w:r>
          </w:p>
        </w:tc>
      </w:tr>
      <w:tr w:rsidR="001A186A" w:rsidRPr="000C588B" w14:paraId="0080F700" w14:textId="77777777" w:rsidTr="00F43237">
        <w:trPr>
          <w:trHeight w:val="165"/>
        </w:trPr>
        <w:tc>
          <w:tcPr>
            <w:tcW w:w="2077" w:type="dxa"/>
            <w:shd w:val="clear" w:color="auto" w:fill="F7CBAC"/>
          </w:tcPr>
          <w:p w14:paraId="32FA2500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Poor Communication Infrastructure</w:t>
            </w:r>
          </w:p>
        </w:tc>
        <w:tc>
          <w:tcPr>
            <w:tcW w:w="3839" w:type="dxa"/>
          </w:tcPr>
          <w:p w14:paraId="416A2DD8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Poor network coverage restricts communication between field staff and state or national teams, causing delays in reporting.</w:t>
            </w:r>
          </w:p>
        </w:tc>
        <w:tc>
          <w:tcPr>
            <w:tcW w:w="3100" w:type="dxa"/>
          </w:tcPr>
          <w:p w14:paraId="216D7DD4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“Sometimes you need to climb a tree to get signal and send a report.” – Surveillance Officer, Yobe</w:t>
            </w:r>
          </w:p>
        </w:tc>
      </w:tr>
      <w:tr w:rsidR="001A186A" w:rsidRPr="000C588B" w14:paraId="1312378E" w14:textId="77777777" w:rsidTr="00F43237">
        <w:trPr>
          <w:trHeight w:val="165"/>
        </w:trPr>
        <w:tc>
          <w:tcPr>
            <w:tcW w:w="2077" w:type="dxa"/>
            <w:shd w:val="clear" w:color="auto" w:fill="F7CBAC"/>
          </w:tcPr>
          <w:p w14:paraId="6E906B54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Disruption of Logistics Support</w:t>
            </w:r>
          </w:p>
        </w:tc>
        <w:tc>
          <w:tcPr>
            <w:tcW w:w="3839" w:type="dxa"/>
          </w:tcPr>
          <w:p w14:paraId="3572556D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Logistics support from partner agencies is sometimes disrupted due to insecurity or coordination failures.</w:t>
            </w:r>
          </w:p>
        </w:tc>
        <w:tc>
          <w:tcPr>
            <w:tcW w:w="3100" w:type="dxa"/>
          </w:tcPr>
          <w:p w14:paraId="7E4408CA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“They promised fuel and logistics, but support stopped mid-way.” – WHO Consultant, Adamawa</w:t>
            </w:r>
          </w:p>
        </w:tc>
      </w:tr>
      <w:tr w:rsidR="001A186A" w:rsidRPr="000C588B" w14:paraId="01D2C450" w14:textId="77777777" w:rsidTr="00F43237">
        <w:trPr>
          <w:trHeight w:val="165"/>
        </w:trPr>
        <w:tc>
          <w:tcPr>
            <w:tcW w:w="2077" w:type="dxa"/>
            <w:shd w:val="clear" w:color="auto" w:fill="F7CBAC"/>
          </w:tcPr>
          <w:p w14:paraId="3CE9F3F7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Supply Chain Delays for Surveillance Materials</w:t>
            </w:r>
          </w:p>
        </w:tc>
        <w:tc>
          <w:tcPr>
            <w:tcW w:w="3839" w:type="dxa"/>
          </w:tcPr>
          <w:p w14:paraId="7641191A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Surveillance forms, PPE, and data tools are often delayed or insufficient, especially in remote LGAs.</w:t>
            </w:r>
          </w:p>
        </w:tc>
        <w:tc>
          <w:tcPr>
            <w:tcW w:w="3100" w:type="dxa"/>
          </w:tcPr>
          <w:p w14:paraId="3A6CFA80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“We went two months without a single IDSR form in the LGA.” – LGA Surveillance Officer, Yobe</w:t>
            </w:r>
          </w:p>
        </w:tc>
      </w:tr>
    </w:tbl>
    <w:p w14:paraId="0DC1F34D" w14:textId="77777777" w:rsidR="001A186A" w:rsidRDefault="001A186A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0A0C8118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3B10E0EC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164058CE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15F00FE3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13ED02AB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47C4234E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58EEC86F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2EB53E7E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690AEF7F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1303F525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4B122B44" w14:textId="77777777" w:rsidR="00B57EA4" w:rsidRPr="000C588B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649F9A54" w14:textId="77777777" w:rsidR="001A186A" w:rsidRDefault="001A186A" w:rsidP="001A186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 w:rsidRPr="000C588B">
        <w:rPr>
          <w:rFonts w:ascii="Times New Roman" w:hAnsi="Times New Roman" w:cs="Times New Roman"/>
          <w:color w:val="000000"/>
          <w:sz w:val="22"/>
          <w:szCs w:val="22"/>
          <w:lang w:val="en-US"/>
        </w:rPr>
        <w:lastRenderedPageBreak/>
        <w:t>Matrix 4: Sub-themes on Adaptations and Innovations</w:t>
      </w:r>
    </w:p>
    <w:p w14:paraId="4FF8F468" w14:textId="77777777" w:rsidR="00B57EA4" w:rsidRPr="000C588B" w:rsidRDefault="00B57EA4" w:rsidP="001A186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7"/>
        <w:gridCol w:w="3781"/>
        <w:gridCol w:w="3318"/>
      </w:tblGrid>
      <w:tr w:rsidR="001A186A" w:rsidRPr="000C588B" w14:paraId="08B38BA9" w14:textId="77777777" w:rsidTr="00F43237">
        <w:trPr>
          <w:trHeight w:val="165"/>
        </w:trPr>
        <w:tc>
          <w:tcPr>
            <w:tcW w:w="1917" w:type="dxa"/>
            <w:shd w:val="clear" w:color="auto" w:fill="F7CBAC"/>
          </w:tcPr>
          <w:p w14:paraId="59F072B0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Sub-theme</w:t>
            </w:r>
          </w:p>
        </w:tc>
        <w:tc>
          <w:tcPr>
            <w:tcW w:w="3781" w:type="dxa"/>
            <w:shd w:val="clear" w:color="auto" w:fill="F7CBAC"/>
          </w:tcPr>
          <w:p w14:paraId="786CB289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Description</w:t>
            </w:r>
          </w:p>
        </w:tc>
        <w:tc>
          <w:tcPr>
            <w:tcW w:w="3318" w:type="dxa"/>
            <w:shd w:val="clear" w:color="auto" w:fill="F7CBAC"/>
          </w:tcPr>
          <w:p w14:paraId="7D0A217C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Illustrative Quote</w:t>
            </w:r>
          </w:p>
        </w:tc>
      </w:tr>
      <w:tr w:rsidR="001A186A" w:rsidRPr="000C588B" w14:paraId="1ECE7C6C" w14:textId="77777777" w:rsidTr="00F43237">
        <w:trPr>
          <w:trHeight w:val="180"/>
        </w:trPr>
        <w:tc>
          <w:tcPr>
            <w:tcW w:w="1917" w:type="dxa"/>
            <w:shd w:val="clear" w:color="auto" w:fill="F7CBAC"/>
          </w:tcPr>
          <w:p w14:paraId="6B017E60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Use of Community Informants</w:t>
            </w:r>
          </w:p>
        </w:tc>
        <w:tc>
          <w:tcPr>
            <w:tcW w:w="3781" w:type="dxa"/>
          </w:tcPr>
          <w:p w14:paraId="335A1A9E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Trained local residents served as surveillance informants in inaccessible areas, helping to report outbreaks and rumors.</w:t>
            </w:r>
          </w:p>
        </w:tc>
        <w:tc>
          <w:tcPr>
            <w:tcW w:w="3318" w:type="dxa"/>
          </w:tcPr>
          <w:p w14:paraId="22BBEF0D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"We trained people in the community who call us immediately when they see something." – DSNO, Yobe</w:t>
            </w:r>
          </w:p>
        </w:tc>
      </w:tr>
      <w:tr w:rsidR="001A186A" w:rsidRPr="000C588B" w14:paraId="7E8CF333" w14:textId="77777777" w:rsidTr="00F43237">
        <w:trPr>
          <w:trHeight w:val="165"/>
        </w:trPr>
        <w:tc>
          <w:tcPr>
            <w:tcW w:w="1917" w:type="dxa"/>
            <w:shd w:val="clear" w:color="auto" w:fill="F7CBAC"/>
          </w:tcPr>
          <w:p w14:paraId="728805A3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Leveraging Market-Day Mobility</w:t>
            </w:r>
          </w:p>
        </w:tc>
        <w:tc>
          <w:tcPr>
            <w:tcW w:w="3781" w:type="dxa"/>
          </w:tcPr>
          <w:p w14:paraId="674D2637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Health teams used market days to collect data, deliver interventions, and move discreetly across volatile areas.</w:t>
            </w:r>
          </w:p>
        </w:tc>
        <w:tc>
          <w:tcPr>
            <w:tcW w:w="3318" w:type="dxa"/>
          </w:tcPr>
          <w:p w14:paraId="15BFEA51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"On market days we enter like buyers and collect our reports quietly." – Surveillance Officer, Borno</w:t>
            </w:r>
          </w:p>
        </w:tc>
      </w:tr>
      <w:tr w:rsidR="001A186A" w:rsidRPr="000C588B" w14:paraId="59C41715" w14:textId="77777777" w:rsidTr="00F43237">
        <w:trPr>
          <w:trHeight w:val="165"/>
        </w:trPr>
        <w:tc>
          <w:tcPr>
            <w:tcW w:w="1917" w:type="dxa"/>
            <w:shd w:val="clear" w:color="auto" w:fill="F7CBAC"/>
          </w:tcPr>
          <w:p w14:paraId="005ADA33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Integration with Polio and COVID-19 Platforms</w:t>
            </w:r>
          </w:p>
        </w:tc>
        <w:tc>
          <w:tcPr>
            <w:tcW w:w="3781" w:type="dxa"/>
          </w:tcPr>
          <w:p w14:paraId="387194F2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Existing structures from polio campaigns and COVID-19 responses were adapted to support IDSR tasks and resource sharing.</w:t>
            </w:r>
          </w:p>
        </w:tc>
        <w:tc>
          <w:tcPr>
            <w:tcW w:w="3318" w:type="dxa"/>
          </w:tcPr>
          <w:p w14:paraId="786BC727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"We used the polio team’s vehicles and radio system to track measles cases." – WHO Officer, Adamawa</w:t>
            </w:r>
          </w:p>
        </w:tc>
      </w:tr>
      <w:tr w:rsidR="001A186A" w:rsidRPr="000C588B" w14:paraId="1B52BFF2" w14:textId="77777777" w:rsidTr="00F43237">
        <w:trPr>
          <w:trHeight w:val="165"/>
        </w:trPr>
        <w:tc>
          <w:tcPr>
            <w:tcW w:w="1917" w:type="dxa"/>
            <w:shd w:val="clear" w:color="auto" w:fill="F7CBAC"/>
          </w:tcPr>
          <w:p w14:paraId="52B65A78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Adoption of Mobile Reporting Tools</w:t>
            </w:r>
          </w:p>
        </w:tc>
        <w:tc>
          <w:tcPr>
            <w:tcW w:w="3781" w:type="dxa"/>
          </w:tcPr>
          <w:p w14:paraId="38B97F44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Mobile apps and digital platforms like WhatsApp were used to transmit reports and images when traditional channels failed.</w:t>
            </w:r>
          </w:p>
        </w:tc>
        <w:tc>
          <w:tcPr>
            <w:tcW w:w="3318" w:type="dxa"/>
          </w:tcPr>
          <w:p w14:paraId="3F542D18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"I send pictures of the forms via WhatsApp when there's no network to upload." – Surveillance Focal Person, Yobe</w:t>
            </w:r>
          </w:p>
        </w:tc>
      </w:tr>
      <w:tr w:rsidR="001A186A" w:rsidRPr="000C588B" w14:paraId="5CD0A140" w14:textId="77777777" w:rsidTr="00F43237">
        <w:trPr>
          <w:trHeight w:val="165"/>
        </w:trPr>
        <w:tc>
          <w:tcPr>
            <w:tcW w:w="1917" w:type="dxa"/>
            <w:shd w:val="clear" w:color="auto" w:fill="F7CBAC"/>
          </w:tcPr>
          <w:p w14:paraId="509A72AA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Vigilante-Facilitated Access</w:t>
            </w:r>
          </w:p>
        </w:tc>
        <w:tc>
          <w:tcPr>
            <w:tcW w:w="3781" w:type="dxa"/>
          </w:tcPr>
          <w:p w14:paraId="502DD619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Community vigilantes were used to guide, protect, or alert surveillance teams entering high-risk communities.</w:t>
            </w:r>
          </w:p>
        </w:tc>
        <w:tc>
          <w:tcPr>
            <w:tcW w:w="3318" w:type="dxa"/>
          </w:tcPr>
          <w:p w14:paraId="097B5DF8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"The vigilantes helped us navigate the forest paths and warned us when to delay movement." – DSNO, Borno</w:t>
            </w:r>
          </w:p>
        </w:tc>
      </w:tr>
      <w:tr w:rsidR="001A186A" w:rsidRPr="000C588B" w14:paraId="4E554EB2" w14:textId="77777777" w:rsidTr="00F43237">
        <w:trPr>
          <w:trHeight w:val="165"/>
        </w:trPr>
        <w:tc>
          <w:tcPr>
            <w:tcW w:w="1917" w:type="dxa"/>
            <w:shd w:val="clear" w:color="auto" w:fill="F7CBAC"/>
          </w:tcPr>
          <w:p w14:paraId="4AC6E9E5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Use of Local Resource Persons</w:t>
            </w:r>
          </w:p>
        </w:tc>
        <w:tc>
          <w:tcPr>
            <w:tcW w:w="3781" w:type="dxa"/>
          </w:tcPr>
          <w:p w14:paraId="4C07C145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Local influencers and religious leaders were recruited to support case detection and risk communication.</w:t>
            </w:r>
          </w:p>
        </w:tc>
        <w:tc>
          <w:tcPr>
            <w:tcW w:w="3318" w:type="dxa"/>
          </w:tcPr>
          <w:p w14:paraId="608E4E0E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"The Imam tells us quickly if anyone is sick with symptoms we’re tracking." – Health Educator, Yobe</w:t>
            </w:r>
          </w:p>
        </w:tc>
      </w:tr>
      <w:tr w:rsidR="001A186A" w:rsidRPr="000C588B" w14:paraId="2ECCFA9A" w14:textId="77777777" w:rsidTr="00F43237">
        <w:trPr>
          <w:trHeight w:val="165"/>
        </w:trPr>
        <w:tc>
          <w:tcPr>
            <w:tcW w:w="1917" w:type="dxa"/>
            <w:shd w:val="clear" w:color="auto" w:fill="F7CBAC"/>
          </w:tcPr>
          <w:p w14:paraId="39B8D3D0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Flexible Scheduling of Field Activities</w:t>
            </w:r>
          </w:p>
        </w:tc>
        <w:tc>
          <w:tcPr>
            <w:tcW w:w="3781" w:type="dxa"/>
          </w:tcPr>
          <w:p w14:paraId="02A2A18A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Field activities were conducted at night or weekends to bypass security curfews and maximize local engagement.</w:t>
            </w:r>
          </w:p>
        </w:tc>
        <w:tc>
          <w:tcPr>
            <w:tcW w:w="3318" w:type="dxa"/>
          </w:tcPr>
          <w:p w14:paraId="341BEFD8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"We visit some areas only at night when it's safe and people are home." – LGA Surveillance Officer, Adamawa</w:t>
            </w:r>
          </w:p>
        </w:tc>
      </w:tr>
    </w:tbl>
    <w:p w14:paraId="08B6BB38" w14:textId="77777777" w:rsidR="001A186A" w:rsidRPr="000C588B" w:rsidRDefault="001A186A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6538FB94" w14:textId="77777777" w:rsidR="001A186A" w:rsidRDefault="001A186A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50074700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07ECFE3A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5010DD46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1E3B3939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1623DD48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32195DA8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0FBA6C95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3B5E07D3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51CE7035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3D9141DB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51E267F9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37EE1B32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4FCA9E61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24230DEC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13123591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0804C077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0AE459B0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504A6EBB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18BB6A81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149745D1" w14:textId="77777777" w:rsidR="00B57EA4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570139EA" w14:textId="77777777" w:rsidR="00B57EA4" w:rsidRPr="000C588B" w:rsidRDefault="00B57E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56184B5C" w14:textId="77777777" w:rsidR="001A186A" w:rsidRDefault="001A186A" w:rsidP="001A186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 w:rsidRPr="000C588B">
        <w:rPr>
          <w:rFonts w:ascii="Times New Roman" w:hAnsi="Times New Roman" w:cs="Times New Roman"/>
          <w:color w:val="000000"/>
          <w:sz w:val="22"/>
          <w:szCs w:val="22"/>
          <w:lang w:val="en-US"/>
        </w:rPr>
        <w:lastRenderedPageBreak/>
        <w:t>Matrix 5: Sub-themes on Data Management and Reporting</w:t>
      </w:r>
    </w:p>
    <w:p w14:paraId="5A55ABB9" w14:textId="77777777" w:rsidR="00B57EA4" w:rsidRPr="000C588B" w:rsidRDefault="00B57EA4" w:rsidP="001A186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46"/>
        <w:gridCol w:w="3669"/>
        <w:gridCol w:w="3601"/>
      </w:tblGrid>
      <w:tr w:rsidR="001A186A" w:rsidRPr="000C588B" w14:paraId="7D000931" w14:textId="77777777" w:rsidTr="00F43237">
        <w:trPr>
          <w:trHeight w:val="165"/>
        </w:trPr>
        <w:tc>
          <w:tcPr>
            <w:tcW w:w="1746" w:type="dxa"/>
            <w:shd w:val="clear" w:color="auto" w:fill="F7CBAC"/>
          </w:tcPr>
          <w:p w14:paraId="7D0FE627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Sub-theme</w:t>
            </w:r>
          </w:p>
        </w:tc>
        <w:tc>
          <w:tcPr>
            <w:tcW w:w="3669" w:type="dxa"/>
            <w:shd w:val="clear" w:color="auto" w:fill="F7CBAC"/>
          </w:tcPr>
          <w:p w14:paraId="65FD6F49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Description</w:t>
            </w:r>
          </w:p>
        </w:tc>
        <w:tc>
          <w:tcPr>
            <w:tcW w:w="3601" w:type="dxa"/>
            <w:shd w:val="clear" w:color="auto" w:fill="F7CBAC"/>
          </w:tcPr>
          <w:p w14:paraId="46A32CF2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Illustrative Quote</w:t>
            </w:r>
          </w:p>
        </w:tc>
      </w:tr>
      <w:tr w:rsidR="001A186A" w:rsidRPr="000C588B" w14:paraId="1DD2799C" w14:textId="77777777" w:rsidTr="00F43237">
        <w:trPr>
          <w:trHeight w:val="180"/>
        </w:trPr>
        <w:tc>
          <w:tcPr>
            <w:tcW w:w="1746" w:type="dxa"/>
            <w:shd w:val="clear" w:color="auto" w:fill="F7CBAC"/>
          </w:tcPr>
          <w:p w14:paraId="056D8F5F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Manual and Paper-Based Reporting</w:t>
            </w:r>
          </w:p>
        </w:tc>
        <w:tc>
          <w:tcPr>
            <w:tcW w:w="3669" w:type="dxa"/>
          </w:tcPr>
          <w:p w14:paraId="5721D8A5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Many facilities rely on handwritten IDSR forms and paper-based reports, which are slow and prone to loss or error.</w:t>
            </w:r>
          </w:p>
        </w:tc>
        <w:tc>
          <w:tcPr>
            <w:tcW w:w="3601" w:type="dxa"/>
          </w:tcPr>
          <w:p w14:paraId="4881276E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"Everything is on paper. If rain falls or rats enter, we lose it all." – DSNO, Borno</w:t>
            </w:r>
          </w:p>
        </w:tc>
      </w:tr>
      <w:tr w:rsidR="001A186A" w:rsidRPr="000C588B" w14:paraId="66D12DA3" w14:textId="77777777" w:rsidTr="00F43237">
        <w:trPr>
          <w:trHeight w:val="165"/>
        </w:trPr>
        <w:tc>
          <w:tcPr>
            <w:tcW w:w="1746" w:type="dxa"/>
            <w:shd w:val="clear" w:color="auto" w:fill="F7CBAC"/>
          </w:tcPr>
          <w:p w14:paraId="2E901690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Loss of Records During Attacks</w:t>
            </w:r>
          </w:p>
        </w:tc>
        <w:tc>
          <w:tcPr>
            <w:tcW w:w="3669" w:type="dxa"/>
          </w:tcPr>
          <w:p w14:paraId="68BE5153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Physical records were destroyed in facility burnings or displacement events, resulting in permanent data loss.</w:t>
            </w:r>
          </w:p>
        </w:tc>
        <w:tc>
          <w:tcPr>
            <w:tcW w:w="3601" w:type="dxa"/>
          </w:tcPr>
          <w:p w14:paraId="6842D423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"Our register burned when the facility was attacked. We had to start from zero." – Health Worker, Yobe</w:t>
            </w:r>
          </w:p>
        </w:tc>
      </w:tr>
      <w:tr w:rsidR="001A186A" w:rsidRPr="000C588B" w14:paraId="4389A7C3" w14:textId="77777777" w:rsidTr="00F43237">
        <w:trPr>
          <w:trHeight w:val="165"/>
        </w:trPr>
        <w:tc>
          <w:tcPr>
            <w:tcW w:w="1746" w:type="dxa"/>
            <w:shd w:val="clear" w:color="auto" w:fill="F7CBAC"/>
          </w:tcPr>
          <w:p w14:paraId="01D0A7C7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Delayed Data Transmission</w:t>
            </w:r>
          </w:p>
        </w:tc>
        <w:tc>
          <w:tcPr>
            <w:tcW w:w="3669" w:type="dxa"/>
          </w:tcPr>
          <w:p w14:paraId="3CC11D70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Poor network access and transport issues caused delays in transmitting surveillance data to LGA and state levels.</w:t>
            </w:r>
          </w:p>
        </w:tc>
        <w:tc>
          <w:tcPr>
            <w:tcW w:w="3601" w:type="dxa"/>
          </w:tcPr>
          <w:p w14:paraId="5793289B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"I have to take the forms to the LGA by bus. Sometimes it takes days." – Surveillance Focal Person, Adamawa</w:t>
            </w:r>
          </w:p>
        </w:tc>
      </w:tr>
      <w:tr w:rsidR="001A186A" w:rsidRPr="000C588B" w14:paraId="4CA279FD" w14:textId="77777777" w:rsidTr="00F43237">
        <w:trPr>
          <w:trHeight w:val="165"/>
        </w:trPr>
        <w:tc>
          <w:tcPr>
            <w:tcW w:w="1746" w:type="dxa"/>
            <w:shd w:val="clear" w:color="auto" w:fill="F7CBAC"/>
          </w:tcPr>
          <w:p w14:paraId="12F5BB6F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Limited Use of Digital Tools</w:t>
            </w:r>
          </w:p>
        </w:tc>
        <w:tc>
          <w:tcPr>
            <w:tcW w:w="3669" w:type="dxa"/>
          </w:tcPr>
          <w:p w14:paraId="782451C2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Staff have limited access to laptops, tablets, or mobile apps, making digital reporting difficult to scale.</w:t>
            </w:r>
          </w:p>
        </w:tc>
        <w:tc>
          <w:tcPr>
            <w:tcW w:w="3601" w:type="dxa"/>
          </w:tcPr>
          <w:p w14:paraId="246187C6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"We don’t have tablets or internet. It’s all done by hand." – DSNO, Yobe</w:t>
            </w:r>
          </w:p>
        </w:tc>
      </w:tr>
      <w:tr w:rsidR="001A186A" w:rsidRPr="000C588B" w14:paraId="2D6C025B" w14:textId="77777777" w:rsidTr="00F43237">
        <w:trPr>
          <w:trHeight w:val="165"/>
        </w:trPr>
        <w:tc>
          <w:tcPr>
            <w:tcW w:w="1746" w:type="dxa"/>
            <w:shd w:val="clear" w:color="auto" w:fill="F7CBAC"/>
          </w:tcPr>
          <w:p w14:paraId="102ECE8E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Inconsistent Data Quality</w:t>
            </w:r>
          </w:p>
        </w:tc>
        <w:tc>
          <w:tcPr>
            <w:tcW w:w="3669" w:type="dxa"/>
          </w:tcPr>
          <w:p w14:paraId="6EB6E9C9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Data entry errors, incomplete forms, and inconsistent case definitions reduce the reliability of collected data.</w:t>
            </w:r>
          </w:p>
        </w:tc>
        <w:tc>
          <w:tcPr>
            <w:tcW w:w="3601" w:type="dxa"/>
          </w:tcPr>
          <w:p w14:paraId="7A33B9CE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"Sometimes we use old case definitions or skip parts of the form." – Surveillance Officer, Borno</w:t>
            </w:r>
          </w:p>
        </w:tc>
      </w:tr>
      <w:tr w:rsidR="001A186A" w:rsidRPr="000C588B" w14:paraId="0EE675FC" w14:textId="77777777" w:rsidTr="00F43237">
        <w:trPr>
          <w:trHeight w:val="165"/>
        </w:trPr>
        <w:tc>
          <w:tcPr>
            <w:tcW w:w="1746" w:type="dxa"/>
            <w:shd w:val="clear" w:color="auto" w:fill="F7CBAC"/>
          </w:tcPr>
          <w:p w14:paraId="23A333E7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Parallel Reporting Systems</w:t>
            </w:r>
          </w:p>
        </w:tc>
        <w:tc>
          <w:tcPr>
            <w:tcW w:w="3669" w:type="dxa"/>
          </w:tcPr>
          <w:p w14:paraId="470AEC66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Staff often complete similar reports for different agencies (e.g., IDSR, EWARS, partner tools), causing confusion and duplication.</w:t>
            </w:r>
          </w:p>
        </w:tc>
        <w:tc>
          <w:tcPr>
            <w:tcW w:w="3601" w:type="dxa"/>
          </w:tcPr>
          <w:p w14:paraId="091BE9D6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"We fill three different forms for the same case. Each agency wants something slightly different." – WHO Consultant, Adamawa</w:t>
            </w:r>
          </w:p>
        </w:tc>
      </w:tr>
      <w:tr w:rsidR="001A186A" w:rsidRPr="000C588B" w14:paraId="32D1A35A" w14:textId="77777777" w:rsidTr="00F43237">
        <w:trPr>
          <w:trHeight w:val="165"/>
        </w:trPr>
        <w:tc>
          <w:tcPr>
            <w:tcW w:w="1746" w:type="dxa"/>
            <w:shd w:val="clear" w:color="auto" w:fill="F7CBAC"/>
          </w:tcPr>
          <w:p w14:paraId="3A4903B6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Lack of Feedback from Higher Levels</w:t>
            </w:r>
          </w:p>
        </w:tc>
        <w:tc>
          <w:tcPr>
            <w:tcW w:w="3669" w:type="dxa"/>
          </w:tcPr>
          <w:p w14:paraId="1E203BAE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Health workers rarely receive timely analysis or feedback on the data they report, which discourages accurate submission.</w:t>
            </w:r>
          </w:p>
        </w:tc>
        <w:tc>
          <w:tcPr>
            <w:tcW w:w="3601" w:type="dxa"/>
          </w:tcPr>
          <w:p w14:paraId="559E3E87" w14:textId="77777777" w:rsidR="001A186A" w:rsidRPr="000C588B" w:rsidRDefault="001A186A" w:rsidP="001A186A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"We submit reports, but we never hear back. </w:t>
            </w:r>
            <w:proofErr w:type="gramStart"/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So</w:t>
            </w:r>
            <w:proofErr w:type="gramEnd"/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we don’t know if it’s right or useful." – Health Educator, Yobe</w:t>
            </w:r>
          </w:p>
        </w:tc>
      </w:tr>
    </w:tbl>
    <w:p w14:paraId="2F747329" w14:textId="77777777" w:rsidR="001A186A" w:rsidRDefault="001A186A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3FE6CA9E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2984D1C8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68615FFC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3993F9EE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68096B06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7726187A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2FA39CDC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58FB871D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46110781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0CB44EDE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15042716" w14:textId="77777777" w:rsidR="00B57EA4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7C48B312" w14:textId="77777777" w:rsidR="00B57EA4" w:rsidRPr="000C588B" w:rsidRDefault="00B57EA4" w:rsidP="001A18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2172BFF7" w14:textId="77777777" w:rsidR="00476929" w:rsidRDefault="00476929" w:rsidP="00476929">
      <w:pPr>
        <w:pStyle w:val="NoSpacing"/>
        <w:rPr>
          <w:rFonts w:ascii="Times New Roman" w:hAnsi="Times New Roman" w:cs="Times New Roman"/>
          <w:sz w:val="22"/>
          <w:szCs w:val="22"/>
          <w:lang w:val="en-US"/>
        </w:rPr>
      </w:pPr>
      <w:r w:rsidRPr="000C588B">
        <w:rPr>
          <w:rFonts w:ascii="Times New Roman" w:hAnsi="Times New Roman" w:cs="Times New Roman"/>
          <w:sz w:val="22"/>
          <w:szCs w:val="22"/>
          <w:lang w:val="en-US"/>
        </w:rPr>
        <w:lastRenderedPageBreak/>
        <w:t>Matrix 6: Sub-themes on Psychological and Operational Stress</w:t>
      </w:r>
    </w:p>
    <w:p w14:paraId="100C1C3A" w14:textId="77777777" w:rsidR="00B57EA4" w:rsidRPr="000C588B" w:rsidRDefault="00B57EA4" w:rsidP="00476929">
      <w:pPr>
        <w:pStyle w:val="NoSpacing"/>
        <w:rPr>
          <w:rFonts w:ascii="Times New Roman" w:hAnsi="Times New Roman" w:cs="Times New Roman"/>
          <w:sz w:val="22"/>
          <w:szCs w:val="22"/>
          <w:lang w:val="en-US"/>
        </w:rPr>
      </w:pP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49"/>
        <w:gridCol w:w="3876"/>
        <w:gridCol w:w="3391"/>
      </w:tblGrid>
      <w:tr w:rsidR="00476929" w:rsidRPr="000C588B" w14:paraId="53B599C5" w14:textId="77777777" w:rsidTr="00F43237">
        <w:trPr>
          <w:trHeight w:val="165"/>
        </w:trPr>
        <w:tc>
          <w:tcPr>
            <w:tcW w:w="1749" w:type="dxa"/>
            <w:shd w:val="clear" w:color="auto" w:fill="F7CBAC"/>
          </w:tcPr>
          <w:p w14:paraId="4A3B38ED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Sub-theme</w:t>
            </w:r>
          </w:p>
        </w:tc>
        <w:tc>
          <w:tcPr>
            <w:tcW w:w="3876" w:type="dxa"/>
            <w:shd w:val="clear" w:color="auto" w:fill="F7CBAC"/>
          </w:tcPr>
          <w:p w14:paraId="5D03BFE7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Description</w:t>
            </w:r>
          </w:p>
        </w:tc>
        <w:tc>
          <w:tcPr>
            <w:tcW w:w="3391" w:type="dxa"/>
            <w:shd w:val="clear" w:color="auto" w:fill="F7CBAC"/>
          </w:tcPr>
          <w:p w14:paraId="73E5D8A8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Illustrative Quote</w:t>
            </w:r>
          </w:p>
        </w:tc>
      </w:tr>
      <w:tr w:rsidR="00476929" w:rsidRPr="000C588B" w14:paraId="03190160" w14:textId="77777777" w:rsidTr="00F43237">
        <w:trPr>
          <w:trHeight w:val="180"/>
        </w:trPr>
        <w:tc>
          <w:tcPr>
            <w:tcW w:w="1749" w:type="dxa"/>
            <w:shd w:val="clear" w:color="auto" w:fill="F7CBAC"/>
          </w:tcPr>
          <w:p w14:paraId="78D8F467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Exposure to Insecurity and Trauma</w:t>
            </w:r>
          </w:p>
        </w:tc>
        <w:tc>
          <w:tcPr>
            <w:tcW w:w="3876" w:type="dxa"/>
          </w:tcPr>
          <w:p w14:paraId="36250B74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Health workers often face threats of violence, kidnapping, or ambushes, leading to chronic anxiety and psychological distress.</w:t>
            </w:r>
          </w:p>
        </w:tc>
        <w:tc>
          <w:tcPr>
            <w:tcW w:w="3391" w:type="dxa"/>
          </w:tcPr>
          <w:p w14:paraId="46353AAE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"We heard gunshots on the way and couldn’t sleep that night. I still think about it." – Lab Focal Person, Yobe</w:t>
            </w:r>
          </w:p>
        </w:tc>
      </w:tr>
      <w:tr w:rsidR="00476929" w:rsidRPr="000C588B" w14:paraId="276A2FEB" w14:textId="77777777" w:rsidTr="00F43237">
        <w:trPr>
          <w:trHeight w:val="165"/>
        </w:trPr>
        <w:tc>
          <w:tcPr>
            <w:tcW w:w="1749" w:type="dxa"/>
            <w:shd w:val="clear" w:color="auto" w:fill="F7CBAC"/>
          </w:tcPr>
          <w:p w14:paraId="71568362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Excessive Workload and Burnout</w:t>
            </w:r>
          </w:p>
        </w:tc>
        <w:tc>
          <w:tcPr>
            <w:tcW w:w="3876" w:type="dxa"/>
          </w:tcPr>
          <w:p w14:paraId="1EFB39B2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Staff are expected to manage multiple roles, long hours, and emergency duties without adequate rest or support.</w:t>
            </w:r>
          </w:p>
        </w:tc>
        <w:tc>
          <w:tcPr>
            <w:tcW w:w="3391" w:type="dxa"/>
          </w:tcPr>
          <w:p w14:paraId="26E12C38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"Sometimes I work from 7am to midnight, even on Sundays. It’s too much." – DSNO, Adamawa</w:t>
            </w:r>
          </w:p>
        </w:tc>
      </w:tr>
      <w:tr w:rsidR="00476929" w:rsidRPr="000C588B" w14:paraId="44C37684" w14:textId="77777777" w:rsidTr="00F43237">
        <w:trPr>
          <w:trHeight w:val="165"/>
        </w:trPr>
        <w:tc>
          <w:tcPr>
            <w:tcW w:w="1749" w:type="dxa"/>
            <w:shd w:val="clear" w:color="auto" w:fill="F7CBAC"/>
          </w:tcPr>
          <w:p w14:paraId="2FBD2077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Lack of Mental Health Support</w:t>
            </w:r>
          </w:p>
        </w:tc>
        <w:tc>
          <w:tcPr>
            <w:tcW w:w="3876" w:type="dxa"/>
          </w:tcPr>
          <w:p w14:paraId="059343C2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Formal psychosocial services are largely absent, leaving frontline workers without structured avenues to cope with stress.</w:t>
            </w:r>
          </w:p>
        </w:tc>
        <w:tc>
          <w:tcPr>
            <w:tcW w:w="3391" w:type="dxa"/>
          </w:tcPr>
          <w:p w14:paraId="7D9B2ABC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"We just manage ourselves. No one has ever asked how we feel after a crisis." – Health Worker, Borno</w:t>
            </w:r>
          </w:p>
        </w:tc>
      </w:tr>
      <w:tr w:rsidR="00476929" w:rsidRPr="000C588B" w14:paraId="4129AA16" w14:textId="77777777" w:rsidTr="00F43237">
        <w:trPr>
          <w:trHeight w:val="165"/>
        </w:trPr>
        <w:tc>
          <w:tcPr>
            <w:tcW w:w="1749" w:type="dxa"/>
            <w:shd w:val="clear" w:color="auto" w:fill="F7CBAC"/>
          </w:tcPr>
          <w:p w14:paraId="19A6887D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Fear of Infection during Fieldwork</w:t>
            </w:r>
          </w:p>
        </w:tc>
        <w:tc>
          <w:tcPr>
            <w:tcW w:w="3876" w:type="dxa"/>
          </w:tcPr>
          <w:p w14:paraId="24CED16B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The fear of contracting infectious diseases, particularly during COVID-19 or cholera outbreaks, adds to anxiety.</w:t>
            </w:r>
          </w:p>
        </w:tc>
        <w:tc>
          <w:tcPr>
            <w:tcW w:w="3391" w:type="dxa"/>
          </w:tcPr>
          <w:p w14:paraId="2D44BD94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"I was scared to visit the patient during COVID. What if I carried the virus home?" – Surveillance Officer, Yobe</w:t>
            </w:r>
          </w:p>
        </w:tc>
      </w:tr>
      <w:tr w:rsidR="00476929" w:rsidRPr="000C588B" w14:paraId="41A868E1" w14:textId="77777777" w:rsidTr="00F43237">
        <w:trPr>
          <w:trHeight w:val="165"/>
        </w:trPr>
        <w:tc>
          <w:tcPr>
            <w:tcW w:w="1749" w:type="dxa"/>
            <w:shd w:val="clear" w:color="auto" w:fill="F7CBAC"/>
          </w:tcPr>
          <w:p w14:paraId="766EE73B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Emotional Toll of Witnessing Outbreaks</w:t>
            </w:r>
          </w:p>
        </w:tc>
        <w:tc>
          <w:tcPr>
            <w:tcW w:w="3876" w:type="dxa"/>
          </w:tcPr>
          <w:p w14:paraId="17A9A917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Witnessing high mortality and suffering during outbreaks affects staff emotionally and contributes to secondary trauma.</w:t>
            </w:r>
          </w:p>
        </w:tc>
        <w:tc>
          <w:tcPr>
            <w:tcW w:w="3391" w:type="dxa"/>
          </w:tcPr>
          <w:p w14:paraId="62C88523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"We saw children dying and couldn’t help in time. That image doesn’t go away." – WHO Officer, Adamawa</w:t>
            </w:r>
          </w:p>
        </w:tc>
      </w:tr>
      <w:tr w:rsidR="00476929" w:rsidRPr="000C588B" w14:paraId="0A630B4F" w14:textId="77777777" w:rsidTr="00F43237">
        <w:trPr>
          <w:trHeight w:val="165"/>
        </w:trPr>
        <w:tc>
          <w:tcPr>
            <w:tcW w:w="1749" w:type="dxa"/>
            <w:shd w:val="clear" w:color="auto" w:fill="F7CBAC"/>
          </w:tcPr>
          <w:p w14:paraId="74CC5F6B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Disrupted Work-Life Balance</w:t>
            </w:r>
          </w:p>
        </w:tc>
        <w:tc>
          <w:tcPr>
            <w:tcW w:w="3876" w:type="dxa"/>
          </w:tcPr>
          <w:p w14:paraId="5F758A59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Continuous duty rosters, weekend work, and lack of leave disrupt family life and personal well-being.</w:t>
            </w:r>
          </w:p>
        </w:tc>
        <w:tc>
          <w:tcPr>
            <w:tcW w:w="3391" w:type="dxa"/>
          </w:tcPr>
          <w:p w14:paraId="3B49698D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"There’s no break. Even during Ramadan or Christmas, you must be on duty." – DSNO, Borno</w:t>
            </w:r>
          </w:p>
        </w:tc>
      </w:tr>
      <w:tr w:rsidR="00476929" w:rsidRPr="000C588B" w14:paraId="5B1EE28C" w14:textId="77777777" w:rsidTr="00F43237">
        <w:trPr>
          <w:trHeight w:val="165"/>
        </w:trPr>
        <w:tc>
          <w:tcPr>
            <w:tcW w:w="1749" w:type="dxa"/>
            <w:shd w:val="clear" w:color="auto" w:fill="F7CBAC"/>
          </w:tcPr>
          <w:p w14:paraId="14B59B50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Isolation in Remote Postings</w:t>
            </w:r>
          </w:p>
        </w:tc>
        <w:tc>
          <w:tcPr>
            <w:tcW w:w="3876" w:type="dxa"/>
          </w:tcPr>
          <w:p w14:paraId="1613F5BA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Many staff posted in remote, insecure areas experience professional and social isolation, exacerbating mental strain.</w:t>
            </w:r>
          </w:p>
        </w:tc>
        <w:tc>
          <w:tcPr>
            <w:tcW w:w="3391" w:type="dxa"/>
          </w:tcPr>
          <w:p w14:paraId="16C693C0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"Sometimes you go a week without seeing another person outside your post." – Health Educator, Yobe</w:t>
            </w:r>
          </w:p>
        </w:tc>
      </w:tr>
    </w:tbl>
    <w:p w14:paraId="4AE5FEBC" w14:textId="77777777" w:rsidR="00476929" w:rsidRDefault="00476929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0BCAC999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2F94C9DB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6CC210EF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501913AD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4D638A17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148D2098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6EE56CB6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79DF96D3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478BFF03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2F61C751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05D94556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3917FCD6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3287DD2E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3D3ABF30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5E806753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0F3EE17B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56298DBD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20A57F83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585E84F6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052B4895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64A96360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76B99ABB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32DEF8C2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46D25CA0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41B9F91F" w14:textId="77777777" w:rsidR="00B57EA4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7D2E4A90" w14:textId="77777777" w:rsidR="00B57EA4" w:rsidRPr="000C588B" w:rsidRDefault="00B57EA4" w:rsidP="00476929">
      <w:pPr>
        <w:pStyle w:val="NoSpacing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746A3F05" w14:textId="77777777" w:rsidR="00476929" w:rsidRDefault="00476929" w:rsidP="0047692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 w:rsidRPr="000C588B">
        <w:rPr>
          <w:rFonts w:ascii="Times New Roman" w:hAnsi="Times New Roman" w:cs="Times New Roman"/>
          <w:color w:val="000000"/>
          <w:sz w:val="22"/>
          <w:szCs w:val="22"/>
          <w:lang w:val="en-US"/>
        </w:rPr>
        <w:lastRenderedPageBreak/>
        <w:t>Matrix 7: Sub-themes on Lessons Learned</w:t>
      </w:r>
    </w:p>
    <w:p w14:paraId="370B6789" w14:textId="77777777" w:rsidR="00B57EA4" w:rsidRPr="000C588B" w:rsidRDefault="00B57EA4" w:rsidP="0047692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57"/>
        <w:gridCol w:w="3691"/>
        <w:gridCol w:w="3468"/>
      </w:tblGrid>
      <w:tr w:rsidR="00476929" w:rsidRPr="000C588B" w14:paraId="33F1BC97" w14:textId="77777777" w:rsidTr="00F43237">
        <w:trPr>
          <w:trHeight w:val="165"/>
        </w:trPr>
        <w:tc>
          <w:tcPr>
            <w:tcW w:w="1857" w:type="dxa"/>
            <w:shd w:val="clear" w:color="auto" w:fill="F7CBAC"/>
          </w:tcPr>
          <w:p w14:paraId="2B00A305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Sub-theme</w:t>
            </w:r>
          </w:p>
        </w:tc>
        <w:tc>
          <w:tcPr>
            <w:tcW w:w="3691" w:type="dxa"/>
            <w:shd w:val="clear" w:color="auto" w:fill="F7CBAC"/>
          </w:tcPr>
          <w:p w14:paraId="527AC890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Description</w:t>
            </w:r>
          </w:p>
        </w:tc>
        <w:tc>
          <w:tcPr>
            <w:tcW w:w="3468" w:type="dxa"/>
            <w:shd w:val="clear" w:color="auto" w:fill="F7CBAC"/>
          </w:tcPr>
          <w:p w14:paraId="4B6D1CAB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Illustrative Quote</w:t>
            </w:r>
          </w:p>
        </w:tc>
      </w:tr>
      <w:tr w:rsidR="00476929" w:rsidRPr="000C588B" w14:paraId="5DE0D7F8" w14:textId="77777777" w:rsidTr="00F43237">
        <w:trPr>
          <w:trHeight w:val="180"/>
        </w:trPr>
        <w:tc>
          <w:tcPr>
            <w:tcW w:w="1857" w:type="dxa"/>
            <w:shd w:val="clear" w:color="auto" w:fill="F7CBAC"/>
          </w:tcPr>
          <w:p w14:paraId="5BDCB8FB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Importance of Local Ownership</w:t>
            </w:r>
          </w:p>
        </w:tc>
        <w:tc>
          <w:tcPr>
            <w:tcW w:w="3691" w:type="dxa"/>
          </w:tcPr>
          <w:p w14:paraId="3DB16401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Empowering local staff and informants proved critical in sustaining IDSR when external actors couldn’t access the area.</w:t>
            </w:r>
          </w:p>
        </w:tc>
        <w:tc>
          <w:tcPr>
            <w:tcW w:w="3468" w:type="dxa"/>
          </w:tcPr>
          <w:p w14:paraId="595646A4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"Train the people on ground. They are the ones who stay when others run." – Director of Public Health, Yobe</w:t>
            </w:r>
          </w:p>
        </w:tc>
      </w:tr>
      <w:tr w:rsidR="00476929" w:rsidRPr="000C588B" w14:paraId="3728CB15" w14:textId="77777777" w:rsidTr="00F43237">
        <w:trPr>
          <w:trHeight w:val="165"/>
        </w:trPr>
        <w:tc>
          <w:tcPr>
            <w:tcW w:w="1857" w:type="dxa"/>
            <w:shd w:val="clear" w:color="auto" w:fill="F7CBAC"/>
          </w:tcPr>
          <w:p w14:paraId="15CA2F7F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Need for Standby Preparedness</w:t>
            </w:r>
          </w:p>
        </w:tc>
        <w:tc>
          <w:tcPr>
            <w:tcW w:w="3691" w:type="dxa"/>
          </w:tcPr>
          <w:p w14:paraId="088CCBEB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Stakeholders emphasized the importance of preparing ahead with contingency plans, especially in volatile areas.</w:t>
            </w:r>
          </w:p>
        </w:tc>
        <w:tc>
          <w:tcPr>
            <w:tcW w:w="3468" w:type="dxa"/>
          </w:tcPr>
          <w:p w14:paraId="1C77B35D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"Always have a backup plan. Don’t wait for crisis before preparing." – WHO Consultant, Adamawa</w:t>
            </w:r>
          </w:p>
        </w:tc>
      </w:tr>
      <w:tr w:rsidR="00476929" w:rsidRPr="000C588B" w14:paraId="0E18C005" w14:textId="77777777" w:rsidTr="00F43237">
        <w:trPr>
          <w:trHeight w:val="165"/>
        </w:trPr>
        <w:tc>
          <w:tcPr>
            <w:tcW w:w="1857" w:type="dxa"/>
            <w:shd w:val="clear" w:color="auto" w:fill="F7CBAC"/>
          </w:tcPr>
          <w:p w14:paraId="3303A55E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Value of Flexible Surveillance Systems</w:t>
            </w:r>
          </w:p>
        </w:tc>
        <w:tc>
          <w:tcPr>
            <w:tcW w:w="3691" w:type="dxa"/>
          </w:tcPr>
          <w:p w14:paraId="2DEBDE97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Systems that allowed for mobile tools, paper backups, and decentralized authority were more resilient in emergencies.</w:t>
            </w:r>
          </w:p>
        </w:tc>
        <w:tc>
          <w:tcPr>
            <w:tcW w:w="3468" w:type="dxa"/>
          </w:tcPr>
          <w:p w14:paraId="4CC71FB8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"We used paper when the app failed and still managed to report in time." – DSNO, Borno</w:t>
            </w:r>
          </w:p>
        </w:tc>
      </w:tr>
      <w:tr w:rsidR="00476929" w:rsidRPr="000C588B" w14:paraId="6B828C02" w14:textId="77777777" w:rsidTr="00F43237">
        <w:trPr>
          <w:trHeight w:val="165"/>
        </w:trPr>
        <w:tc>
          <w:tcPr>
            <w:tcW w:w="1857" w:type="dxa"/>
            <w:shd w:val="clear" w:color="auto" w:fill="F7CBAC"/>
          </w:tcPr>
          <w:p w14:paraId="668B420D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Role of Community Trust</w:t>
            </w:r>
          </w:p>
        </w:tc>
        <w:tc>
          <w:tcPr>
            <w:tcW w:w="3691" w:type="dxa"/>
          </w:tcPr>
          <w:p w14:paraId="0771DC72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Building community trust through consistent engagement helped in early case detection and rumor control.</w:t>
            </w:r>
          </w:p>
        </w:tc>
        <w:tc>
          <w:tcPr>
            <w:tcW w:w="3468" w:type="dxa"/>
          </w:tcPr>
          <w:p w14:paraId="3622AE39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"They trust us now. </w:t>
            </w:r>
            <w:proofErr w:type="gramStart"/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So</w:t>
            </w:r>
            <w:proofErr w:type="gramEnd"/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when something happens, they call immediately." – Health Educator, Yobe</w:t>
            </w:r>
          </w:p>
        </w:tc>
      </w:tr>
      <w:tr w:rsidR="00476929" w:rsidRPr="000C588B" w14:paraId="23BF9969" w14:textId="77777777" w:rsidTr="00F43237">
        <w:trPr>
          <w:trHeight w:val="165"/>
        </w:trPr>
        <w:tc>
          <w:tcPr>
            <w:tcW w:w="1857" w:type="dxa"/>
            <w:shd w:val="clear" w:color="auto" w:fill="F7CBAC"/>
          </w:tcPr>
          <w:p w14:paraId="0A4217A0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Benefit of Cross-sector Collaboration</w:t>
            </w:r>
          </w:p>
        </w:tc>
        <w:tc>
          <w:tcPr>
            <w:tcW w:w="3691" w:type="dxa"/>
          </w:tcPr>
          <w:p w14:paraId="24910202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Collaborating with water, education, and religious sectors improved outbreak response and public messaging.</w:t>
            </w:r>
          </w:p>
        </w:tc>
        <w:tc>
          <w:tcPr>
            <w:tcW w:w="3468" w:type="dxa"/>
          </w:tcPr>
          <w:p w14:paraId="6A06D8FF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"Working with Water Resources and religious leaders made cholera response faster." – WHO Analyst, Yobe</w:t>
            </w:r>
          </w:p>
        </w:tc>
      </w:tr>
      <w:tr w:rsidR="00476929" w:rsidRPr="000C588B" w14:paraId="75D9F1B0" w14:textId="77777777" w:rsidTr="00F43237">
        <w:trPr>
          <w:trHeight w:val="165"/>
        </w:trPr>
        <w:tc>
          <w:tcPr>
            <w:tcW w:w="1857" w:type="dxa"/>
            <w:shd w:val="clear" w:color="auto" w:fill="F7CBAC"/>
          </w:tcPr>
          <w:p w14:paraId="086D24C5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Necessity of Continuous Training</w:t>
            </w:r>
          </w:p>
        </w:tc>
        <w:tc>
          <w:tcPr>
            <w:tcW w:w="3691" w:type="dxa"/>
          </w:tcPr>
          <w:p w14:paraId="5E2841F4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Regular refresher courses and mentoring improved data quality and preparedness during sudden emergencies.</w:t>
            </w:r>
          </w:p>
        </w:tc>
        <w:tc>
          <w:tcPr>
            <w:tcW w:w="3468" w:type="dxa"/>
          </w:tcPr>
          <w:p w14:paraId="497703CF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"The last training helped us spot measles early. Without it, we’d have missed it." – Surveillance Officer, Adamawa</w:t>
            </w:r>
          </w:p>
        </w:tc>
      </w:tr>
      <w:tr w:rsidR="00476929" w:rsidRPr="000C588B" w14:paraId="3F136776" w14:textId="77777777" w:rsidTr="00F43237">
        <w:trPr>
          <w:trHeight w:val="165"/>
        </w:trPr>
        <w:tc>
          <w:tcPr>
            <w:tcW w:w="1857" w:type="dxa"/>
            <w:shd w:val="clear" w:color="auto" w:fill="F7CBAC"/>
          </w:tcPr>
          <w:p w14:paraId="4519F6CE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Power of Informal Networks</w:t>
            </w:r>
          </w:p>
        </w:tc>
        <w:tc>
          <w:tcPr>
            <w:tcW w:w="3691" w:type="dxa"/>
          </w:tcPr>
          <w:p w14:paraId="101E1F12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Informal communication and logistics networks filled critical gaps when formal systems failed.</w:t>
            </w:r>
          </w:p>
        </w:tc>
        <w:tc>
          <w:tcPr>
            <w:tcW w:w="3468" w:type="dxa"/>
          </w:tcPr>
          <w:p w14:paraId="6E9AAE08" w14:textId="77777777" w:rsidR="00476929" w:rsidRPr="000C588B" w:rsidRDefault="00476929" w:rsidP="00476929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C58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"The vigilante called me when the rumor started. That’s how we contained it quickly." – LGA Focal Person, Borno</w:t>
            </w:r>
          </w:p>
        </w:tc>
      </w:tr>
    </w:tbl>
    <w:p w14:paraId="6674EBC3" w14:textId="77777777" w:rsidR="00476929" w:rsidRPr="000C588B" w:rsidRDefault="00476929" w:rsidP="0047692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2E858623" w14:textId="77777777" w:rsidR="001A186A" w:rsidRPr="000C588B" w:rsidRDefault="001A186A">
      <w:pPr>
        <w:rPr>
          <w:rFonts w:ascii="Times New Roman" w:hAnsi="Times New Roman" w:cs="Times New Roman"/>
          <w:sz w:val="22"/>
          <w:szCs w:val="22"/>
          <w:lang w:val="en-GB"/>
        </w:rPr>
      </w:pPr>
    </w:p>
    <w:sectPr w:rsidR="001A186A" w:rsidRPr="000C588B">
      <w:footerReference w:type="even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FFB15" w14:textId="77777777" w:rsidR="00BC51C6" w:rsidRDefault="00BC51C6" w:rsidP="000C588B">
      <w:r>
        <w:separator/>
      </w:r>
    </w:p>
  </w:endnote>
  <w:endnote w:type="continuationSeparator" w:id="0">
    <w:p w14:paraId="217A3784" w14:textId="77777777" w:rsidR="00BC51C6" w:rsidRDefault="00BC51C6" w:rsidP="000C5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56479435"/>
      <w:docPartObj>
        <w:docPartGallery w:val="Page Numbers (Bottom of Page)"/>
        <w:docPartUnique/>
      </w:docPartObj>
    </w:sdtPr>
    <w:sdtContent>
      <w:p w14:paraId="4B58FFE1" w14:textId="77777777" w:rsidR="000C588B" w:rsidRDefault="000C588B" w:rsidP="009328C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05D431D" w14:textId="77777777" w:rsidR="000C588B" w:rsidRDefault="000C588B" w:rsidP="000C588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77632902"/>
      <w:docPartObj>
        <w:docPartGallery w:val="Page Numbers (Bottom of Page)"/>
        <w:docPartUnique/>
      </w:docPartObj>
    </w:sdtPr>
    <w:sdtContent>
      <w:p w14:paraId="4E9C57DD" w14:textId="77777777" w:rsidR="000C588B" w:rsidRDefault="000C588B" w:rsidP="009328C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5EE3A9D3" w14:textId="77777777" w:rsidR="000C588B" w:rsidRDefault="000C588B" w:rsidP="000C588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E1587" w14:textId="77777777" w:rsidR="00BC51C6" w:rsidRDefault="00BC51C6" w:rsidP="000C588B">
      <w:r>
        <w:separator/>
      </w:r>
    </w:p>
  </w:footnote>
  <w:footnote w:type="continuationSeparator" w:id="0">
    <w:p w14:paraId="159D5B0D" w14:textId="77777777" w:rsidR="00BC51C6" w:rsidRDefault="00BC51C6" w:rsidP="000C58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6A"/>
    <w:rsid w:val="000C588B"/>
    <w:rsid w:val="001A186A"/>
    <w:rsid w:val="00476929"/>
    <w:rsid w:val="005A7B60"/>
    <w:rsid w:val="009F19D1"/>
    <w:rsid w:val="00A11B8B"/>
    <w:rsid w:val="00AE5DFD"/>
    <w:rsid w:val="00B57EA4"/>
    <w:rsid w:val="00BC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034A0"/>
  <w15:chartTrackingRefBased/>
  <w15:docId w15:val="{30DD1E0F-6F3E-1F42-8D83-26E815DA9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G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186A"/>
  </w:style>
  <w:style w:type="paragraph" w:styleId="Header">
    <w:name w:val="header"/>
    <w:basedOn w:val="Normal"/>
    <w:link w:val="HeaderChar"/>
    <w:uiPriority w:val="99"/>
    <w:unhideWhenUsed/>
    <w:rsid w:val="000C58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588B"/>
  </w:style>
  <w:style w:type="paragraph" w:styleId="Footer">
    <w:name w:val="footer"/>
    <w:basedOn w:val="Normal"/>
    <w:link w:val="FooterChar"/>
    <w:uiPriority w:val="99"/>
    <w:unhideWhenUsed/>
    <w:rsid w:val="000C58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588B"/>
  </w:style>
  <w:style w:type="character" w:styleId="PageNumber">
    <w:name w:val="page number"/>
    <w:basedOn w:val="DefaultParagraphFont"/>
    <w:uiPriority w:val="99"/>
    <w:semiHidden/>
    <w:unhideWhenUsed/>
    <w:rsid w:val="000C5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1968</Words>
  <Characters>11220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User__</dc:creator>
  <cp:keywords/>
  <dc:description/>
  <cp:lastModifiedBy>Dr. Saheed Gidado</cp:lastModifiedBy>
  <cp:revision>4</cp:revision>
  <dcterms:created xsi:type="dcterms:W3CDTF">2026-07-05T11:26:00Z</dcterms:created>
  <dcterms:modified xsi:type="dcterms:W3CDTF">2026-07-15T15:33:00Z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73b7394e-28db-4665-a74b-2a74c2b43e5f</vt:lpwstr>
  </property>
</Properties>
</file>