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12A17" w14:textId="0DC6B909" w:rsidR="00DE42C2" w:rsidRDefault="001831BE" w:rsidP="00DE42C2">
      <w:pPr>
        <w:keepNext/>
      </w:pPr>
      <w:r w:rsidRPr="00DE42C2">
        <w:rPr>
          <w:rFonts w:ascii="Times New Roman" w:hAnsi="Times New Roman" w:cs="Times New Roman"/>
        </w:rPr>
        <w:t>Rarefaction curves</w:t>
      </w:r>
      <w:r w:rsidR="00DE42C2">
        <w:rPr>
          <w:noProof/>
        </w:rPr>
        <w:drawing>
          <wp:inline distT="0" distB="0" distL="0" distR="0" wp14:anchorId="3CB1C9E3" wp14:editId="69ED9F35">
            <wp:extent cx="5731510" cy="3439160"/>
            <wp:effectExtent l="0" t="0" r="2540" b="8890"/>
            <wp:docPr id="166042137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421379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39E1F" w14:textId="3B45FE1B" w:rsidR="00DE42C2" w:rsidRPr="00DE42C2" w:rsidRDefault="00DE42C2" w:rsidP="00DE42C2">
      <w:pPr>
        <w:pStyle w:val="Caption"/>
        <w:rPr>
          <w:rFonts w:ascii="Times New Roman" w:hAnsi="Times New Roman" w:cs="Times New Roman"/>
          <w:i w:val="0"/>
          <w:iCs w:val="0"/>
          <w:color w:val="auto"/>
        </w:rPr>
      </w:pPr>
      <w:r w:rsidRPr="00DE42C2">
        <w:rPr>
          <w:rFonts w:ascii="Times New Roman" w:hAnsi="Times New Roman" w:cs="Times New Roman"/>
          <w:i w:val="0"/>
          <w:iCs w:val="0"/>
          <w:color w:val="auto"/>
        </w:rPr>
        <w:t xml:space="preserve">Figure </w:t>
      </w:r>
      <w:r w:rsidRPr="00DE42C2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DE42C2">
        <w:rPr>
          <w:rFonts w:ascii="Times New Roman" w:hAnsi="Times New Roman" w:cs="Times New Roman"/>
          <w:i w:val="0"/>
          <w:iCs w:val="0"/>
          <w:color w:val="auto"/>
        </w:rPr>
        <w:instrText xml:space="preserve"> SEQ Figure \* ARABIC </w:instrText>
      </w:r>
      <w:r w:rsidRPr="00DE42C2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color w:val="auto"/>
        </w:rPr>
        <w:t>1</w:t>
      </w:r>
      <w:r w:rsidRPr="00DE42C2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DE42C2">
        <w:rPr>
          <w:rFonts w:ascii="Times New Roman" w:hAnsi="Times New Roman" w:cs="Times New Roman"/>
          <w:i w:val="0"/>
          <w:iCs w:val="0"/>
          <w:color w:val="auto"/>
        </w:rPr>
        <w:t>: Rarefaction curves showing bacterial taxonomic richness across sequencing depths for Control, GE-treated, and KA-treated samples.</w:t>
      </w:r>
    </w:p>
    <w:p w14:paraId="432DBAF6" w14:textId="77777777" w:rsidR="00DE42C2" w:rsidRDefault="00DE42C2"/>
    <w:p w14:paraId="271FF986" w14:textId="77777777" w:rsidR="00DE42C2" w:rsidRDefault="00DE42C2" w:rsidP="00DE42C2">
      <w:pPr>
        <w:keepNext/>
      </w:pPr>
      <w:r>
        <w:rPr>
          <w:noProof/>
        </w:rPr>
        <w:drawing>
          <wp:inline distT="0" distB="0" distL="0" distR="0" wp14:anchorId="33CD6559" wp14:editId="2237671A">
            <wp:extent cx="5731510" cy="3439160"/>
            <wp:effectExtent l="0" t="0" r="2540" b="8890"/>
            <wp:docPr id="192056389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563892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4EA96" w14:textId="4127D2D2" w:rsidR="00DE42C2" w:rsidRPr="00DE42C2" w:rsidRDefault="00DE42C2" w:rsidP="00DE42C2">
      <w:pPr>
        <w:pStyle w:val="Caption"/>
        <w:rPr>
          <w:i w:val="0"/>
          <w:iCs w:val="0"/>
          <w:color w:val="auto"/>
        </w:rPr>
      </w:pPr>
      <w:r w:rsidRPr="00DE42C2">
        <w:rPr>
          <w:i w:val="0"/>
          <w:iCs w:val="0"/>
          <w:color w:val="auto"/>
        </w:rPr>
        <w:t xml:space="preserve">Figure </w:t>
      </w:r>
      <w:r w:rsidRPr="00DE42C2">
        <w:rPr>
          <w:i w:val="0"/>
          <w:iCs w:val="0"/>
          <w:color w:val="auto"/>
        </w:rPr>
        <w:fldChar w:fldCharType="begin"/>
      </w:r>
      <w:r w:rsidRPr="00DE42C2">
        <w:rPr>
          <w:i w:val="0"/>
          <w:iCs w:val="0"/>
          <w:color w:val="auto"/>
        </w:rPr>
        <w:instrText xml:space="preserve"> SEQ Figure \* ARABIC </w:instrText>
      </w:r>
      <w:r w:rsidRPr="00DE42C2">
        <w:rPr>
          <w:i w:val="0"/>
          <w:iCs w:val="0"/>
          <w:color w:val="auto"/>
        </w:rPr>
        <w:fldChar w:fldCharType="separate"/>
      </w:r>
      <w:r>
        <w:rPr>
          <w:i w:val="0"/>
          <w:iCs w:val="0"/>
          <w:noProof/>
          <w:color w:val="auto"/>
        </w:rPr>
        <w:t>2</w:t>
      </w:r>
      <w:r w:rsidRPr="00DE42C2">
        <w:rPr>
          <w:i w:val="0"/>
          <w:iCs w:val="0"/>
          <w:color w:val="auto"/>
        </w:rPr>
        <w:fldChar w:fldCharType="end"/>
      </w:r>
      <w:r>
        <w:rPr>
          <w:i w:val="0"/>
          <w:iCs w:val="0"/>
          <w:color w:val="auto"/>
        </w:rPr>
        <w:t xml:space="preserve">: </w:t>
      </w:r>
      <w:r w:rsidRPr="00DE42C2">
        <w:rPr>
          <w:i w:val="0"/>
          <w:iCs w:val="0"/>
          <w:color w:val="auto"/>
        </w:rPr>
        <w:t xml:space="preserve">Rarefaction curves showing </w:t>
      </w:r>
      <w:r>
        <w:rPr>
          <w:i w:val="0"/>
          <w:iCs w:val="0"/>
          <w:color w:val="auto"/>
        </w:rPr>
        <w:t>funga</w:t>
      </w:r>
      <w:r w:rsidRPr="00DE42C2">
        <w:rPr>
          <w:i w:val="0"/>
          <w:iCs w:val="0"/>
          <w:color w:val="auto"/>
        </w:rPr>
        <w:t>l taxonomic richness across sequencing depths for Control, GE-treated, and KA-treated samples.</w:t>
      </w:r>
    </w:p>
    <w:p w14:paraId="4311FC74" w14:textId="77777777" w:rsidR="00DE42C2" w:rsidRDefault="00DE42C2" w:rsidP="00DE42C2">
      <w:pPr>
        <w:keepNext/>
      </w:pPr>
      <w:r>
        <w:rPr>
          <w:noProof/>
        </w:rPr>
        <w:lastRenderedPageBreak/>
        <w:drawing>
          <wp:inline distT="0" distB="0" distL="0" distR="0" wp14:anchorId="564FD489" wp14:editId="423137E1">
            <wp:extent cx="5731510" cy="3439160"/>
            <wp:effectExtent l="0" t="0" r="2540" b="8890"/>
            <wp:docPr id="191630344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303449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5AD10" w14:textId="5A05E2A7" w:rsidR="00DE42C2" w:rsidRPr="00DE42C2" w:rsidRDefault="00DE42C2" w:rsidP="00DE42C2">
      <w:pPr>
        <w:pStyle w:val="Caption"/>
        <w:rPr>
          <w:rFonts w:ascii="Times New Roman" w:hAnsi="Times New Roman" w:cs="Times New Roman"/>
          <w:i w:val="0"/>
          <w:iCs w:val="0"/>
          <w:color w:val="auto"/>
        </w:rPr>
      </w:pPr>
      <w:r w:rsidRPr="00DE42C2">
        <w:rPr>
          <w:rFonts w:ascii="Times New Roman" w:hAnsi="Times New Roman" w:cs="Times New Roman"/>
          <w:i w:val="0"/>
          <w:iCs w:val="0"/>
          <w:color w:val="auto"/>
        </w:rPr>
        <w:t xml:space="preserve">Figure </w:t>
      </w:r>
      <w:r w:rsidRPr="00DE42C2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DE42C2">
        <w:rPr>
          <w:rFonts w:ascii="Times New Roman" w:hAnsi="Times New Roman" w:cs="Times New Roman"/>
          <w:i w:val="0"/>
          <w:iCs w:val="0"/>
          <w:color w:val="auto"/>
        </w:rPr>
        <w:instrText xml:space="preserve"> SEQ Figure \* ARABIC </w:instrText>
      </w:r>
      <w:r w:rsidRPr="00DE42C2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DE42C2">
        <w:rPr>
          <w:rFonts w:ascii="Times New Roman" w:hAnsi="Times New Roman" w:cs="Times New Roman"/>
          <w:i w:val="0"/>
          <w:iCs w:val="0"/>
          <w:noProof/>
          <w:color w:val="auto"/>
        </w:rPr>
        <w:t>3</w:t>
      </w:r>
      <w:r w:rsidRPr="00DE42C2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DE42C2">
        <w:rPr>
          <w:rFonts w:ascii="Times New Roman" w:hAnsi="Times New Roman" w:cs="Times New Roman"/>
          <w:i w:val="0"/>
          <w:iCs w:val="0"/>
          <w:color w:val="auto"/>
        </w:rPr>
        <w:t xml:space="preserve">: Rarefaction curves showing </w:t>
      </w:r>
      <w:r>
        <w:rPr>
          <w:rFonts w:ascii="Times New Roman" w:hAnsi="Times New Roman" w:cs="Times New Roman"/>
          <w:i w:val="0"/>
          <w:iCs w:val="0"/>
          <w:color w:val="auto"/>
        </w:rPr>
        <w:t>actinomycetes</w:t>
      </w:r>
      <w:r w:rsidRPr="00DE42C2">
        <w:rPr>
          <w:rFonts w:ascii="Times New Roman" w:hAnsi="Times New Roman" w:cs="Times New Roman"/>
          <w:i w:val="0"/>
          <w:iCs w:val="0"/>
          <w:color w:val="auto"/>
        </w:rPr>
        <w:t xml:space="preserve"> taxonomic richness across sequencing depths for Control, GE-treated, and KA-treated samples.</w:t>
      </w:r>
    </w:p>
    <w:sectPr w:rsidR="00DE42C2" w:rsidRPr="00DE42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C2"/>
    <w:rsid w:val="001831BE"/>
    <w:rsid w:val="00CD76C3"/>
    <w:rsid w:val="00DE42C2"/>
    <w:rsid w:val="00F6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7022C"/>
  <w15:chartTrackingRefBased/>
  <w15:docId w15:val="{40410296-9CE6-466B-B50C-CA4335B5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2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2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2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2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2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2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2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2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2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2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2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2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2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2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2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2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2C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E4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E42C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 Kevadiya</dc:creator>
  <cp:keywords/>
  <dc:description/>
  <cp:lastModifiedBy>Mansi Kevadiya</cp:lastModifiedBy>
  <cp:revision>2</cp:revision>
  <dcterms:created xsi:type="dcterms:W3CDTF">2026-06-01T05:36:00Z</dcterms:created>
  <dcterms:modified xsi:type="dcterms:W3CDTF">2026-06-02T06:22:00Z</dcterms:modified>
</cp:coreProperties>
</file>