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50DE" w14:textId="77777777" w:rsidR="009265F4" w:rsidRDefault="00000000">
      <w:pPr>
        <w:spacing w:after="120"/>
        <w:jc w:val="center"/>
      </w:pPr>
      <w:r>
        <w:rPr>
          <w:b/>
          <w:sz w:val="28"/>
        </w:rPr>
        <w:t>STROBE Statement — Checklist of items that should be included in reports of cohort studies</w:t>
      </w:r>
    </w:p>
    <w:p w14:paraId="32374B90" w14:textId="77777777" w:rsidR="009265F4" w:rsidRPr="00421EAC" w:rsidRDefault="00000000" w:rsidP="00421EAC">
      <w:pPr>
        <w:spacing w:after="120" w:line="360" w:lineRule="auto"/>
        <w:jc w:val="center"/>
        <w:rPr>
          <w:sz w:val="24"/>
          <w:szCs w:val="24"/>
        </w:rPr>
      </w:pPr>
      <w:r w:rsidRPr="00421EAC">
        <w:rPr>
          <w:sz w:val="24"/>
          <w:szCs w:val="24"/>
        </w:rPr>
        <w:t>Manuscript: Social isolation, loneliness and functional transitions among middle-aged and older adults with cardiometabolic multimorbidity: a multistate Markov analysis of CHARLS</w:t>
      </w:r>
    </w:p>
    <w:p w14:paraId="0E5A90FB" w14:textId="40BDC7F1" w:rsidR="009265F4" w:rsidRPr="00421EAC" w:rsidRDefault="00000000" w:rsidP="00421EAC">
      <w:pPr>
        <w:spacing w:line="360" w:lineRule="auto"/>
        <w:jc w:val="center"/>
        <w:rPr>
          <w:sz w:val="24"/>
          <w:szCs w:val="24"/>
        </w:rPr>
      </w:pPr>
      <w:r w:rsidRPr="00421EAC">
        <w:rPr>
          <w:sz w:val="24"/>
          <w:szCs w:val="24"/>
        </w:rPr>
        <w:t xml:space="preserve">Page and line numbers refer to the submitted BMC-formatted manuscript (26 pages, continuous line numbering). 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291"/>
        <w:gridCol w:w="3018"/>
        <w:gridCol w:w="4509"/>
      </w:tblGrid>
      <w:tr w:rsidR="00421EAC" w:rsidRPr="00421EAC" w14:paraId="7FC6A149" w14:textId="77777777" w:rsidTr="00421EAC">
        <w:trPr>
          <w:jc w:val="center"/>
        </w:trPr>
        <w:tc>
          <w:tcPr>
            <w:tcW w:w="1291" w:type="dxa"/>
          </w:tcPr>
          <w:p w14:paraId="4378B377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018" w:type="dxa"/>
          </w:tcPr>
          <w:p w14:paraId="0889C49C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b/>
                <w:sz w:val="24"/>
                <w:szCs w:val="24"/>
              </w:rPr>
              <w:t>Recommendation</w:t>
            </w:r>
          </w:p>
        </w:tc>
        <w:tc>
          <w:tcPr>
            <w:tcW w:w="4509" w:type="dxa"/>
          </w:tcPr>
          <w:p w14:paraId="28484920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b/>
                <w:sz w:val="24"/>
                <w:szCs w:val="24"/>
              </w:rPr>
              <w:t>Reported in manuscript</w:t>
            </w:r>
          </w:p>
        </w:tc>
      </w:tr>
      <w:tr w:rsidR="00421EAC" w:rsidRPr="00421EAC" w14:paraId="02EE11C4" w14:textId="77777777" w:rsidTr="00421EAC">
        <w:trPr>
          <w:jc w:val="center"/>
        </w:trPr>
        <w:tc>
          <w:tcPr>
            <w:tcW w:w="1291" w:type="dxa"/>
          </w:tcPr>
          <w:p w14:paraId="02266722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1a</w:t>
            </w:r>
          </w:p>
        </w:tc>
        <w:tc>
          <w:tcPr>
            <w:tcW w:w="3018" w:type="dxa"/>
          </w:tcPr>
          <w:p w14:paraId="164F2F56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Title — Indicate the study’s design with a commonly used term in the title</w:t>
            </w:r>
          </w:p>
        </w:tc>
        <w:tc>
          <w:tcPr>
            <w:tcW w:w="4509" w:type="dxa"/>
          </w:tcPr>
          <w:p w14:paraId="76D7C19F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Title (p.1, lines 1–3): “…a multistate Markov analysis of CHARLS”</w:t>
            </w:r>
          </w:p>
        </w:tc>
      </w:tr>
      <w:tr w:rsidR="00421EAC" w:rsidRPr="00421EAC" w14:paraId="54FAB719" w14:textId="77777777" w:rsidTr="00421EAC">
        <w:trPr>
          <w:jc w:val="center"/>
        </w:trPr>
        <w:tc>
          <w:tcPr>
            <w:tcW w:w="1291" w:type="dxa"/>
          </w:tcPr>
          <w:p w14:paraId="022C3950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1b</w:t>
            </w:r>
          </w:p>
        </w:tc>
        <w:tc>
          <w:tcPr>
            <w:tcW w:w="3018" w:type="dxa"/>
          </w:tcPr>
          <w:p w14:paraId="759F72E0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Abstract — Provide an informative and balanced summary</w:t>
            </w:r>
          </w:p>
        </w:tc>
        <w:tc>
          <w:tcPr>
            <w:tcW w:w="4509" w:type="dxa"/>
          </w:tcPr>
          <w:p w14:paraId="0106F0CA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Structured abstract (p.2–3, lines 17–42): Background, Methods, Results, Conclusions</w:t>
            </w:r>
          </w:p>
        </w:tc>
      </w:tr>
      <w:tr w:rsidR="00421EAC" w:rsidRPr="00421EAC" w14:paraId="6A3735EE" w14:textId="77777777" w:rsidTr="00421EAC">
        <w:trPr>
          <w:jc w:val="center"/>
        </w:trPr>
        <w:tc>
          <w:tcPr>
            <w:tcW w:w="1291" w:type="dxa"/>
          </w:tcPr>
          <w:p w14:paraId="314F24D1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2</w:t>
            </w:r>
          </w:p>
        </w:tc>
        <w:tc>
          <w:tcPr>
            <w:tcW w:w="3018" w:type="dxa"/>
          </w:tcPr>
          <w:p w14:paraId="44443247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Background/rationale — Explain the scientific background and rationale</w:t>
            </w:r>
          </w:p>
        </w:tc>
        <w:tc>
          <w:tcPr>
            <w:tcW w:w="4509" w:type="dxa"/>
          </w:tcPr>
          <w:p w14:paraId="0749AB28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Background, paragraphs 1–2 (p.4, lines 46–67)</w:t>
            </w:r>
          </w:p>
        </w:tc>
      </w:tr>
      <w:tr w:rsidR="00421EAC" w:rsidRPr="00421EAC" w14:paraId="3896AB15" w14:textId="77777777" w:rsidTr="00421EAC">
        <w:trPr>
          <w:jc w:val="center"/>
        </w:trPr>
        <w:tc>
          <w:tcPr>
            <w:tcW w:w="1291" w:type="dxa"/>
          </w:tcPr>
          <w:p w14:paraId="631CCB4B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3</w:t>
            </w:r>
          </w:p>
        </w:tc>
        <w:tc>
          <w:tcPr>
            <w:tcW w:w="3018" w:type="dxa"/>
          </w:tcPr>
          <w:p w14:paraId="62AFE24C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Objectives — State specific objectives, including any prespecified hypotheses</w:t>
            </w:r>
          </w:p>
        </w:tc>
        <w:tc>
          <w:tcPr>
            <w:tcW w:w="4509" w:type="dxa"/>
          </w:tcPr>
          <w:p w14:paraId="10896696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Background, final paragraph (p.4, lines 72–79)</w:t>
            </w:r>
          </w:p>
        </w:tc>
      </w:tr>
      <w:tr w:rsidR="00421EAC" w:rsidRPr="00421EAC" w14:paraId="6A93778E" w14:textId="77777777" w:rsidTr="00421EAC">
        <w:trPr>
          <w:jc w:val="center"/>
        </w:trPr>
        <w:tc>
          <w:tcPr>
            <w:tcW w:w="1291" w:type="dxa"/>
          </w:tcPr>
          <w:p w14:paraId="072E11D0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4</w:t>
            </w:r>
          </w:p>
        </w:tc>
        <w:tc>
          <w:tcPr>
            <w:tcW w:w="3018" w:type="dxa"/>
          </w:tcPr>
          <w:p w14:paraId="0D6E0021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Study design — Present key elements of study design early in the paper</w:t>
            </w:r>
          </w:p>
        </w:tc>
        <w:tc>
          <w:tcPr>
            <w:tcW w:w="4509" w:type="dxa"/>
          </w:tcPr>
          <w:p w14:paraId="5007A1DE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Study population (p.5, lines 81–89); design stated in title and abstract</w:t>
            </w:r>
          </w:p>
        </w:tc>
      </w:tr>
      <w:tr w:rsidR="00421EAC" w:rsidRPr="00421EAC" w14:paraId="7E300CDB" w14:textId="77777777" w:rsidTr="00421EAC">
        <w:trPr>
          <w:jc w:val="center"/>
        </w:trPr>
        <w:tc>
          <w:tcPr>
            <w:tcW w:w="1291" w:type="dxa"/>
          </w:tcPr>
          <w:p w14:paraId="365E6531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5</w:t>
            </w:r>
          </w:p>
        </w:tc>
        <w:tc>
          <w:tcPr>
            <w:tcW w:w="3018" w:type="dxa"/>
          </w:tcPr>
          <w:p w14:paraId="5E5CE423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Setting — Describe setting, locations, relevant dates, periods of recruitment, exposure, follow-up, data collection</w:t>
            </w:r>
          </w:p>
        </w:tc>
        <w:tc>
          <w:tcPr>
            <w:tcW w:w="4509" w:type="dxa"/>
          </w:tcPr>
          <w:p w14:paraId="2CA8FCAA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Study population (p.5, lines 82–85): CHARLS waves 2011, 2013, 2015, 2018, 2020; national sample of Chinese adults ≥45 years</w:t>
            </w:r>
          </w:p>
        </w:tc>
      </w:tr>
      <w:tr w:rsidR="00421EAC" w:rsidRPr="00421EAC" w14:paraId="3741F1BA" w14:textId="77777777" w:rsidTr="00421EAC">
        <w:trPr>
          <w:jc w:val="center"/>
        </w:trPr>
        <w:tc>
          <w:tcPr>
            <w:tcW w:w="1291" w:type="dxa"/>
          </w:tcPr>
          <w:p w14:paraId="146A25F9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6</w:t>
            </w:r>
          </w:p>
        </w:tc>
        <w:tc>
          <w:tcPr>
            <w:tcW w:w="3018" w:type="dxa"/>
          </w:tcPr>
          <w:p w14:paraId="473F7109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Participants — Give eligibility criteria, sources and methods of selection; describe follow-up methods</w:t>
            </w:r>
          </w:p>
        </w:tc>
        <w:tc>
          <w:tcPr>
            <w:tcW w:w="4509" w:type="dxa"/>
          </w:tcPr>
          <w:p w14:paraId="67E04D38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Study population (p.5–6, lines 88–94): 17,596 wave-1 participants → 16,831 aged ≥45 → 2,177 with CMM → analytic n=1,731 after exclusions</w:t>
            </w:r>
          </w:p>
        </w:tc>
      </w:tr>
      <w:tr w:rsidR="00421EAC" w:rsidRPr="00421EAC" w14:paraId="49621D07" w14:textId="77777777" w:rsidTr="00421EAC">
        <w:trPr>
          <w:jc w:val="center"/>
        </w:trPr>
        <w:tc>
          <w:tcPr>
            <w:tcW w:w="1291" w:type="dxa"/>
          </w:tcPr>
          <w:p w14:paraId="77E32FA1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7</w:t>
            </w:r>
          </w:p>
        </w:tc>
        <w:tc>
          <w:tcPr>
            <w:tcW w:w="3018" w:type="dxa"/>
          </w:tcPr>
          <w:p w14:paraId="61A72321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 xml:space="preserve">Variables — Clearly define all outcomes, exposures, predictors, potential </w:t>
            </w:r>
            <w:r w:rsidRPr="00421EAC">
              <w:rPr>
                <w:sz w:val="24"/>
                <w:szCs w:val="24"/>
              </w:rPr>
              <w:lastRenderedPageBreak/>
              <w:t>confounders and effect modifiers</w:t>
            </w:r>
          </w:p>
        </w:tc>
        <w:tc>
          <w:tcPr>
            <w:tcW w:w="4509" w:type="dxa"/>
          </w:tcPr>
          <w:p w14:paraId="63FB9BB4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lastRenderedPageBreak/>
              <w:t xml:space="preserve">Methods — Functional states and death (p.6, lines 95–107); Social isolation and loneliness (p.6–7, lines 108–120); </w:t>
            </w:r>
            <w:r w:rsidRPr="00421EAC">
              <w:rPr>
                <w:sz w:val="24"/>
                <w:szCs w:val="24"/>
              </w:rPr>
              <w:lastRenderedPageBreak/>
              <w:t>Covariates (p.7, lines 121–133)</w:t>
            </w:r>
          </w:p>
        </w:tc>
      </w:tr>
      <w:tr w:rsidR="00421EAC" w:rsidRPr="00421EAC" w14:paraId="61459744" w14:textId="77777777" w:rsidTr="00421EAC">
        <w:trPr>
          <w:jc w:val="center"/>
        </w:trPr>
        <w:tc>
          <w:tcPr>
            <w:tcW w:w="1291" w:type="dxa"/>
          </w:tcPr>
          <w:p w14:paraId="54006D0F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018" w:type="dxa"/>
          </w:tcPr>
          <w:p w14:paraId="2F64B849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Data sources/measurement — Give sources of data and details of methods of assessment (measurement)</w:t>
            </w:r>
          </w:p>
        </w:tc>
        <w:tc>
          <w:tcPr>
            <w:tcW w:w="4509" w:type="dxa"/>
          </w:tcPr>
          <w:p w14:paraId="45FE8835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(p.5–7): six ADL and five IADL items (p.6, lines 97–98); CMM from self-reported physician-diagnosed items (da007) (p.5, line 90); isolation index (p.6–7, lines 110–114); CES-D-10 item dc017 (p.7, lines 115–117); exit interviews for vital status (p.6, lines 104–107)</w:t>
            </w:r>
          </w:p>
        </w:tc>
      </w:tr>
      <w:tr w:rsidR="00421EAC" w:rsidRPr="00421EAC" w14:paraId="418F24CA" w14:textId="77777777" w:rsidTr="00421EAC">
        <w:trPr>
          <w:jc w:val="center"/>
        </w:trPr>
        <w:tc>
          <w:tcPr>
            <w:tcW w:w="1291" w:type="dxa"/>
          </w:tcPr>
          <w:p w14:paraId="45C8F0A2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9</w:t>
            </w:r>
          </w:p>
        </w:tc>
        <w:tc>
          <w:tcPr>
            <w:tcW w:w="3018" w:type="dxa"/>
          </w:tcPr>
          <w:p w14:paraId="48C44407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Bias — Describe any efforts to address potential sources of bias</w:t>
            </w:r>
          </w:p>
        </w:tc>
        <w:tc>
          <w:tcPr>
            <w:tcW w:w="4509" w:type="dxa"/>
          </w:tcPr>
          <w:p w14:paraId="2C729DD5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Covariates (p.7, line 127, overadjustment avoided); Statistical analysis &amp; sensitivity analyses S1–S7 (p.8, lines 152–155); Discussion — Strengths and limitations (p.14, lines 274–287: reverse causation, imputation, non-differential misclassification)</w:t>
            </w:r>
          </w:p>
        </w:tc>
      </w:tr>
      <w:tr w:rsidR="00421EAC" w:rsidRPr="00421EAC" w14:paraId="3CCC27FC" w14:textId="77777777" w:rsidTr="00421EAC">
        <w:trPr>
          <w:jc w:val="center"/>
        </w:trPr>
        <w:tc>
          <w:tcPr>
            <w:tcW w:w="1291" w:type="dxa"/>
          </w:tcPr>
          <w:p w14:paraId="2B8338D8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10</w:t>
            </w:r>
          </w:p>
        </w:tc>
        <w:tc>
          <w:tcPr>
            <w:tcW w:w="3018" w:type="dxa"/>
          </w:tcPr>
          <w:p w14:paraId="642879AD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Study size — Explain how the study size was arrived at</w:t>
            </w:r>
          </w:p>
        </w:tc>
        <w:tc>
          <w:tcPr>
            <w:tcW w:w="4509" w:type="dxa"/>
          </w:tcPr>
          <w:p w14:paraId="7FD0DF6D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Study population (p.5–6, lines 88–94): all eligible CHARLS participants with CMM (n=1,731; 7,319 person-waves, 7,210 rows in models)</w:t>
            </w:r>
          </w:p>
        </w:tc>
      </w:tr>
      <w:tr w:rsidR="00421EAC" w:rsidRPr="00421EAC" w14:paraId="5ADCC3F6" w14:textId="77777777" w:rsidTr="00421EAC">
        <w:trPr>
          <w:jc w:val="center"/>
        </w:trPr>
        <w:tc>
          <w:tcPr>
            <w:tcW w:w="1291" w:type="dxa"/>
          </w:tcPr>
          <w:p w14:paraId="7F26B6A0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11</w:t>
            </w:r>
          </w:p>
        </w:tc>
        <w:tc>
          <w:tcPr>
            <w:tcW w:w="3018" w:type="dxa"/>
          </w:tcPr>
          <w:p w14:paraId="0B390E4A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Quantitative variables — Explain how quantitative variables were handled</w:t>
            </w:r>
          </w:p>
        </w:tc>
        <w:tc>
          <w:tcPr>
            <w:tcW w:w="4509" w:type="dxa"/>
          </w:tcPr>
          <w:p w14:paraId="26E5F198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Social isolation and loneliness (p.7, lines 112–114, score 0–4, cut-point ≥1); Covariates (p.7, line 124, comorbidity count 0/1/≥2); Statistical analysis (p.7, line 131, age as time scale)</w:t>
            </w:r>
          </w:p>
        </w:tc>
      </w:tr>
      <w:tr w:rsidR="00421EAC" w:rsidRPr="00421EAC" w14:paraId="551D5544" w14:textId="77777777" w:rsidTr="00421EAC">
        <w:trPr>
          <w:jc w:val="center"/>
        </w:trPr>
        <w:tc>
          <w:tcPr>
            <w:tcW w:w="1291" w:type="dxa"/>
          </w:tcPr>
          <w:p w14:paraId="62568C08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12a</w:t>
            </w:r>
          </w:p>
        </w:tc>
        <w:tc>
          <w:tcPr>
            <w:tcW w:w="3018" w:type="dxa"/>
          </w:tcPr>
          <w:p w14:paraId="2D46FCAD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Statistical methods — Describe all statistical methods, including those used to control for confounding</w:t>
            </w:r>
          </w:p>
        </w:tc>
        <w:tc>
          <w:tcPr>
            <w:tcW w:w="4509" w:type="dxa"/>
          </w:tcPr>
          <w:p w14:paraId="175856A9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Statistical analysis (p.8, lines 135–147): continuous-time multistate Markov models, msm 1.8.2, R 4.5.1; adjusted HRs with 95% Wald CIs</w:t>
            </w:r>
          </w:p>
        </w:tc>
      </w:tr>
      <w:tr w:rsidR="00421EAC" w:rsidRPr="00421EAC" w14:paraId="17F212C5" w14:textId="77777777" w:rsidTr="00421EAC">
        <w:trPr>
          <w:jc w:val="center"/>
        </w:trPr>
        <w:tc>
          <w:tcPr>
            <w:tcW w:w="1291" w:type="dxa"/>
          </w:tcPr>
          <w:p w14:paraId="615CF3C8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12b</w:t>
            </w:r>
          </w:p>
        </w:tc>
        <w:tc>
          <w:tcPr>
            <w:tcW w:w="3018" w:type="dxa"/>
          </w:tcPr>
          <w:p w14:paraId="460136F1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Describe any methods used to examine subgroups and interactions</w:t>
            </w:r>
          </w:p>
        </w:tc>
        <w:tc>
          <w:tcPr>
            <w:tcW w:w="4509" w:type="dxa"/>
          </w:tcPr>
          <w:p w14:paraId="37A59BFC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Statistical analysis (p.9, lines 156–161): exposure×CMM interaction on full sample (n=13,143); age-stratified analyses (S6)</w:t>
            </w:r>
          </w:p>
        </w:tc>
      </w:tr>
      <w:tr w:rsidR="00421EAC" w:rsidRPr="00421EAC" w14:paraId="0702BBD9" w14:textId="77777777" w:rsidTr="00421EAC">
        <w:trPr>
          <w:jc w:val="center"/>
        </w:trPr>
        <w:tc>
          <w:tcPr>
            <w:tcW w:w="1291" w:type="dxa"/>
          </w:tcPr>
          <w:p w14:paraId="3CC6D866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lastRenderedPageBreak/>
              <w:t>12c</w:t>
            </w:r>
          </w:p>
        </w:tc>
        <w:tc>
          <w:tcPr>
            <w:tcW w:w="3018" w:type="dxa"/>
          </w:tcPr>
          <w:p w14:paraId="336889D0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Explain how missing data were addressed</w:t>
            </w:r>
          </w:p>
        </w:tc>
        <w:tc>
          <w:tcPr>
            <w:tcW w:w="4509" w:type="dxa"/>
          </w:tcPr>
          <w:p w14:paraId="4C7BB259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Statistical analysis (p.9, line 163): complete-case analysis, covariate missingness &lt;2%</w:t>
            </w:r>
          </w:p>
        </w:tc>
      </w:tr>
      <w:tr w:rsidR="00421EAC" w:rsidRPr="00421EAC" w14:paraId="6765BC89" w14:textId="77777777" w:rsidTr="00421EAC">
        <w:trPr>
          <w:jc w:val="center"/>
        </w:trPr>
        <w:tc>
          <w:tcPr>
            <w:tcW w:w="1291" w:type="dxa"/>
          </w:tcPr>
          <w:p w14:paraId="0EED1687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12d</w:t>
            </w:r>
          </w:p>
        </w:tc>
        <w:tc>
          <w:tcPr>
            <w:tcW w:w="3018" w:type="dxa"/>
          </w:tcPr>
          <w:p w14:paraId="3885F057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Cohort study — If applicable, explain how loss to follow-up was addressed</w:t>
            </w:r>
          </w:p>
        </w:tc>
        <w:tc>
          <w:tcPr>
            <w:tcW w:w="4509" w:type="dxa"/>
          </w:tcPr>
          <w:p w14:paraId="05621566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Study population (p.5, line 84, follow-up rates cited from cohort profile); Functional states and death (p.6, lines 104–107): exit interviews, interval-midpoint imputation for 80.8% of deaths</w:t>
            </w:r>
          </w:p>
        </w:tc>
      </w:tr>
      <w:tr w:rsidR="00421EAC" w:rsidRPr="00421EAC" w14:paraId="299383C3" w14:textId="77777777" w:rsidTr="00421EAC">
        <w:trPr>
          <w:jc w:val="center"/>
        </w:trPr>
        <w:tc>
          <w:tcPr>
            <w:tcW w:w="1291" w:type="dxa"/>
          </w:tcPr>
          <w:p w14:paraId="44FED219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12e</w:t>
            </w:r>
          </w:p>
        </w:tc>
        <w:tc>
          <w:tcPr>
            <w:tcW w:w="3018" w:type="dxa"/>
          </w:tcPr>
          <w:p w14:paraId="7ECEEC5C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Cohort study — Describe any analytical methods taking account of sampling strategy</w:t>
            </w:r>
          </w:p>
        </w:tc>
        <w:tc>
          <w:tcPr>
            <w:tcW w:w="4509" w:type="dxa"/>
          </w:tcPr>
          <w:p w14:paraId="634E791C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Complete-case analysis of the full eligible cohort sample; no sampling weights applied</w:t>
            </w:r>
          </w:p>
        </w:tc>
      </w:tr>
      <w:tr w:rsidR="00421EAC" w:rsidRPr="00421EAC" w14:paraId="3366953F" w14:textId="77777777" w:rsidTr="00421EAC">
        <w:trPr>
          <w:jc w:val="center"/>
        </w:trPr>
        <w:tc>
          <w:tcPr>
            <w:tcW w:w="1291" w:type="dxa"/>
          </w:tcPr>
          <w:p w14:paraId="1B3285DE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13a</w:t>
            </w:r>
          </w:p>
        </w:tc>
        <w:tc>
          <w:tcPr>
            <w:tcW w:w="3018" w:type="dxa"/>
          </w:tcPr>
          <w:p w14:paraId="7C4647B2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Participants — Report numbers at each stage of the study</w:t>
            </w:r>
          </w:p>
        </w:tc>
        <w:tc>
          <w:tcPr>
            <w:tcW w:w="4509" w:type="dxa"/>
          </w:tcPr>
          <w:p w14:paraId="2F3984C1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Study population (p.5–6, lines 88–94) and Results — Sample characteristics (p.9, lines 167–173); Figure S1 (Supplementary)</w:t>
            </w:r>
          </w:p>
        </w:tc>
      </w:tr>
      <w:tr w:rsidR="00421EAC" w:rsidRPr="00421EAC" w14:paraId="5DFEFF7F" w14:textId="77777777" w:rsidTr="00421EAC">
        <w:trPr>
          <w:jc w:val="center"/>
        </w:trPr>
        <w:tc>
          <w:tcPr>
            <w:tcW w:w="1291" w:type="dxa"/>
          </w:tcPr>
          <w:p w14:paraId="01784FB5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13b</w:t>
            </w:r>
          </w:p>
        </w:tc>
        <w:tc>
          <w:tcPr>
            <w:tcW w:w="3018" w:type="dxa"/>
          </w:tcPr>
          <w:p w14:paraId="7F96809B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Give reasons for non-participation at each stage</w:t>
            </w:r>
          </w:p>
        </w:tc>
        <w:tc>
          <w:tcPr>
            <w:tcW w:w="4509" w:type="dxa"/>
          </w:tcPr>
          <w:p w14:paraId="4BD0C0CE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Study population (p.6, lines 91–92): incomplete isolation index (n=414), missing loneliness item (n=32)</w:t>
            </w:r>
          </w:p>
        </w:tc>
      </w:tr>
      <w:tr w:rsidR="00421EAC" w:rsidRPr="00421EAC" w14:paraId="5ED2FCA2" w14:textId="77777777" w:rsidTr="00421EAC">
        <w:trPr>
          <w:jc w:val="center"/>
        </w:trPr>
        <w:tc>
          <w:tcPr>
            <w:tcW w:w="1291" w:type="dxa"/>
          </w:tcPr>
          <w:p w14:paraId="1A9CA63F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13c</w:t>
            </w:r>
          </w:p>
        </w:tc>
        <w:tc>
          <w:tcPr>
            <w:tcW w:w="3018" w:type="dxa"/>
          </w:tcPr>
          <w:p w14:paraId="06A28313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Consider use of a flow diagram</w:t>
            </w:r>
          </w:p>
        </w:tc>
        <w:tc>
          <w:tcPr>
            <w:tcW w:w="4509" w:type="dxa"/>
          </w:tcPr>
          <w:p w14:paraId="238B2E9F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Figure S1 (Supplementary Materials)</w:t>
            </w:r>
          </w:p>
        </w:tc>
      </w:tr>
      <w:tr w:rsidR="00421EAC" w:rsidRPr="00421EAC" w14:paraId="68F455D4" w14:textId="77777777" w:rsidTr="00421EAC">
        <w:trPr>
          <w:jc w:val="center"/>
        </w:trPr>
        <w:tc>
          <w:tcPr>
            <w:tcW w:w="1291" w:type="dxa"/>
          </w:tcPr>
          <w:p w14:paraId="5F32B2E8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14a</w:t>
            </w:r>
          </w:p>
        </w:tc>
        <w:tc>
          <w:tcPr>
            <w:tcW w:w="3018" w:type="dxa"/>
          </w:tcPr>
          <w:p w14:paraId="3706693D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Descriptive data — Give characteristics of study participants and information on exposures and potential confounders</w:t>
            </w:r>
          </w:p>
        </w:tc>
        <w:tc>
          <w:tcPr>
            <w:tcW w:w="4509" w:type="dxa"/>
          </w:tcPr>
          <w:p w14:paraId="0C0025C6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Results — Sample characteristics (p.9, lines 167–173); Table 1 (p.17)</w:t>
            </w:r>
          </w:p>
        </w:tc>
      </w:tr>
      <w:tr w:rsidR="00421EAC" w:rsidRPr="00421EAC" w14:paraId="48FD8583" w14:textId="77777777" w:rsidTr="00421EAC">
        <w:trPr>
          <w:jc w:val="center"/>
        </w:trPr>
        <w:tc>
          <w:tcPr>
            <w:tcW w:w="1291" w:type="dxa"/>
          </w:tcPr>
          <w:p w14:paraId="008D8242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14b</w:t>
            </w:r>
          </w:p>
        </w:tc>
        <w:tc>
          <w:tcPr>
            <w:tcW w:w="3018" w:type="dxa"/>
          </w:tcPr>
          <w:p w14:paraId="4FCAC217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Indicate number of participants with missing data for each variable of interest</w:t>
            </w:r>
          </w:p>
        </w:tc>
        <w:tc>
          <w:tcPr>
            <w:tcW w:w="4509" w:type="dxa"/>
          </w:tcPr>
          <w:p w14:paraId="3084DB54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Statistical analysis (p.9, line 163): covariate missingness &lt;2%; complete cases 7,210/7,319 (98.5%) (p.6, line 93)</w:t>
            </w:r>
          </w:p>
        </w:tc>
      </w:tr>
      <w:tr w:rsidR="00421EAC" w:rsidRPr="00421EAC" w14:paraId="27AC1154" w14:textId="77777777" w:rsidTr="00421EAC">
        <w:trPr>
          <w:jc w:val="center"/>
        </w:trPr>
        <w:tc>
          <w:tcPr>
            <w:tcW w:w="1291" w:type="dxa"/>
          </w:tcPr>
          <w:p w14:paraId="40F7CD07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14c</w:t>
            </w:r>
          </w:p>
        </w:tc>
        <w:tc>
          <w:tcPr>
            <w:tcW w:w="3018" w:type="dxa"/>
          </w:tcPr>
          <w:p w14:paraId="7D816898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Cohort study — Summarise follow-up time</w:t>
            </w:r>
          </w:p>
        </w:tc>
        <w:tc>
          <w:tcPr>
            <w:tcW w:w="4509" w:type="dxa"/>
          </w:tcPr>
          <w:p w14:paraId="6896945D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Results — Sample characteristics (p.9, line 174): maximum 9 years of follow-up; 286 deaths (16.5%)</w:t>
            </w:r>
          </w:p>
        </w:tc>
      </w:tr>
      <w:tr w:rsidR="00421EAC" w:rsidRPr="00421EAC" w14:paraId="3BAB9A58" w14:textId="77777777" w:rsidTr="00421EAC">
        <w:trPr>
          <w:jc w:val="center"/>
        </w:trPr>
        <w:tc>
          <w:tcPr>
            <w:tcW w:w="1291" w:type="dxa"/>
          </w:tcPr>
          <w:p w14:paraId="0F217FFC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15</w:t>
            </w:r>
          </w:p>
        </w:tc>
        <w:tc>
          <w:tcPr>
            <w:tcW w:w="3018" w:type="dxa"/>
          </w:tcPr>
          <w:p w14:paraId="1337B06E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 xml:space="preserve">Outcome data — Report </w:t>
            </w:r>
            <w:r w:rsidRPr="00421EAC">
              <w:rPr>
                <w:sz w:val="24"/>
                <w:szCs w:val="24"/>
              </w:rPr>
              <w:lastRenderedPageBreak/>
              <w:t>numbers of outcome events or summary measures</w:t>
            </w:r>
          </w:p>
        </w:tc>
        <w:tc>
          <w:tcPr>
            <w:tcW w:w="4509" w:type="dxa"/>
          </w:tcPr>
          <w:p w14:paraId="5A78232F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lastRenderedPageBreak/>
              <w:t xml:space="preserve">Results (p.9, lines 175–177): 299 </w:t>
            </w:r>
            <w:proofErr w:type="gramStart"/>
            <w:r w:rsidRPr="00421EAC">
              <w:rPr>
                <w:sz w:val="24"/>
                <w:szCs w:val="24"/>
              </w:rPr>
              <w:lastRenderedPageBreak/>
              <w:t>independence</w:t>
            </w:r>
            <w:proofErr w:type="gramEnd"/>
            <w:r w:rsidRPr="00421EAC">
              <w:rPr>
                <w:sz w:val="24"/>
                <w:szCs w:val="24"/>
              </w:rPr>
              <w:t>→IADL and 564 independence→ADL deteriorations, 653 recoveries, 286 deaths; Figure 1 (p.16); Table 2 (p.18)</w:t>
            </w:r>
          </w:p>
        </w:tc>
      </w:tr>
      <w:tr w:rsidR="00421EAC" w:rsidRPr="00421EAC" w14:paraId="288E17C0" w14:textId="77777777" w:rsidTr="00421EAC">
        <w:trPr>
          <w:jc w:val="center"/>
        </w:trPr>
        <w:tc>
          <w:tcPr>
            <w:tcW w:w="1291" w:type="dxa"/>
          </w:tcPr>
          <w:p w14:paraId="414D02ED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lastRenderedPageBreak/>
              <w:t>16a</w:t>
            </w:r>
          </w:p>
        </w:tc>
        <w:tc>
          <w:tcPr>
            <w:tcW w:w="3018" w:type="dxa"/>
          </w:tcPr>
          <w:p w14:paraId="42761996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Main results — Give unadjusted estimates and, if applicable, confounder-adjusted estimates and their precision</w:t>
            </w:r>
          </w:p>
        </w:tc>
        <w:tc>
          <w:tcPr>
            <w:tcW w:w="4509" w:type="dxa"/>
          </w:tcPr>
          <w:p w14:paraId="47C06104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Results — Transition-specific associations (p.10, lines 178–201); Table 2 (p.18, adjusted HRs, 95% CI); crude rates reported (103/435 vs 160/1,312; p.10, line 193)</w:t>
            </w:r>
          </w:p>
        </w:tc>
      </w:tr>
      <w:tr w:rsidR="00421EAC" w:rsidRPr="00421EAC" w14:paraId="58EE11EA" w14:textId="77777777" w:rsidTr="00421EAC">
        <w:trPr>
          <w:jc w:val="center"/>
        </w:trPr>
        <w:tc>
          <w:tcPr>
            <w:tcW w:w="1291" w:type="dxa"/>
          </w:tcPr>
          <w:p w14:paraId="6E31EBC0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16b</w:t>
            </w:r>
          </w:p>
        </w:tc>
        <w:tc>
          <w:tcPr>
            <w:tcW w:w="3018" w:type="dxa"/>
          </w:tcPr>
          <w:p w14:paraId="0C2E1E23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Report category boundaries when continuous variables were categorised</w:t>
            </w:r>
          </w:p>
        </w:tc>
        <w:tc>
          <w:tcPr>
            <w:tcW w:w="4509" w:type="dxa"/>
          </w:tcPr>
          <w:p w14:paraId="6046E214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Methods — Social isolation and loneliness (p.7, line 114): isolation score ≥1 vs 0; Results — Sample characteristics (p.9, line 172): CES-D-10 ≥10</w:t>
            </w:r>
          </w:p>
        </w:tc>
      </w:tr>
      <w:tr w:rsidR="00421EAC" w:rsidRPr="00421EAC" w14:paraId="420C3246" w14:textId="77777777" w:rsidTr="00421EAC">
        <w:trPr>
          <w:jc w:val="center"/>
        </w:trPr>
        <w:tc>
          <w:tcPr>
            <w:tcW w:w="1291" w:type="dxa"/>
          </w:tcPr>
          <w:p w14:paraId="40321753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16c</w:t>
            </w:r>
          </w:p>
        </w:tc>
        <w:tc>
          <w:tcPr>
            <w:tcW w:w="3018" w:type="dxa"/>
          </w:tcPr>
          <w:p w14:paraId="5CB59268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Consider translating estimates of relative risk into absolute risk for a meaningful time period</w:t>
            </w:r>
          </w:p>
        </w:tc>
        <w:tc>
          <w:tcPr>
            <w:tcW w:w="4509" w:type="dxa"/>
          </w:tcPr>
          <w:p w14:paraId="3CBE9605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Results — Transition probabilities and state occupancy (p.11, lines 202–211): 5-year probabilities; expected years in each state, ages 60–90; Figure 3 (p.16)</w:t>
            </w:r>
          </w:p>
        </w:tc>
      </w:tr>
      <w:tr w:rsidR="00421EAC" w:rsidRPr="00421EAC" w14:paraId="03CD3A4F" w14:textId="77777777" w:rsidTr="00421EAC">
        <w:trPr>
          <w:jc w:val="center"/>
        </w:trPr>
        <w:tc>
          <w:tcPr>
            <w:tcW w:w="1291" w:type="dxa"/>
          </w:tcPr>
          <w:p w14:paraId="68F1908D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17</w:t>
            </w:r>
          </w:p>
        </w:tc>
        <w:tc>
          <w:tcPr>
            <w:tcW w:w="3018" w:type="dxa"/>
          </w:tcPr>
          <w:p w14:paraId="16436B5C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Other analyses — Report other analyses done (subgroups, interactions, sensitivity)</w:t>
            </w:r>
          </w:p>
        </w:tc>
        <w:tc>
          <w:tcPr>
            <w:tcW w:w="4509" w:type="dxa"/>
          </w:tcPr>
          <w:p w14:paraId="337A5EBF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Results — Sensitivity analyses and effect modification (p.11, lines 212–220): S1–S7; exposure×CMM interaction</w:t>
            </w:r>
          </w:p>
        </w:tc>
      </w:tr>
      <w:tr w:rsidR="00421EAC" w:rsidRPr="00421EAC" w14:paraId="25D707A7" w14:textId="77777777" w:rsidTr="00421EAC">
        <w:trPr>
          <w:jc w:val="center"/>
        </w:trPr>
        <w:tc>
          <w:tcPr>
            <w:tcW w:w="1291" w:type="dxa"/>
          </w:tcPr>
          <w:p w14:paraId="73429EDF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18</w:t>
            </w:r>
          </w:p>
        </w:tc>
        <w:tc>
          <w:tcPr>
            <w:tcW w:w="3018" w:type="dxa"/>
          </w:tcPr>
          <w:p w14:paraId="5DD5B75D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Key results — Summarise key results with reference to study objectives</w:t>
            </w:r>
          </w:p>
        </w:tc>
        <w:tc>
          <w:tcPr>
            <w:tcW w:w="4509" w:type="dxa"/>
          </w:tcPr>
          <w:p w14:paraId="6AE8496B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Discussion — Principal findings (p.12, lines 230–239)</w:t>
            </w:r>
          </w:p>
        </w:tc>
      </w:tr>
      <w:tr w:rsidR="00421EAC" w:rsidRPr="00421EAC" w14:paraId="1783C6CB" w14:textId="77777777" w:rsidTr="00421EAC">
        <w:trPr>
          <w:jc w:val="center"/>
        </w:trPr>
        <w:tc>
          <w:tcPr>
            <w:tcW w:w="1291" w:type="dxa"/>
          </w:tcPr>
          <w:p w14:paraId="454D5F85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19</w:t>
            </w:r>
          </w:p>
        </w:tc>
        <w:tc>
          <w:tcPr>
            <w:tcW w:w="3018" w:type="dxa"/>
          </w:tcPr>
          <w:p w14:paraId="44564097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Limitations — Discuss limitations, direction and magnitude of potential bias</w:t>
            </w:r>
          </w:p>
        </w:tc>
        <w:tc>
          <w:tcPr>
            <w:tcW w:w="4509" w:type="dxa"/>
          </w:tcPr>
          <w:p w14:paraId="3BF8C170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Discussion — Strengths and limitations (p.14, lines 274–287)</w:t>
            </w:r>
          </w:p>
        </w:tc>
      </w:tr>
      <w:tr w:rsidR="00421EAC" w:rsidRPr="00421EAC" w14:paraId="45773716" w14:textId="77777777" w:rsidTr="00421EAC">
        <w:trPr>
          <w:jc w:val="center"/>
        </w:trPr>
        <w:tc>
          <w:tcPr>
            <w:tcW w:w="1291" w:type="dxa"/>
          </w:tcPr>
          <w:p w14:paraId="356E2354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20</w:t>
            </w:r>
          </w:p>
        </w:tc>
        <w:tc>
          <w:tcPr>
            <w:tcW w:w="3018" w:type="dxa"/>
          </w:tcPr>
          <w:p w14:paraId="5D4E0F3A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Interpretation — Give a cautious overall interpretation, considering objectives, limitations, multiplicity, other evidence</w:t>
            </w:r>
          </w:p>
        </w:tc>
        <w:tc>
          <w:tcPr>
            <w:tcW w:w="4509" w:type="dxa"/>
          </w:tcPr>
          <w:p w14:paraId="16AB0960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Discussion — Comparison with previous work (p.12, line 240) and Mechanisms and implications (p.13, line 260); exploratory framing with omnibus LRT</w:t>
            </w:r>
          </w:p>
        </w:tc>
      </w:tr>
      <w:tr w:rsidR="00421EAC" w:rsidRPr="00421EAC" w14:paraId="1C3321B4" w14:textId="77777777" w:rsidTr="00421EAC">
        <w:trPr>
          <w:jc w:val="center"/>
        </w:trPr>
        <w:tc>
          <w:tcPr>
            <w:tcW w:w="1291" w:type="dxa"/>
          </w:tcPr>
          <w:p w14:paraId="0989282E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21</w:t>
            </w:r>
          </w:p>
        </w:tc>
        <w:tc>
          <w:tcPr>
            <w:tcW w:w="3018" w:type="dxa"/>
          </w:tcPr>
          <w:p w14:paraId="6DD71060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 xml:space="preserve">Generalisability — Discuss the generalisability (external </w:t>
            </w:r>
            <w:r w:rsidRPr="00421EAC">
              <w:rPr>
                <w:sz w:val="24"/>
                <w:szCs w:val="24"/>
              </w:rPr>
              <w:lastRenderedPageBreak/>
              <w:t>validity)</w:t>
            </w:r>
          </w:p>
        </w:tc>
        <w:tc>
          <w:tcPr>
            <w:tcW w:w="4509" w:type="dxa"/>
          </w:tcPr>
          <w:p w14:paraId="6E9C1E65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lastRenderedPageBreak/>
              <w:t xml:space="preserve">Results — effect modification on full CHARLS sample (p.11–12, lines 222–228); </w:t>
            </w:r>
            <w:r w:rsidRPr="00421EAC">
              <w:rPr>
                <w:sz w:val="24"/>
                <w:szCs w:val="24"/>
              </w:rPr>
              <w:lastRenderedPageBreak/>
              <w:t>Discussion — population-level implications (p.14)</w:t>
            </w:r>
          </w:p>
        </w:tc>
      </w:tr>
      <w:tr w:rsidR="00421EAC" w:rsidRPr="00421EAC" w14:paraId="1845C97C" w14:textId="77777777" w:rsidTr="00421EAC">
        <w:trPr>
          <w:jc w:val="center"/>
        </w:trPr>
        <w:tc>
          <w:tcPr>
            <w:tcW w:w="1291" w:type="dxa"/>
          </w:tcPr>
          <w:p w14:paraId="70A0ACDC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018" w:type="dxa"/>
          </w:tcPr>
          <w:p w14:paraId="5F147625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Funding — Give the source of funding and the role of the funders</w:t>
            </w:r>
          </w:p>
        </w:tc>
        <w:tc>
          <w:tcPr>
            <w:tcW w:w="4509" w:type="dxa"/>
          </w:tcPr>
          <w:p w14:paraId="2F055DF5" w14:textId="77777777" w:rsidR="00421EAC" w:rsidRPr="00421EAC" w:rsidRDefault="00421EAC" w:rsidP="00421EAC">
            <w:pPr>
              <w:spacing w:line="360" w:lineRule="auto"/>
              <w:rPr>
                <w:sz w:val="24"/>
                <w:szCs w:val="24"/>
              </w:rPr>
            </w:pPr>
            <w:r w:rsidRPr="00421EAC">
              <w:rPr>
                <w:sz w:val="24"/>
                <w:szCs w:val="24"/>
              </w:rPr>
              <w:t>Declarations — Funding (p.19, line 349): Tianjin Key Medical Discipline (Specialty) Construction Project (TJYXZDXK-055B)</w:t>
            </w:r>
          </w:p>
        </w:tc>
      </w:tr>
    </w:tbl>
    <w:p w14:paraId="484F5444" w14:textId="77777777" w:rsidR="008F2278" w:rsidRDefault="008F2278"/>
    <w:sectPr w:rsidR="008F2278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316879">
    <w:abstractNumId w:val="8"/>
  </w:num>
  <w:num w:numId="2" w16cid:durableId="324087366">
    <w:abstractNumId w:val="6"/>
  </w:num>
  <w:num w:numId="3" w16cid:durableId="1663580401">
    <w:abstractNumId w:val="5"/>
  </w:num>
  <w:num w:numId="4" w16cid:durableId="873880872">
    <w:abstractNumId w:val="4"/>
  </w:num>
  <w:num w:numId="5" w16cid:durableId="1796211745">
    <w:abstractNumId w:val="7"/>
  </w:num>
  <w:num w:numId="6" w16cid:durableId="271210818">
    <w:abstractNumId w:val="3"/>
  </w:num>
  <w:num w:numId="7" w16cid:durableId="1302492633">
    <w:abstractNumId w:val="2"/>
  </w:num>
  <w:num w:numId="8" w16cid:durableId="1942101368">
    <w:abstractNumId w:val="1"/>
  </w:num>
  <w:num w:numId="9" w16cid:durableId="2120222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1EAC"/>
    <w:rsid w:val="008F2278"/>
    <w:rsid w:val="009265F4"/>
    <w:rsid w:val="00AA1D8D"/>
    <w:rsid w:val="00B47730"/>
    <w:rsid w:val="00CB0664"/>
    <w:rsid w:val="00DD08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8350C0"/>
  <w14:defaultImageDpi w14:val="300"/>
  <w15:docId w15:val="{6286A179-8EE2-4C79-B957-A948B0D4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宋体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1102</Words>
  <Characters>6119</Characters>
  <Application>Microsoft Office Word</Application>
  <DocSecurity>0</DocSecurity>
  <Lines>291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jiayi sun</cp:lastModifiedBy>
  <cp:revision>2</cp:revision>
  <dcterms:created xsi:type="dcterms:W3CDTF">2013-12-23T23:15:00Z</dcterms:created>
  <dcterms:modified xsi:type="dcterms:W3CDTF">2026-09-10T11:24:00Z</dcterms:modified>
  <cp:category/>
</cp:coreProperties>
</file>