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FFAF6A" w14:textId="77D94757" w:rsidR="00C50EB2" w:rsidRDefault="00C50EB2" w:rsidP="00C50EB2">
      <w:pPr>
        <w:pStyle w:val="Titre2"/>
        <w:spacing w:before="0" w:line="480" w:lineRule="auto"/>
        <w:jc w:val="both"/>
        <w:rPr>
          <w:lang w:bidi="en-US"/>
        </w:rPr>
      </w:pPr>
      <w:r>
        <w:rPr>
          <w:lang w:bidi="en-US"/>
        </w:rPr>
        <w:t xml:space="preserve">Additional file </w:t>
      </w:r>
      <w:r w:rsidR="00210EED">
        <w:rPr>
          <w:lang w:bidi="en-US"/>
        </w:rPr>
        <w:t>5</w:t>
      </w:r>
      <w:r>
        <w:rPr>
          <w:lang w:bidi="en-US"/>
        </w:rPr>
        <w:t xml:space="preserve">. Prototype posters </w:t>
      </w:r>
    </w:p>
    <w:p w14:paraId="39F94E13" w14:textId="77777777" w:rsidR="00C50EB2" w:rsidRDefault="00C50EB2" w:rsidP="00C50EB2">
      <w:pPr>
        <w:spacing w:after="0" w:line="240" w:lineRule="auto"/>
        <w:jc w:val="both"/>
        <w:rPr>
          <w:rFonts w:cs="Times New Roman"/>
          <w:b/>
          <w:bCs/>
          <w:sz w:val="22"/>
          <w:lang w:val="en-US"/>
        </w:rPr>
      </w:pPr>
      <w:r w:rsidRPr="00F772CD">
        <w:rPr>
          <w:rFonts w:cs="Times New Roman"/>
          <w:b/>
          <w:bCs/>
          <w:sz w:val="22"/>
          <w:lang w:val="en-US"/>
        </w:rPr>
        <w:t>Poster #1 – Workshop #2</w:t>
      </w:r>
    </w:p>
    <w:p w14:paraId="2C34FD34" w14:textId="77777777" w:rsidR="00C50EB2" w:rsidRPr="00F772CD" w:rsidRDefault="00C50EB2" w:rsidP="00C50EB2">
      <w:pPr>
        <w:spacing w:after="0" w:line="240" w:lineRule="auto"/>
        <w:jc w:val="both"/>
        <w:rPr>
          <w:rFonts w:cs="Times New Roman"/>
          <w:b/>
          <w:bCs/>
          <w:sz w:val="22"/>
          <w:lang w:val="en-US"/>
        </w:rPr>
      </w:pPr>
    </w:p>
    <w:p w14:paraId="07E2869D" w14:textId="77777777" w:rsidR="00C50EB2" w:rsidRPr="00F772CD" w:rsidRDefault="00C50EB2" w:rsidP="00C50EB2">
      <w:pPr>
        <w:spacing w:after="0" w:line="240" w:lineRule="auto"/>
        <w:jc w:val="both"/>
        <w:rPr>
          <w:rFonts w:cs="Times New Roman"/>
          <w:b/>
          <w:bCs/>
          <w:sz w:val="22"/>
          <w:lang w:val="en-US"/>
        </w:rPr>
      </w:pPr>
      <w:r w:rsidRPr="00F772CD">
        <w:rPr>
          <w:rFonts w:cs="Times New Roman"/>
          <w:b/>
          <w:bCs/>
          <w:sz w:val="22"/>
          <w:lang w:val="en-US"/>
        </w:rPr>
        <w:t>Canadian Syncope Risk Score based Practice Recommendations</w:t>
      </w:r>
    </w:p>
    <w:p w14:paraId="1852FCE5" w14:textId="77777777" w:rsidR="00C50EB2" w:rsidRPr="00F772CD" w:rsidRDefault="00C50EB2" w:rsidP="00C50EB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2"/>
          <w:lang w:val="en-US"/>
        </w:rPr>
      </w:pPr>
      <w:r w:rsidRPr="00F772CD">
        <w:rPr>
          <w:rFonts w:cs="Times New Roman"/>
          <w:sz w:val="22"/>
          <w:lang w:val="en-US"/>
        </w:rPr>
        <w:t>For use among ED patients who present within 24-hours of their syncope</w:t>
      </w:r>
      <w:r w:rsidRPr="00F772CD">
        <w:rPr>
          <w:rFonts w:cs="Times New Roman"/>
          <w:sz w:val="22"/>
          <w:vertAlign w:val="superscript"/>
          <w:lang w:val="en-US"/>
        </w:rPr>
        <w:t>1</w:t>
      </w:r>
    </w:p>
    <w:p w14:paraId="42BC9816" w14:textId="77777777" w:rsidR="00C50EB2" w:rsidRPr="00F772CD" w:rsidRDefault="00C50EB2" w:rsidP="00C50EB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2"/>
          <w:lang w:val="en-US"/>
        </w:rPr>
      </w:pPr>
      <w:r w:rsidRPr="00F772CD">
        <w:rPr>
          <w:rFonts w:cs="Times New Roman"/>
          <w:sz w:val="22"/>
          <w:lang w:val="en-US"/>
        </w:rPr>
        <w:t>After initial ED assessment (history, physical exam ± orthostatic vitals and ECG)</w:t>
      </w:r>
      <w:r w:rsidRPr="00F772CD">
        <w:rPr>
          <w:rFonts w:cs="Times New Roman"/>
          <w:sz w:val="22"/>
          <w:vertAlign w:val="superscript"/>
          <w:lang w:val="en-US"/>
        </w:rPr>
        <w:t>2</w:t>
      </w:r>
      <w:r w:rsidRPr="00F772CD">
        <w:rPr>
          <w:rFonts w:cs="Times New Roman"/>
          <w:sz w:val="22"/>
          <w:lang w:val="en-US"/>
        </w:rPr>
        <w:t xml:space="preserve"> if a serious condition is suspected investigate accordingly</w:t>
      </w:r>
    </w:p>
    <w:p w14:paraId="582354FD" w14:textId="77777777" w:rsidR="00C50EB2" w:rsidRPr="00F772CD" w:rsidRDefault="00C50EB2" w:rsidP="00C50EB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2"/>
          <w:lang w:val="en-US"/>
        </w:rPr>
      </w:pPr>
      <w:r w:rsidRPr="00F772CD">
        <w:rPr>
          <w:rFonts w:cs="Times New Roman"/>
          <w:sz w:val="22"/>
          <w:lang w:val="en-US"/>
        </w:rPr>
        <w:t>Does not apply to patients who had a serious condition identified in the ED or those who require consultation/hospitalization not related to syncope work-up</w:t>
      </w:r>
    </w:p>
    <w:p w14:paraId="5E80554F" w14:textId="77777777" w:rsidR="00C50EB2" w:rsidRPr="00F772CD" w:rsidRDefault="00C50EB2" w:rsidP="00C50EB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="Times New Roman"/>
          <w:sz w:val="22"/>
          <w:lang w:val="en-US"/>
        </w:rPr>
      </w:pPr>
      <w:r w:rsidRPr="00F772CD">
        <w:rPr>
          <w:rFonts w:cs="Times New Roman"/>
          <w:sz w:val="22"/>
          <w:lang w:val="en-US"/>
        </w:rPr>
        <w:t>Patients who fulfill ultra-</w:t>
      </w:r>
      <w:proofErr w:type="gramStart"/>
      <w:r w:rsidRPr="00F772CD">
        <w:rPr>
          <w:rFonts w:cs="Times New Roman"/>
          <w:sz w:val="22"/>
          <w:lang w:val="en-US"/>
        </w:rPr>
        <w:t>low-risk</w:t>
      </w:r>
      <w:proofErr w:type="gramEnd"/>
      <w:r w:rsidRPr="00F772CD">
        <w:rPr>
          <w:rFonts w:cs="Times New Roman"/>
          <w:sz w:val="22"/>
          <w:lang w:val="en-US"/>
        </w:rPr>
        <w:t xml:space="preserve"> criteria</w:t>
      </w:r>
      <w:r w:rsidRPr="00F772CD">
        <w:rPr>
          <w:rFonts w:cs="Times New Roman"/>
          <w:sz w:val="22"/>
          <w:vertAlign w:val="superscript"/>
          <w:lang w:val="en-US"/>
        </w:rPr>
        <w:t>3</w:t>
      </w:r>
      <w:r w:rsidRPr="00F772CD">
        <w:rPr>
          <w:rFonts w:cs="Times New Roman"/>
          <w:sz w:val="22"/>
          <w:lang w:val="en-US"/>
        </w:rPr>
        <w:t xml:space="preserve"> do not require troponin measured and can be assumed as normal</w:t>
      </w:r>
    </w:p>
    <w:p w14:paraId="7C55AB03" w14:textId="77777777" w:rsidR="00C50EB2" w:rsidRPr="009775FA" w:rsidRDefault="00C50EB2" w:rsidP="00C50EB2">
      <w:pPr>
        <w:spacing w:after="0" w:line="240" w:lineRule="auto"/>
        <w:jc w:val="both"/>
        <w:rPr>
          <w:rFonts w:ascii="Arial" w:hAnsi="Arial" w:cs="Arial"/>
          <w:sz w:val="22"/>
          <w:lang w:val="en-US"/>
        </w:rPr>
      </w:pPr>
    </w:p>
    <w:tbl>
      <w:tblPr>
        <w:tblW w:w="76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5"/>
        <w:gridCol w:w="1965"/>
      </w:tblGrid>
      <w:tr w:rsidR="00C50EB2" w:rsidRPr="009775FA" w14:paraId="5EF15733" w14:textId="77777777" w:rsidTr="000F6A1F">
        <w:trPr>
          <w:trHeight w:val="129"/>
          <w:jc w:val="center"/>
        </w:trPr>
        <w:tc>
          <w:tcPr>
            <w:tcW w:w="76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E80D5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Calibri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CANADIAN SYNCOPE RISK SCORE</w:t>
            </w:r>
          </w:p>
        </w:tc>
      </w:tr>
      <w:tr w:rsidR="00C50EB2" w:rsidRPr="009775FA" w14:paraId="61F0F066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B280D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Category</w:t>
            </w:r>
          </w:p>
        </w:tc>
        <w:tc>
          <w:tcPr>
            <w:tcW w:w="196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2C637A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Points</w:t>
            </w:r>
          </w:p>
        </w:tc>
      </w:tr>
      <w:tr w:rsidR="00C50EB2" w:rsidRPr="009775FA" w14:paraId="422B532C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12" w:space="0" w:color="00000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351EB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Clinical evaluation</w:t>
            </w:r>
          </w:p>
        </w:tc>
        <w:tc>
          <w:tcPr>
            <w:tcW w:w="1962" w:type="dxa"/>
            <w:tcBorders>
              <w:top w:val="single" w:sz="12" w:space="0" w:color="00000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AA8E8B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 </w:t>
            </w:r>
          </w:p>
        </w:tc>
      </w:tr>
      <w:tr w:rsidR="00C50EB2" w:rsidRPr="009775FA" w14:paraId="44973351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228F63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Predisposition to vasovagal symptoms</w:t>
            </w:r>
            <w:r w:rsidRPr="00F772CD">
              <w:rPr>
                <w:rFonts w:eastAsia="Times New Roman" w:cs="Times New Roman"/>
                <w:color w:val="000000"/>
                <w:kern w:val="24"/>
                <w:sz w:val="22"/>
                <w:vertAlign w:val="superscript"/>
                <w:lang w:val="en-US" w:eastAsia="en-CA"/>
              </w:rPr>
              <w:t>4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E3789F" w14:textId="77777777" w:rsidR="00C50EB2" w:rsidRPr="00F772CD" w:rsidRDefault="00C50EB2" w:rsidP="000F6A1F">
            <w:pPr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-1</w:t>
            </w:r>
          </w:p>
        </w:tc>
      </w:tr>
      <w:tr w:rsidR="00C50EB2" w:rsidRPr="009775FA" w14:paraId="4CB37635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8962B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History of heart disease</w:t>
            </w:r>
            <w:r w:rsidRPr="00F772CD">
              <w:rPr>
                <w:rFonts w:eastAsia="Times New Roman" w:cs="Times New Roman"/>
                <w:color w:val="000000"/>
                <w:kern w:val="24"/>
                <w:sz w:val="22"/>
                <w:vertAlign w:val="superscript"/>
                <w:lang w:val="en-US" w:eastAsia="en-CA"/>
              </w:rPr>
              <w:t>5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5F778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1</w:t>
            </w:r>
          </w:p>
        </w:tc>
      </w:tr>
      <w:tr w:rsidR="00C50EB2" w:rsidRPr="009775FA" w14:paraId="5BAD1ECC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CAB143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Any systolic pressure reading &lt;90 or &gt;180 mm Hg</w:t>
            </w:r>
            <w:r w:rsidRPr="00F772CD">
              <w:rPr>
                <w:rFonts w:eastAsia="Times New Roman" w:cs="Times New Roman"/>
                <w:color w:val="000000"/>
                <w:kern w:val="24"/>
                <w:sz w:val="22"/>
                <w:vertAlign w:val="superscript"/>
                <w:lang w:val="en-US" w:eastAsia="en-CA"/>
              </w:rPr>
              <w:t>6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F214B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2</w:t>
            </w:r>
          </w:p>
        </w:tc>
      </w:tr>
      <w:tr w:rsidR="00C50EB2" w:rsidRPr="009775FA" w14:paraId="46029D06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36F2C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Investigations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CB684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 </w:t>
            </w:r>
          </w:p>
        </w:tc>
      </w:tr>
      <w:tr w:rsidR="00C50EB2" w:rsidRPr="009775FA" w14:paraId="7811348E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EDC6C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Elevated troponin (&gt;99</w:t>
            </w:r>
            <w:r w:rsidRPr="00F772CD">
              <w:rPr>
                <w:rFonts w:eastAsia="Times New Roman" w:cs="Times New Roman"/>
                <w:color w:val="000000"/>
                <w:kern w:val="24"/>
                <w:position w:val="7"/>
                <w:sz w:val="22"/>
                <w:vertAlign w:val="superscript"/>
                <w:lang w:val="en-US" w:eastAsia="en-CA"/>
              </w:rPr>
              <w:t>th</w:t>
            </w: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 xml:space="preserve"> percentile); assume as normal if patient is ultra-</w:t>
            </w:r>
            <w:proofErr w:type="gramStart"/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low-risk</w:t>
            </w:r>
            <w:proofErr w:type="gramEnd"/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B14FF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2</w:t>
            </w:r>
          </w:p>
        </w:tc>
      </w:tr>
      <w:tr w:rsidR="00C50EB2" w:rsidRPr="009775FA" w14:paraId="1413BB9C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1A1516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Abnormal QRS axis (&lt;-30 or &gt;100</w:t>
            </w:r>
            <w:r w:rsidRPr="00F772CD">
              <w:rPr>
                <w:rFonts w:eastAsia="Times New Roman" w:cs="Times New Roman"/>
                <w:color w:val="000000"/>
                <w:kern w:val="24"/>
                <w:position w:val="7"/>
                <w:sz w:val="22"/>
                <w:vertAlign w:val="superscript"/>
                <w:lang w:val="en-US" w:eastAsia="en-CA"/>
              </w:rPr>
              <w:t>o</w:t>
            </w: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)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7BD3D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1</w:t>
            </w:r>
          </w:p>
        </w:tc>
      </w:tr>
      <w:tr w:rsidR="00C50EB2" w:rsidRPr="009775FA" w14:paraId="4501A65C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10F91B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QRS duration &gt;130 milliseconds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16BCF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1</w:t>
            </w:r>
          </w:p>
        </w:tc>
      </w:tr>
      <w:tr w:rsidR="00C50EB2" w:rsidRPr="009775FA" w14:paraId="13B8C1CD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8002B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Corrected QT interval &gt;480 milliseconds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B6F47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2</w:t>
            </w:r>
          </w:p>
        </w:tc>
      </w:tr>
      <w:tr w:rsidR="00C50EB2" w:rsidRPr="009775FA" w14:paraId="1C47D69E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F8222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Diagnosis in emergency department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00FB8" w14:textId="77777777" w:rsidR="00C50EB2" w:rsidRPr="00F772CD" w:rsidRDefault="00C50EB2" w:rsidP="000F6A1F">
            <w:pPr>
              <w:tabs>
                <w:tab w:val="left" w:pos="363"/>
                <w:tab w:val="left" w:pos="792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000000"/>
                <w:kern w:val="24"/>
                <w:sz w:val="22"/>
                <w:lang w:val="en-US" w:eastAsia="en-CA"/>
              </w:rPr>
              <w:t> </w:t>
            </w:r>
          </w:p>
        </w:tc>
      </w:tr>
      <w:tr w:rsidR="00C50EB2" w:rsidRPr="009775FA" w14:paraId="0C80697D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13DE6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Vasovagal syncope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B05381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-2</w:t>
            </w:r>
          </w:p>
        </w:tc>
      </w:tr>
      <w:tr w:rsidR="00C50EB2" w:rsidRPr="009775FA" w14:paraId="51B23DA5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B89EC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Cardiac syncope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8" w:space="0" w:color="80808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C6EE57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2</w:t>
            </w:r>
          </w:p>
        </w:tc>
      </w:tr>
      <w:tr w:rsidR="00C50EB2" w:rsidRPr="009775FA" w14:paraId="0DE7CF9B" w14:textId="77777777" w:rsidTr="000F6A1F">
        <w:trPr>
          <w:trHeight w:val="129"/>
          <w:jc w:val="center"/>
        </w:trPr>
        <w:tc>
          <w:tcPr>
            <w:tcW w:w="5655" w:type="dxa"/>
            <w:tcBorders>
              <w:top w:val="single" w:sz="8" w:space="0" w:color="80808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3CC11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Cause unknown</w:t>
            </w:r>
          </w:p>
        </w:tc>
        <w:tc>
          <w:tcPr>
            <w:tcW w:w="1962" w:type="dxa"/>
            <w:tcBorders>
              <w:top w:val="single" w:sz="8" w:space="0" w:color="80808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87BF2" w14:textId="77777777" w:rsidR="00C50EB2" w:rsidRPr="00F772CD" w:rsidRDefault="00C50EB2" w:rsidP="000F6A1F">
            <w:pPr>
              <w:tabs>
                <w:tab w:val="left" w:pos="363"/>
              </w:tabs>
              <w:spacing w:after="0" w:line="240" w:lineRule="auto"/>
              <w:ind w:left="29" w:right="158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color w:val="000000"/>
                <w:kern w:val="24"/>
                <w:sz w:val="22"/>
                <w:lang w:val="en-US" w:eastAsia="en-CA"/>
              </w:rPr>
              <w:t>0</w:t>
            </w:r>
          </w:p>
        </w:tc>
      </w:tr>
      <w:tr w:rsidR="00C50EB2" w:rsidRPr="009775FA" w14:paraId="0011EB14" w14:textId="77777777" w:rsidTr="000F6A1F">
        <w:trPr>
          <w:trHeight w:val="172"/>
          <w:jc w:val="center"/>
        </w:trPr>
        <w:tc>
          <w:tcPr>
            <w:tcW w:w="56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6600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414E0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FFFFFF"/>
                <w:kern w:val="24"/>
                <w:sz w:val="22"/>
                <w:lang w:val="en-US" w:eastAsia="en-CA"/>
              </w:rPr>
              <w:t>Total score</w:t>
            </w:r>
          </w:p>
        </w:tc>
        <w:tc>
          <w:tcPr>
            <w:tcW w:w="196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6600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18541" w14:textId="77777777" w:rsidR="00C50EB2" w:rsidRPr="00F772CD" w:rsidRDefault="00C50EB2" w:rsidP="000F6A1F">
            <w:pPr>
              <w:spacing w:after="0" w:line="240" w:lineRule="auto"/>
              <w:jc w:val="both"/>
              <w:rPr>
                <w:rFonts w:eastAsia="Times New Roman" w:cs="Times New Roman"/>
                <w:sz w:val="22"/>
                <w:lang w:eastAsia="en-CA"/>
              </w:rPr>
            </w:pPr>
            <w:r w:rsidRPr="00F772CD">
              <w:rPr>
                <w:rFonts w:eastAsia="Times New Roman" w:cs="Times New Roman"/>
                <w:b/>
                <w:bCs/>
                <w:color w:val="FFFFFF"/>
                <w:kern w:val="24"/>
                <w:sz w:val="22"/>
                <w:lang w:val="en-US" w:eastAsia="en-CA"/>
              </w:rPr>
              <w:t>(-3 to 11)</w:t>
            </w:r>
          </w:p>
        </w:tc>
      </w:tr>
    </w:tbl>
    <w:p w14:paraId="4A741749" w14:textId="77777777" w:rsidR="00C50EB2" w:rsidRDefault="00C50EB2" w:rsidP="00C50EB2">
      <w:pPr>
        <w:spacing w:after="0" w:line="480" w:lineRule="auto"/>
        <w:jc w:val="both"/>
        <w:rPr>
          <w:szCs w:val="24"/>
          <w:lang w:val="en-US"/>
        </w:rPr>
      </w:pPr>
      <w:r w:rsidRPr="001415CB">
        <w:rPr>
          <w:rFonts w:ascii="Calibri" w:eastAsia="Calibri" w:hAnsi="Calibri" w:cs="Times New Roman"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92DE5" wp14:editId="6C928288">
                <wp:simplePos x="0" y="0"/>
                <wp:positionH relativeFrom="column">
                  <wp:posOffset>2880360</wp:posOffset>
                </wp:positionH>
                <wp:positionV relativeFrom="paragraph">
                  <wp:posOffset>38100</wp:posOffset>
                </wp:positionV>
                <wp:extent cx="309245" cy="182880"/>
                <wp:effectExtent l="0" t="0" r="0" b="7620"/>
                <wp:wrapNone/>
                <wp:docPr id="5" name="Ben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245" cy="182880"/>
                        </a:xfrm>
                        <a:prstGeom prst="downArrow">
                          <a:avLst/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51010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Bent Arrow 9" o:spid="_x0000_s1026" type="#_x0000_t67" style="position:absolute;margin-left:226.8pt;margin-top:3pt;width:24.35pt;height:14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" adj="10800" fillcolor="#bfbfbf" stroked="f" strokeweight="1pt"/>
            </w:pict>
          </mc:Fallback>
        </mc:AlternateContent>
      </w:r>
    </w:p>
    <w:p w14:paraId="62AE2E20" w14:textId="77777777" w:rsidR="00C50EB2" w:rsidRDefault="00C50EB2" w:rsidP="00C50EB2">
      <w:pPr>
        <w:spacing w:after="0" w:line="480" w:lineRule="auto"/>
        <w:jc w:val="both"/>
        <w:rPr>
          <w:szCs w:val="24"/>
          <w:lang w:val="en-US"/>
        </w:rPr>
      </w:pPr>
      <w:r>
        <w:rPr>
          <w:noProof/>
          <w:lang w:eastAsia="en-CA"/>
        </w:rPr>
        <w:drawing>
          <wp:anchor distT="0" distB="0" distL="114300" distR="114300" simplePos="0" relativeHeight="251660288" behindDoc="0" locked="0" layoutInCell="1" allowOverlap="1" wp14:anchorId="4BA67B2A" wp14:editId="4CCFD97E">
            <wp:simplePos x="0" y="0"/>
            <wp:positionH relativeFrom="column">
              <wp:posOffset>76200</wp:posOffset>
            </wp:positionH>
            <wp:positionV relativeFrom="paragraph">
              <wp:posOffset>31115</wp:posOffset>
            </wp:positionV>
            <wp:extent cx="1752600" cy="1143000"/>
            <wp:effectExtent l="0" t="0" r="0" b="0"/>
            <wp:wrapNone/>
            <wp:docPr id="2" name="table">
              <a:extLst xmlns:a="http://schemas.openxmlformats.org/drawingml/2006/main">
                <a:ext uri="{FF2B5EF4-FFF2-40B4-BE49-F238E27FC236}">
                  <a16:creationId xmlns:a16="http://schemas.microsoft.com/office/drawing/2014/main" id="{11968D94-6CFF-4D17-B20B-5DA9A670D3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11968D94-6CFF-4D17-B20B-5DA9A670D3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2336" behindDoc="0" locked="0" layoutInCell="1" allowOverlap="1" wp14:anchorId="5CD78B71" wp14:editId="540D51A1">
            <wp:simplePos x="0" y="0"/>
            <wp:positionH relativeFrom="column">
              <wp:posOffset>4210050</wp:posOffset>
            </wp:positionH>
            <wp:positionV relativeFrom="paragraph">
              <wp:posOffset>71453</wp:posOffset>
            </wp:positionV>
            <wp:extent cx="1922709" cy="1133475"/>
            <wp:effectExtent l="0" t="0" r="1905" b="0"/>
            <wp:wrapNone/>
            <wp:docPr id="6" name="table">
              <a:extLst xmlns:a="http://schemas.openxmlformats.org/drawingml/2006/main">
                <a:ext uri="{FF2B5EF4-FFF2-40B4-BE49-F238E27FC236}">
                  <a16:creationId xmlns:a16="http://schemas.microsoft.com/office/drawing/2014/main" id="{F14235F7-E4E2-4EFC-AF10-18EB15B670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able">
                      <a:extLst>
                        <a:ext uri="{FF2B5EF4-FFF2-40B4-BE49-F238E27FC236}">
                          <a16:creationId xmlns:a16="http://schemas.microsoft.com/office/drawing/2014/main" id="{F14235F7-E4E2-4EFC-AF10-18EB15B670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2709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CA"/>
        </w:rPr>
        <w:drawing>
          <wp:anchor distT="0" distB="0" distL="114300" distR="114300" simplePos="0" relativeHeight="251661312" behindDoc="0" locked="0" layoutInCell="1" allowOverlap="1" wp14:anchorId="1E0176B1" wp14:editId="393318AD">
            <wp:simplePos x="0" y="0"/>
            <wp:positionH relativeFrom="column">
              <wp:posOffset>1971675</wp:posOffset>
            </wp:positionH>
            <wp:positionV relativeFrom="paragraph">
              <wp:posOffset>45720</wp:posOffset>
            </wp:positionV>
            <wp:extent cx="2103120" cy="1171575"/>
            <wp:effectExtent l="0" t="0" r="0" b="9525"/>
            <wp:wrapNone/>
            <wp:docPr id="4" name="table">
              <a:extLst xmlns:a="http://schemas.openxmlformats.org/drawingml/2006/main">
                <a:ext uri="{FF2B5EF4-FFF2-40B4-BE49-F238E27FC236}">
                  <a16:creationId xmlns:a16="http://schemas.microsoft.com/office/drawing/2014/main" id="{8506F14E-8404-4381-BD3D-7BE74B5ADA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">
                      <a:extLst>
                        <a:ext uri="{FF2B5EF4-FFF2-40B4-BE49-F238E27FC236}">
                          <a16:creationId xmlns:a16="http://schemas.microsoft.com/office/drawing/2014/main" id="{8506F14E-8404-4381-BD3D-7BE74B5ADA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2C6A99" w14:textId="77777777" w:rsidR="00C50EB2" w:rsidRDefault="00C50EB2" w:rsidP="00C50EB2">
      <w:pPr>
        <w:spacing w:after="0" w:line="480" w:lineRule="auto"/>
        <w:jc w:val="both"/>
        <w:rPr>
          <w:szCs w:val="24"/>
          <w:lang w:val="en-US"/>
        </w:rPr>
      </w:pPr>
    </w:p>
    <w:p w14:paraId="76025BC7" w14:textId="77777777" w:rsidR="00C50EB2" w:rsidRDefault="00C50EB2" w:rsidP="00C50EB2">
      <w:pPr>
        <w:spacing w:after="0" w:line="480" w:lineRule="auto"/>
        <w:jc w:val="both"/>
        <w:rPr>
          <w:szCs w:val="24"/>
          <w:lang w:val="en-US"/>
        </w:rPr>
      </w:pPr>
    </w:p>
    <w:p w14:paraId="5387C638" w14:textId="77777777" w:rsidR="00C50EB2" w:rsidRDefault="00C50EB2" w:rsidP="00C50EB2">
      <w:pPr>
        <w:spacing w:after="0" w:line="240" w:lineRule="auto"/>
        <w:jc w:val="both"/>
        <w:rPr>
          <w:szCs w:val="24"/>
          <w:lang w:val="en-US"/>
        </w:rPr>
      </w:pPr>
    </w:p>
    <w:p w14:paraId="1ACC45F6" w14:textId="77777777" w:rsidR="00C50EB2" w:rsidRPr="00F772CD" w:rsidRDefault="00C50EB2" w:rsidP="00C50EB2">
      <w:p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  <w:vertAlign w:val="superscript"/>
        </w:rPr>
        <w:t>1</w:t>
      </w:r>
      <w:r w:rsidRPr="00F772CD">
        <w:rPr>
          <w:rFonts w:cs="Times New Roman"/>
          <w:sz w:val="18"/>
          <w:szCs w:val="18"/>
        </w:rPr>
        <w:t>Confirm the patient suffered true syncope (sudden transient loss of consciousness with spontaneous complete recovery)</w:t>
      </w:r>
    </w:p>
    <w:p w14:paraId="29A4AC42" w14:textId="77777777" w:rsidR="00C50EB2" w:rsidRPr="00F772CD" w:rsidRDefault="00C50EB2" w:rsidP="00C50EB2">
      <w:p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  <w:vertAlign w:val="superscript"/>
        </w:rPr>
        <w:t>2</w:t>
      </w:r>
      <w:r w:rsidRPr="00F772CD">
        <w:rPr>
          <w:rFonts w:cs="Times New Roman"/>
          <w:sz w:val="18"/>
          <w:szCs w:val="18"/>
          <w:lang w:val="en-US"/>
        </w:rPr>
        <w:t>Routine blood tests (CBC, Chemistry) are generally not useful; pulmonary embolism prevalence is very low 0.6% investigate only if suspected; CT head is not recommended unless focal neurological deficits or head injury with risk factors as per published criteria (e.g., Canadian CT Head Rule)</w:t>
      </w:r>
    </w:p>
    <w:p w14:paraId="2D713B2A" w14:textId="77777777" w:rsidR="00C50EB2" w:rsidRPr="00F772CD" w:rsidRDefault="00C50EB2" w:rsidP="00C50EB2">
      <w:p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  <w:vertAlign w:val="superscript"/>
        </w:rPr>
        <w:t>3</w:t>
      </w:r>
      <w:r w:rsidRPr="00F772CD">
        <w:rPr>
          <w:rFonts w:cs="Times New Roman"/>
          <w:b/>
          <w:sz w:val="18"/>
          <w:szCs w:val="18"/>
          <w:u w:val="single"/>
        </w:rPr>
        <w:t>Ultra-low-risk criteria:</w:t>
      </w:r>
    </w:p>
    <w:p w14:paraId="6BF79644" w14:textId="77777777" w:rsidR="00C50EB2" w:rsidRPr="00F772CD" w:rsidRDefault="00C50EB2" w:rsidP="00C50EB2">
      <w:pPr>
        <w:numPr>
          <w:ilvl w:val="1"/>
          <w:numId w:val="2"/>
        </w:num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</w:rPr>
        <w:t>Age ≤ 50 years</w:t>
      </w:r>
    </w:p>
    <w:p w14:paraId="144CB102" w14:textId="77777777" w:rsidR="00C50EB2" w:rsidRPr="00F772CD" w:rsidRDefault="00C50EB2" w:rsidP="00C50EB2">
      <w:pPr>
        <w:numPr>
          <w:ilvl w:val="1"/>
          <w:numId w:val="2"/>
        </w:num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</w:rPr>
        <w:t>No heart disease</w:t>
      </w:r>
    </w:p>
    <w:p w14:paraId="5D2F4868" w14:textId="77777777" w:rsidR="00C50EB2" w:rsidRPr="00F772CD" w:rsidRDefault="00C50EB2" w:rsidP="00C50EB2">
      <w:pPr>
        <w:numPr>
          <w:ilvl w:val="1"/>
          <w:numId w:val="2"/>
        </w:num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</w:rPr>
        <w:t>Normal ECG (QRS axis ≥-30° to ≤+100°, QRS ≤130ms, cQT ≤480ms)</w:t>
      </w:r>
    </w:p>
    <w:p w14:paraId="79F99DD6" w14:textId="77777777" w:rsidR="00C50EB2" w:rsidRPr="00F772CD" w:rsidRDefault="00C50EB2" w:rsidP="00C50EB2">
      <w:pPr>
        <w:numPr>
          <w:ilvl w:val="1"/>
          <w:numId w:val="2"/>
        </w:num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</w:rPr>
        <w:t>Clinical impression: non-cardiac syncope</w:t>
      </w:r>
    </w:p>
    <w:p w14:paraId="782915B2" w14:textId="77777777" w:rsidR="00C50EB2" w:rsidRPr="00F772CD" w:rsidRDefault="00C50EB2" w:rsidP="00C50EB2">
      <w:p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eastAsia="Calibri" w:cs="Times New Roman"/>
          <w:color w:val="000000"/>
          <w:kern w:val="24"/>
          <w:sz w:val="18"/>
          <w:szCs w:val="18"/>
          <w:vertAlign w:val="superscript"/>
        </w:rPr>
        <w:t>4</w:t>
      </w:r>
      <w:r w:rsidRPr="00F772CD">
        <w:rPr>
          <w:rFonts w:eastAsia="Calibri" w:cs="Times New Roman"/>
          <w:color w:val="000000"/>
          <w:kern w:val="24"/>
          <w:sz w:val="18"/>
          <w:szCs w:val="18"/>
        </w:rPr>
        <w:t xml:space="preserve">Triggered by being in a warm crowded place, prolonged standing, fear, </w:t>
      </w:r>
      <w:proofErr w:type="gramStart"/>
      <w:r w:rsidRPr="00F772CD">
        <w:rPr>
          <w:rFonts w:eastAsia="Calibri" w:cs="Times New Roman"/>
          <w:color w:val="000000"/>
          <w:kern w:val="24"/>
          <w:sz w:val="18"/>
          <w:szCs w:val="18"/>
        </w:rPr>
        <w:t>emotion</w:t>
      </w:r>
      <w:proofErr w:type="gramEnd"/>
      <w:r w:rsidRPr="00F772CD">
        <w:rPr>
          <w:rFonts w:eastAsia="Calibri" w:cs="Times New Roman"/>
          <w:color w:val="000000"/>
          <w:kern w:val="24"/>
          <w:sz w:val="18"/>
          <w:szCs w:val="18"/>
        </w:rPr>
        <w:t xml:space="preserve"> or pain</w:t>
      </w:r>
    </w:p>
    <w:p w14:paraId="5B3250B6" w14:textId="77777777" w:rsidR="00C50EB2" w:rsidRPr="00F772CD" w:rsidRDefault="00C50EB2" w:rsidP="00C50EB2">
      <w:pPr>
        <w:spacing w:after="0" w:line="240" w:lineRule="auto"/>
        <w:jc w:val="both"/>
        <w:rPr>
          <w:rFonts w:cs="Times New Roman"/>
          <w:sz w:val="18"/>
          <w:szCs w:val="18"/>
        </w:rPr>
      </w:pPr>
      <w:r w:rsidRPr="00F772CD">
        <w:rPr>
          <w:rFonts w:cs="Times New Roman"/>
          <w:sz w:val="18"/>
          <w:szCs w:val="18"/>
          <w:vertAlign w:val="superscript"/>
        </w:rPr>
        <w:t>5</w:t>
      </w:r>
      <w:r w:rsidRPr="00F772CD">
        <w:rPr>
          <w:rFonts w:eastAsia="Calibri" w:cs="Times New Roman"/>
          <w:color w:val="000000"/>
          <w:kern w:val="24"/>
          <w:sz w:val="18"/>
          <w:szCs w:val="18"/>
        </w:rPr>
        <w:t xml:space="preserve">Includes coronary or valvular heart disease, cardiomyopathy, congestive heart failure and history of non-sinus rhythm </w:t>
      </w:r>
    </w:p>
    <w:p w14:paraId="28D0BA52" w14:textId="2B229376" w:rsidR="00C50EB2" w:rsidRDefault="00C50EB2" w:rsidP="00C50EB2">
      <w:pPr>
        <w:spacing w:after="0" w:line="240" w:lineRule="auto"/>
        <w:jc w:val="both"/>
        <w:rPr>
          <w:rFonts w:eastAsia="Calibri" w:cs="Times New Roman"/>
          <w:color w:val="000000"/>
          <w:kern w:val="24"/>
          <w:sz w:val="18"/>
          <w:szCs w:val="18"/>
        </w:rPr>
      </w:pPr>
      <w:r w:rsidRPr="00F772CD">
        <w:rPr>
          <w:rFonts w:eastAsia="Calibri" w:cs="Times New Roman"/>
          <w:color w:val="000000"/>
          <w:kern w:val="24"/>
          <w:sz w:val="18"/>
          <w:szCs w:val="18"/>
          <w:vertAlign w:val="superscript"/>
        </w:rPr>
        <w:t>6</w:t>
      </w:r>
      <w:r w:rsidRPr="00F772CD">
        <w:rPr>
          <w:rFonts w:eastAsia="Calibri" w:cs="Times New Roman"/>
          <w:color w:val="000000"/>
          <w:kern w:val="24"/>
          <w:sz w:val="18"/>
          <w:szCs w:val="18"/>
        </w:rPr>
        <w:t>Includes blood pressure values from triage until disposition from the emergency departmen</w:t>
      </w:r>
      <w:r>
        <w:rPr>
          <w:rFonts w:eastAsia="Calibri" w:cs="Times New Roman"/>
          <w:color w:val="000000"/>
          <w:kern w:val="24"/>
          <w:sz w:val="18"/>
          <w:szCs w:val="18"/>
        </w:rPr>
        <w:t>t.</w:t>
      </w:r>
    </w:p>
    <w:p w14:paraId="687FDE05" w14:textId="3CC75DA0" w:rsidR="00C50EB2" w:rsidRDefault="00C50EB2">
      <w:pPr>
        <w:rPr>
          <w:rFonts w:eastAsia="Calibri" w:cs="Times New Roman"/>
          <w:color w:val="000000"/>
          <w:kern w:val="24"/>
          <w:sz w:val="18"/>
          <w:szCs w:val="18"/>
        </w:rPr>
      </w:pPr>
      <w:r>
        <w:rPr>
          <w:rFonts w:eastAsia="Calibri" w:cs="Times New Roman"/>
          <w:color w:val="000000"/>
          <w:kern w:val="24"/>
          <w:sz w:val="18"/>
          <w:szCs w:val="18"/>
        </w:rPr>
        <w:br w:type="page"/>
      </w:r>
    </w:p>
    <w:p w14:paraId="3AA53AF0" w14:textId="77777777" w:rsidR="00C50EB2" w:rsidRPr="009775FA" w:rsidRDefault="00C50EB2" w:rsidP="00C50EB2">
      <w:pPr>
        <w:spacing w:after="0" w:line="480" w:lineRule="auto"/>
        <w:jc w:val="both"/>
        <w:rPr>
          <w:b/>
          <w:bCs/>
          <w:szCs w:val="24"/>
          <w:lang w:val="en-US"/>
        </w:rPr>
      </w:pPr>
      <w:r w:rsidRPr="009775FA">
        <w:rPr>
          <w:b/>
          <w:bCs/>
          <w:szCs w:val="24"/>
          <w:lang w:val="en-US"/>
        </w:rPr>
        <w:lastRenderedPageBreak/>
        <w:t xml:space="preserve">Poster #2 </w:t>
      </w:r>
      <w:r>
        <w:rPr>
          <w:b/>
          <w:bCs/>
          <w:szCs w:val="24"/>
          <w:lang w:val="en-US"/>
        </w:rPr>
        <w:t>– Workshop #2</w:t>
      </w:r>
    </w:p>
    <w:p w14:paraId="475FA0B6" w14:textId="77777777" w:rsidR="00C50EB2" w:rsidRDefault="00C50EB2">
      <w:pPr>
        <w:rPr>
          <w:rFonts w:eastAsia="Calibri" w:cs="Times New Roman"/>
          <w:color w:val="000000"/>
          <w:kern w:val="24"/>
          <w:sz w:val="18"/>
          <w:szCs w:val="18"/>
        </w:rPr>
      </w:pPr>
    </w:p>
    <w:p w14:paraId="65F9619C" w14:textId="6FD2D457" w:rsidR="00C50EB2" w:rsidRDefault="00C50EB2" w:rsidP="00C50EB2">
      <w:pPr>
        <w:spacing w:after="0" w:line="240" w:lineRule="auto"/>
        <w:jc w:val="both"/>
      </w:pPr>
      <w:r>
        <w:rPr>
          <w:noProof/>
          <w:szCs w:val="24"/>
          <w:lang w:val="en-US"/>
        </w:rPr>
        <w:drawing>
          <wp:inline distT="0" distB="0" distL="0" distR="0" wp14:anchorId="0E61C4CB" wp14:editId="0C744868">
            <wp:extent cx="5943600" cy="4438002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5"/>
                    <a:stretch/>
                  </pic:blipFill>
                  <pic:spPr bwMode="auto">
                    <a:xfrm>
                      <a:off x="0" y="0"/>
                      <a:ext cx="5943600" cy="4438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28EE91" w14:textId="70666CF8" w:rsidR="00C50EB2" w:rsidRDefault="00C50EB2" w:rsidP="00C50EB2">
      <w:pPr>
        <w:spacing w:after="0" w:line="240" w:lineRule="auto"/>
        <w:jc w:val="both"/>
      </w:pPr>
    </w:p>
    <w:p w14:paraId="246F482D" w14:textId="5C30B758" w:rsidR="00C50EB2" w:rsidRDefault="00C50EB2" w:rsidP="00C50EB2">
      <w:pPr>
        <w:spacing w:after="0" w:line="240" w:lineRule="auto"/>
        <w:jc w:val="both"/>
      </w:pPr>
    </w:p>
    <w:p w14:paraId="53F6925E" w14:textId="355A1377" w:rsidR="00C50EB2" w:rsidRDefault="00C50EB2" w:rsidP="00C50EB2">
      <w:pPr>
        <w:spacing w:after="0" w:line="240" w:lineRule="auto"/>
        <w:jc w:val="both"/>
      </w:pPr>
    </w:p>
    <w:p w14:paraId="5BA9849C" w14:textId="11514059" w:rsidR="00C50EB2" w:rsidRDefault="00C50EB2" w:rsidP="00C50EB2">
      <w:pPr>
        <w:spacing w:after="0" w:line="240" w:lineRule="auto"/>
        <w:jc w:val="both"/>
      </w:pPr>
    </w:p>
    <w:p w14:paraId="751E4A7B" w14:textId="261C3AB6" w:rsidR="00C50EB2" w:rsidRDefault="00C50EB2" w:rsidP="00C50EB2">
      <w:pPr>
        <w:spacing w:after="0" w:line="240" w:lineRule="auto"/>
        <w:jc w:val="both"/>
      </w:pPr>
    </w:p>
    <w:p w14:paraId="24050C7E" w14:textId="70BD1656" w:rsidR="00C50EB2" w:rsidRDefault="00C50EB2" w:rsidP="00C50EB2">
      <w:pPr>
        <w:spacing w:after="0" w:line="240" w:lineRule="auto"/>
        <w:jc w:val="both"/>
      </w:pPr>
    </w:p>
    <w:p w14:paraId="210ED5E8" w14:textId="5130F814" w:rsidR="00C50EB2" w:rsidRDefault="00C50EB2" w:rsidP="00C50EB2">
      <w:pPr>
        <w:spacing w:after="0" w:line="240" w:lineRule="auto"/>
        <w:jc w:val="both"/>
      </w:pPr>
    </w:p>
    <w:p w14:paraId="5EA9E617" w14:textId="36ECDD7E" w:rsidR="00C50EB2" w:rsidRDefault="00C50EB2" w:rsidP="00C50EB2">
      <w:pPr>
        <w:spacing w:after="0" w:line="240" w:lineRule="auto"/>
        <w:jc w:val="both"/>
      </w:pPr>
    </w:p>
    <w:p w14:paraId="37F9FC25" w14:textId="0C4AFB53" w:rsidR="00C50EB2" w:rsidRDefault="00C50EB2" w:rsidP="00C50EB2">
      <w:pPr>
        <w:spacing w:after="0" w:line="240" w:lineRule="auto"/>
        <w:jc w:val="both"/>
      </w:pPr>
    </w:p>
    <w:p w14:paraId="33985780" w14:textId="766193C0" w:rsidR="00C50EB2" w:rsidRDefault="00C50EB2" w:rsidP="00C50EB2">
      <w:pPr>
        <w:spacing w:after="0" w:line="240" w:lineRule="auto"/>
        <w:jc w:val="both"/>
      </w:pPr>
    </w:p>
    <w:p w14:paraId="186E2D2E" w14:textId="55C7FE13" w:rsidR="00C50EB2" w:rsidRDefault="00C50EB2" w:rsidP="00C50EB2">
      <w:pPr>
        <w:spacing w:after="0" w:line="240" w:lineRule="auto"/>
        <w:jc w:val="both"/>
      </w:pPr>
    </w:p>
    <w:p w14:paraId="746AF9DD" w14:textId="470080C1" w:rsidR="00C50EB2" w:rsidRDefault="00C50EB2" w:rsidP="00C50EB2">
      <w:pPr>
        <w:spacing w:after="0" w:line="240" w:lineRule="auto"/>
        <w:jc w:val="both"/>
      </w:pPr>
    </w:p>
    <w:p w14:paraId="7958547C" w14:textId="4CAE1A39" w:rsidR="00C50EB2" w:rsidRDefault="00C50EB2" w:rsidP="00C50EB2">
      <w:pPr>
        <w:spacing w:after="0" w:line="240" w:lineRule="auto"/>
        <w:jc w:val="both"/>
      </w:pPr>
    </w:p>
    <w:p w14:paraId="4E30DC3D" w14:textId="437E00B4" w:rsidR="00C50EB2" w:rsidRDefault="00C50EB2" w:rsidP="00C50EB2">
      <w:pPr>
        <w:spacing w:after="0" w:line="240" w:lineRule="auto"/>
        <w:jc w:val="both"/>
      </w:pPr>
    </w:p>
    <w:p w14:paraId="53EDCC7C" w14:textId="64CA9BBE" w:rsidR="00C50EB2" w:rsidRDefault="00C50EB2" w:rsidP="00C50EB2">
      <w:pPr>
        <w:spacing w:after="0" w:line="240" w:lineRule="auto"/>
        <w:jc w:val="both"/>
      </w:pPr>
    </w:p>
    <w:p w14:paraId="4BC5BB0A" w14:textId="7BA54180" w:rsidR="00C50EB2" w:rsidRDefault="00C50EB2" w:rsidP="00C50EB2">
      <w:pPr>
        <w:spacing w:after="0" w:line="240" w:lineRule="auto"/>
        <w:jc w:val="both"/>
      </w:pPr>
    </w:p>
    <w:p w14:paraId="0DCEC7A9" w14:textId="50CE511F" w:rsidR="00C50EB2" w:rsidRDefault="00C50EB2" w:rsidP="00C50EB2">
      <w:pPr>
        <w:spacing w:after="0" w:line="240" w:lineRule="auto"/>
        <w:jc w:val="both"/>
      </w:pPr>
    </w:p>
    <w:p w14:paraId="160AEAFB" w14:textId="3BE5550F" w:rsidR="00C50EB2" w:rsidRDefault="00C50EB2" w:rsidP="00C50EB2">
      <w:pPr>
        <w:spacing w:after="0" w:line="240" w:lineRule="auto"/>
        <w:jc w:val="both"/>
      </w:pPr>
    </w:p>
    <w:p w14:paraId="67FCEAED" w14:textId="6CCD7510" w:rsidR="00C50EB2" w:rsidRDefault="00C50EB2" w:rsidP="00C50EB2">
      <w:pPr>
        <w:spacing w:after="0" w:line="240" w:lineRule="auto"/>
        <w:jc w:val="both"/>
      </w:pPr>
    </w:p>
    <w:p w14:paraId="2110E764" w14:textId="2089B57B" w:rsidR="00C50EB2" w:rsidRDefault="00C50EB2" w:rsidP="00C50EB2">
      <w:pPr>
        <w:spacing w:after="0" w:line="240" w:lineRule="auto"/>
        <w:jc w:val="both"/>
      </w:pPr>
    </w:p>
    <w:p w14:paraId="5E03F477" w14:textId="58C66FB1" w:rsidR="00C50EB2" w:rsidRDefault="00C50EB2" w:rsidP="00C50EB2">
      <w:pPr>
        <w:spacing w:after="0" w:line="240" w:lineRule="auto"/>
        <w:jc w:val="both"/>
      </w:pPr>
    </w:p>
    <w:p w14:paraId="3EA89869" w14:textId="77777777" w:rsidR="00C50EB2" w:rsidRDefault="00C50EB2" w:rsidP="00C50EB2">
      <w:pPr>
        <w:spacing w:after="0" w:line="480" w:lineRule="auto"/>
        <w:jc w:val="both"/>
        <w:rPr>
          <w:b/>
          <w:bCs/>
          <w:szCs w:val="24"/>
          <w:lang w:val="en-US"/>
        </w:rPr>
      </w:pPr>
      <w:r>
        <w:rPr>
          <w:b/>
          <w:bCs/>
          <w:szCs w:val="24"/>
          <w:lang w:val="en-US"/>
        </w:rPr>
        <w:lastRenderedPageBreak/>
        <w:t>Poster #3 – Workshop #3</w:t>
      </w:r>
    </w:p>
    <w:p w14:paraId="4FB7B9CF" w14:textId="423B9482" w:rsidR="00C50EB2" w:rsidRDefault="00C50EB2" w:rsidP="00C50EB2">
      <w:pPr>
        <w:spacing w:after="0" w:line="240" w:lineRule="auto"/>
        <w:jc w:val="both"/>
      </w:pPr>
      <w:r w:rsidRPr="005D5283">
        <w:rPr>
          <w:b/>
          <w:bCs/>
          <w:noProof/>
          <w:szCs w:val="24"/>
          <w:lang w:val="en-US"/>
        </w:rPr>
        <w:drawing>
          <wp:inline distT="0" distB="0" distL="0" distR="0" wp14:anchorId="02BD1985" wp14:editId="2B88B213">
            <wp:extent cx="5927445" cy="752400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7445" cy="7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0EB2" w:rsidSect="00C50EB2">
      <w:pgSz w:w="12240" w:h="15840"/>
      <w:pgMar w:top="1418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917371"/>
    <w:multiLevelType w:val="hybridMultilevel"/>
    <w:tmpl w:val="9F12FFD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EF7FBC"/>
    <w:multiLevelType w:val="hybridMultilevel"/>
    <w:tmpl w:val="259666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EB2"/>
    <w:rsid w:val="00210EED"/>
    <w:rsid w:val="008E183C"/>
    <w:rsid w:val="00C5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35FC9"/>
  <w15:chartTrackingRefBased/>
  <w15:docId w15:val="{A28B64D2-76FD-4B00-A667-74E65A416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EB2"/>
    <w:rPr>
      <w:rFonts w:ascii="Times New Roman" w:hAnsi="Times New Roman"/>
      <w:sz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50E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50E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C50E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2</cp:revision>
  <dcterms:created xsi:type="dcterms:W3CDTF">2021-11-17T22:07:00Z</dcterms:created>
  <dcterms:modified xsi:type="dcterms:W3CDTF">2021-11-18T01:43:00Z</dcterms:modified>
</cp:coreProperties>
</file>