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43B25E" w14:textId="3CAB9392" w:rsidR="000A0E0D" w:rsidRDefault="000A0E0D" w:rsidP="000A0E0D">
      <w:pPr>
        <w:pStyle w:val="Titre2"/>
        <w:spacing w:before="0" w:line="480" w:lineRule="auto"/>
        <w:jc w:val="both"/>
        <w:rPr>
          <w:lang w:val="en-US"/>
        </w:rPr>
      </w:pPr>
      <w:r>
        <w:rPr>
          <w:lang w:val="en-US"/>
        </w:rPr>
        <w:t xml:space="preserve">Additional file </w:t>
      </w:r>
      <w:r w:rsidR="0045053B">
        <w:rPr>
          <w:lang w:val="en-US"/>
        </w:rPr>
        <w:t>7</w:t>
      </w:r>
      <w:r>
        <w:rPr>
          <w:lang w:val="en-US"/>
        </w:rPr>
        <w:t xml:space="preserve"> - Written summary of evidence </w:t>
      </w:r>
    </w:p>
    <w:p w14:paraId="361EB543" w14:textId="77777777" w:rsidR="000A0E0D" w:rsidRPr="00F772CD" w:rsidRDefault="000A0E0D" w:rsidP="000A0E0D">
      <w:pPr>
        <w:spacing w:after="0" w:line="480" w:lineRule="auto"/>
        <w:rPr>
          <w:lang w:val="en-US"/>
        </w:rPr>
      </w:pPr>
    </w:p>
    <w:p w14:paraId="531CA195" w14:textId="77777777" w:rsidR="000A0E0D" w:rsidRPr="00F772CD" w:rsidRDefault="000A0E0D" w:rsidP="000A0E0D">
      <w:pPr>
        <w:numPr>
          <w:ilvl w:val="0"/>
          <w:numId w:val="1"/>
        </w:numPr>
        <w:spacing w:after="0" w:line="480" w:lineRule="auto"/>
        <w:ind w:left="108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F772CD">
        <w:rPr>
          <w:rFonts w:eastAsiaTheme="minorEastAsia" w:cs="Times New Roman"/>
          <w:b/>
          <w:bCs/>
          <w:color w:val="00B050"/>
          <w:kern w:val="24"/>
          <w:szCs w:val="24"/>
          <w:lang w:eastAsia="en-CA"/>
        </w:rPr>
        <w:t>Low-risk patient (includes the very-low and low-risk)</w:t>
      </w:r>
    </w:p>
    <w:p w14:paraId="0C6FAD98" w14:textId="77777777" w:rsidR="000A0E0D" w:rsidRPr="006E07AC" w:rsidRDefault="000A0E0D" w:rsidP="000A0E0D">
      <w:pPr>
        <w:numPr>
          <w:ilvl w:val="1"/>
          <w:numId w:val="1"/>
        </w:numPr>
        <w:spacing w:after="0" w:line="480" w:lineRule="auto"/>
        <w:ind w:left="216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6E07AC">
        <w:rPr>
          <w:rFonts w:eastAsiaTheme="minorEastAsia" w:cs="Times New Roman"/>
          <w:kern w:val="24"/>
          <w:szCs w:val="24"/>
          <w:lang w:eastAsia="en-CA"/>
        </w:rPr>
        <w:t xml:space="preserve">The overall risk of 30-day serious outcome ranges from 0.3 to 1%. None of the patients suffered death due to the unknown cause or ventricular arrhythmia. There is a very small (&lt;1%) risk of non-ventricular arrhythmia and non-arrhythmic serious outcomes. Hence, </w:t>
      </w:r>
      <w:r w:rsidRPr="006E07AC">
        <w:rPr>
          <w:rFonts w:eastAsiaTheme="minorEastAsia" w:cs="Times New Roman"/>
          <w:b/>
          <w:bCs/>
          <w:kern w:val="24"/>
          <w:szCs w:val="24"/>
          <w:lang w:eastAsia="en-CA"/>
        </w:rPr>
        <w:t xml:space="preserve">we recommend discharge with the instructions to return to the emergency department if signs and symptoms of serious underlying conditions occur. </w:t>
      </w:r>
    </w:p>
    <w:p w14:paraId="3363593E" w14:textId="77777777" w:rsidR="000A0E0D" w:rsidRPr="00F772CD" w:rsidRDefault="000A0E0D" w:rsidP="000A0E0D">
      <w:pPr>
        <w:numPr>
          <w:ilvl w:val="0"/>
          <w:numId w:val="1"/>
        </w:numPr>
        <w:spacing w:after="0" w:line="480" w:lineRule="auto"/>
        <w:ind w:left="108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F772CD">
        <w:rPr>
          <w:rFonts w:eastAsiaTheme="minorEastAsia" w:cs="Times New Roman"/>
          <w:b/>
          <w:bCs/>
          <w:color w:val="FFC000"/>
          <w:kern w:val="24"/>
          <w:szCs w:val="24"/>
          <w:lang w:eastAsia="en-CA"/>
        </w:rPr>
        <w:t>Medium-risk patient</w:t>
      </w:r>
    </w:p>
    <w:p w14:paraId="05635BC5" w14:textId="77777777" w:rsidR="000A0E0D" w:rsidRPr="006E07AC" w:rsidRDefault="000A0E0D" w:rsidP="000A0E0D">
      <w:pPr>
        <w:numPr>
          <w:ilvl w:val="1"/>
          <w:numId w:val="1"/>
        </w:numPr>
        <w:spacing w:after="0" w:line="480" w:lineRule="auto"/>
        <w:ind w:left="216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6E07AC">
        <w:rPr>
          <w:rFonts w:eastAsiaTheme="minorEastAsia" w:cs="Times New Roman"/>
          <w:kern w:val="24"/>
          <w:szCs w:val="24"/>
          <w:lang w:eastAsia="en-CA"/>
        </w:rPr>
        <w:t xml:space="preserve">The overall risk of 30-day serious outcome is 7.8%. The risk of death or ventricular arrhythmia is ~1%. A 15-day cardiac rhythm monitoring will identify 91.7% of arrhythmias including all ventricular arrhythmias (Circulation 2019). Hence, </w:t>
      </w:r>
      <w:r w:rsidRPr="006E07AC">
        <w:rPr>
          <w:rFonts w:eastAsiaTheme="minorEastAsia" w:cs="Times New Roman"/>
          <w:b/>
          <w:bCs/>
          <w:kern w:val="24"/>
          <w:szCs w:val="24"/>
          <w:lang w:eastAsia="en-CA"/>
        </w:rPr>
        <w:t xml:space="preserve">we recommend discharge with 15-day outpatient cardiac monitoring and instructions to return to the emergency department if signs and symptoms of serious underlying conditions occur. </w:t>
      </w:r>
    </w:p>
    <w:p w14:paraId="4FC4498A" w14:textId="77777777" w:rsidR="000A0E0D" w:rsidRPr="00F772CD" w:rsidRDefault="000A0E0D" w:rsidP="000A0E0D">
      <w:pPr>
        <w:numPr>
          <w:ilvl w:val="0"/>
          <w:numId w:val="1"/>
        </w:numPr>
        <w:spacing w:after="0" w:line="480" w:lineRule="auto"/>
        <w:ind w:left="108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F772CD">
        <w:rPr>
          <w:rFonts w:eastAsiaTheme="minorEastAsia" w:cs="Times New Roman"/>
          <w:b/>
          <w:bCs/>
          <w:color w:val="FF0000"/>
          <w:kern w:val="24"/>
          <w:szCs w:val="24"/>
          <w:lang w:eastAsia="en-CA"/>
        </w:rPr>
        <w:t>High-risk patient (includes the high and very-high risk)</w:t>
      </w:r>
    </w:p>
    <w:p w14:paraId="38461D15" w14:textId="77777777" w:rsidR="000A0E0D" w:rsidRPr="006E07AC" w:rsidRDefault="000A0E0D" w:rsidP="000A0E0D">
      <w:pPr>
        <w:numPr>
          <w:ilvl w:val="1"/>
          <w:numId w:val="1"/>
        </w:numPr>
        <w:spacing w:after="0" w:line="480" w:lineRule="auto"/>
        <w:ind w:left="2160"/>
        <w:contextualSpacing/>
        <w:jc w:val="both"/>
        <w:rPr>
          <w:rFonts w:eastAsia="Times New Roman" w:cs="Times New Roman"/>
          <w:szCs w:val="24"/>
          <w:lang w:eastAsia="en-CA"/>
        </w:rPr>
      </w:pPr>
      <w:r w:rsidRPr="006E07AC">
        <w:rPr>
          <w:rFonts w:eastAsiaTheme="minorEastAsia" w:cs="Times New Roman"/>
          <w:kern w:val="24"/>
          <w:szCs w:val="24"/>
          <w:lang w:eastAsia="en-CA"/>
        </w:rPr>
        <w:t>The overall risk of 30-day serious outcome ranges from 21.4% to 42.7%; deaths 3.6% to 6.7% and ventricular arrhythmias 2.5% to 6.7%. Hence</w:t>
      </w:r>
      <w:r w:rsidRPr="006E07AC">
        <w:rPr>
          <w:rFonts w:eastAsiaTheme="minorEastAsia" w:cs="Times New Roman"/>
          <w:b/>
          <w:bCs/>
          <w:kern w:val="24"/>
          <w:szCs w:val="24"/>
          <w:lang w:eastAsia="en-CA"/>
        </w:rPr>
        <w:t>, a short-course of hospitalization (2 – 3 days) should be considered.</w:t>
      </w:r>
    </w:p>
    <w:p w14:paraId="0E948952" w14:textId="77777777" w:rsidR="008E183C" w:rsidRDefault="008E183C"/>
    <w:sectPr w:rsidR="008E18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3615A"/>
    <w:multiLevelType w:val="hybridMultilevel"/>
    <w:tmpl w:val="0F6603EC"/>
    <w:lvl w:ilvl="0" w:tplc="C8FA99B0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4071C8"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6CD1A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1A7694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3482874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00D516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D06A7A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F6AAAA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5A3184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E0D"/>
    <w:rsid w:val="000A0E0D"/>
    <w:rsid w:val="0045053B"/>
    <w:rsid w:val="008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C2231"/>
  <w15:chartTrackingRefBased/>
  <w15:docId w15:val="{E1643117-0677-482D-8B36-E25A66462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E0D"/>
    <w:rPr>
      <w:rFonts w:ascii="Times New Roman" w:hAnsi="Times New Roman"/>
      <w:sz w:val="24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A0E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0A0E0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2</cp:revision>
  <dcterms:created xsi:type="dcterms:W3CDTF">2021-11-17T22:12:00Z</dcterms:created>
  <dcterms:modified xsi:type="dcterms:W3CDTF">2021-11-18T01:43:00Z</dcterms:modified>
</cp:coreProperties>
</file>