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0749A">
      <w:pPr>
        <w:spacing w:before="0" w:after="160" w:line="276" w:lineRule="auto"/>
        <w:jc w:val="center"/>
      </w:pPr>
      <w:r>
        <w:rPr>
          <w:rFonts w:ascii="Times New Roman" w:hAnsi="Times New Roman" w:eastAsia="宋体"/>
          <w:b/>
          <w:i w:val="0"/>
          <w:sz w:val="36"/>
        </w:rPr>
        <w:t>Supplementary Tables</w:t>
      </w:r>
    </w:p>
    <w:p w14:paraId="05F9B5B5">
      <w:pPr>
        <w:pStyle w:val="3"/>
        <w:spacing w:before="160" w:after="120" w:line="276" w:lineRule="auto"/>
      </w:pPr>
      <w:bookmarkStart w:id="0" w:name="_GoBack"/>
      <w:bookmarkEnd w:id="0"/>
      <w:r>
        <w:rPr>
          <w:rFonts w:ascii="Times New Roman" w:hAnsi="Times New Roman" w:eastAsia="宋体"/>
          <w:b/>
          <w:i w:val="0"/>
          <w:sz w:val="32"/>
        </w:rPr>
        <w:t>Supplementary Table S1. Harmonized clinical feature dictionary for the two datasets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1356"/>
        <w:gridCol w:w="1356"/>
        <w:gridCol w:w="1616"/>
        <w:gridCol w:w="1354"/>
        <w:gridCol w:w="1349"/>
        <w:gridCol w:w="1349"/>
      </w:tblGrid>
      <w:tr w14:paraId="7BCB6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shd w:val="clear" w:color="auto" w:fill="D9EAF7"/>
            <w:vAlign w:val="center"/>
          </w:tcPr>
          <w:p w14:paraId="19EFB249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Standard feature</w:t>
            </w:r>
          </w:p>
        </w:tc>
        <w:tc>
          <w:tcPr>
            <w:tcW w:w="1360" w:type="dxa"/>
            <w:shd w:val="clear" w:color="auto" w:fill="D9EAF7"/>
            <w:vAlign w:val="center"/>
          </w:tcPr>
          <w:p w14:paraId="2B9322AE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Clinical domain</w:t>
            </w:r>
          </w:p>
        </w:tc>
        <w:tc>
          <w:tcPr>
            <w:tcW w:w="1360" w:type="dxa"/>
            <w:shd w:val="clear" w:color="auto" w:fill="D9EAF7"/>
            <w:vAlign w:val="center"/>
          </w:tcPr>
          <w:p w14:paraId="489341C2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Clinical role in analysis</w:t>
            </w:r>
          </w:p>
        </w:tc>
        <w:tc>
          <w:tcPr>
            <w:tcW w:w="1360" w:type="dxa"/>
            <w:shd w:val="clear" w:color="auto" w:fill="D9EAF7"/>
            <w:vAlign w:val="center"/>
          </w:tcPr>
          <w:p w14:paraId="42292389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Maternal Health Risk column</w:t>
            </w:r>
          </w:p>
        </w:tc>
        <w:tc>
          <w:tcPr>
            <w:tcW w:w="1360" w:type="dxa"/>
            <w:shd w:val="clear" w:color="auto" w:fill="D9EAF7"/>
            <w:vAlign w:val="center"/>
          </w:tcPr>
          <w:p w14:paraId="45E59CFA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Preeclampsia dataset column</w:t>
            </w:r>
          </w:p>
        </w:tc>
        <w:tc>
          <w:tcPr>
            <w:tcW w:w="1360" w:type="dxa"/>
            <w:shd w:val="clear" w:color="auto" w:fill="D9EAF7"/>
            <w:vAlign w:val="center"/>
          </w:tcPr>
          <w:p w14:paraId="2B41B929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Unit or coding</w:t>
            </w:r>
          </w:p>
        </w:tc>
        <w:tc>
          <w:tcPr>
            <w:tcW w:w="1360" w:type="dxa"/>
            <w:shd w:val="clear" w:color="auto" w:fill="D9EAF7"/>
            <w:vAlign w:val="center"/>
          </w:tcPr>
          <w:p w14:paraId="6F14131E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Used for external validation</w:t>
            </w:r>
          </w:p>
        </w:tc>
      </w:tr>
      <w:tr w14:paraId="53252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2ACAF38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Maternal age</w:t>
            </w:r>
          </w:p>
        </w:tc>
        <w:tc>
          <w:tcPr>
            <w:tcW w:w="1360" w:type="dxa"/>
            <w:vAlign w:val="center"/>
          </w:tcPr>
          <w:p w14:paraId="76939F9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Demographic</w:t>
            </w:r>
          </w:p>
        </w:tc>
        <w:tc>
          <w:tcPr>
            <w:tcW w:w="1360" w:type="dxa"/>
            <w:vAlign w:val="center"/>
          </w:tcPr>
          <w:p w14:paraId="0C5F28E9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Maternal age risk context, including adolescent and advanced maternal age.</w:t>
            </w:r>
          </w:p>
        </w:tc>
        <w:tc>
          <w:tcPr>
            <w:tcW w:w="1360" w:type="dxa"/>
            <w:vAlign w:val="center"/>
          </w:tcPr>
          <w:p w14:paraId="1B3F132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Age</w:t>
            </w:r>
          </w:p>
        </w:tc>
        <w:tc>
          <w:tcPr>
            <w:tcW w:w="1360" w:type="dxa"/>
            <w:vAlign w:val="center"/>
          </w:tcPr>
          <w:p w14:paraId="7D72E4B5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Age (yrs)</w:t>
            </w:r>
          </w:p>
        </w:tc>
        <w:tc>
          <w:tcPr>
            <w:tcW w:w="1360" w:type="dxa"/>
            <w:vAlign w:val="center"/>
          </w:tcPr>
          <w:p w14:paraId="204DFD94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years</w:t>
            </w:r>
          </w:p>
        </w:tc>
        <w:tc>
          <w:tcPr>
            <w:tcW w:w="1360" w:type="dxa"/>
            <w:vAlign w:val="center"/>
          </w:tcPr>
          <w:p w14:paraId="46076F03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Yes</w:t>
            </w:r>
          </w:p>
        </w:tc>
      </w:tr>
      <w:tr w14:paraId="2A11D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159FB062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Systolic blood pressure</w:t>
            </w:r>
          </w:p>
        </w:tc>
        <w:tc>
          <w:tcPr>
            <w:tcW w:w="1360" w:type="dxa"/>
            <w:vAlign w:val="center"/>
          </w:tcPr>
          <w:p w14:paraId="16109FC8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Cardiovascular</w:t>
            </w:r>
          </w:p>
        </w:tc>
        <w:tc>
          <w:tcPr>
            <w:tcW w:w="1360" w:type="dxa"/>
            <w:vAlign w:val="center"/>
          </w:tcPr>
          <w:p w14:paraId="491B5BAF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Systolic component of hypertensive risk assessment.</w:t>
            </w:r>
          </w:p>
        </w:tc>
        <w:tc>
          <w:tcPr>
            <w:tcW w:w="1360" w:type="dxa"/>
            <w:vAlign w:val="center"/>
          </w:tcPr>
          <w:p w14:paraId="143C7C4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SystolicBP</w:t>
            </w:r>
          </w:p>
        </w:tc>
        <w:tc>
          <w:tcPr>
            <w:tcW w:w="1360" w:type="dxa"/>
            <w:vAlign w:val="center"/>
          </w:tcPr>
          <w:p w14:paraId="5E257337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Systolic BP</w:t>
            </w:r>
          </w:p>
        </w:tc>
        <w:tc>
          <w:tcPr>
            <w:tcW w:w="1360" w:type="dxa"/>
            <w:vAlign w:val="center"/>
          </w:tcPr>
          <w:p w14:paraId="565BB74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mmHg</w:t>
            </w:r>
          </w:p>
        </w:tc>
        <w:tc>
          <w:tcPr>
            <w:tcW w:w="1360" w:type="dxa"/>
            <w:vAlign w:val="center"/>
          </w:tcPr>
          <w:p w14:paraId="00C6BBDA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Yes</w:t>
            </w:r>
          </w:p>
        </w:tc>
      </w:tr>
      <w:tr w14:paraId="16C77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52B330A3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Diastolic blood pressure</w:t>
            </w:r>
          </w:p>
        </w:tc>
        <w:tc>
          <w:tcPr>
            <w:tcW w:w="1360" w:type="dxa"/>
            <w:vAlign w:val="center"/>
          </w:tcPr>
          <w:p w14:paraId="0EEEA29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Cardiovascular</w:t>
            </w:r>
          </w:p>
        </w:tc>
        <w:tc>
          <w:tcPr>
            <w:tcW w:w="1360" w:type="dxa"/>
            <w:vAlign w:val="center"/>
          </w:tcPr>
          <w:p w14:paraId="2F50F4B8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Diastolic component of hypertensive risk assessment.</w:t>
            </w:r>
          </w:p>
        </w:tc>
        <w:tc>
          <w:tcPr>
            <w:tcW w:w="1360" w:type="dxa"/>
            <w:vAlign w:val="center"/>
          </w:tcPr>
          <w:p w14:paraId="09ACB27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DiastolicBP</w:t>
            </w:r>
          </w:p>
        </w:tc>
        <w:tc>
          <w:tcPr>
            <w:tcW w:w="1360" w:type="dxa"/>
            <w:vAlign w:val="center"/>
          </w:tcPr>
          <w:p w14:paraId="2765B0D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Diastolic BP</w:t>
            </w:r>
          </w:p>
        </w:tc>
        <w:tc>
          <w:tcPr>
            <w:tcW w:w="1360" w:type="dxa"/>
            <w:vAlign w:val="center"/>
          </w:tcPr>
          <w:p w14:paraId="0615624F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mmHg</w:t>
            </w:r>
          </w:p>
        </w:tc>
        <w:tc>
          <w:tcPr>
            <w:tcW w:w="1360" w:type="dxa"/>
            <w:vAlign w:val="center"/>
          </w:tcPr>
          <w:p w14:paraId="229ECA8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Yes</w:t>
            </w:r>
          </w:p>
        </w:tc>
      </w:tr>
      <w:tr w14:paraId="46F91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2A3883F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Hemoglobin</w:t>
            </w:r>
          </w:p>
        </w:tc>
        <w:tc>
          <w:tcPr>
            <w:tcW w:w="1360" w:type="dxa"/>
            <w:vAlign w:val="center"/>
          </w:tcPr>
          <w:p w14:paraId="5C22CF5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Hematologic</w:t>
            </w:r>
          </w:p>
        </w:tc>
        <w:tc>
          <w:tcPr>
            <w:tcW w:w="1360" w:type="dxa"/>
            <w:vAlign w:val="center"/>
          </w:tcPr>
          <w:p w14:paraId="7FF7DA2A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Anemia-related physiologic reserve and pregnancy risk marker.</w:t>
            </w:r>
          </w:p>
        </w:tc>
        <w:tc>
          <w:tcPr>
            <w:tcW w:w="1360" w:type="dxa"/>
            <w:vAlign w:val="center"/>
          </w:tcPr>
          <w:p w14:paraId="2E97E188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Haemoglobin</w:t>
            </w:r>
          </w:p>
        </w:tc>
        <w:tc>
          <w:tcPr>
            <w:tcW w:w="1360" w:type="dxa"/>
            <w:vAlign w:val="center"/>
          </w:tcPr>
          <w:p w14:paraId="1D12354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HB</w:t>
            </w:r>
          </w:p>
        </w:tc>
        <w:tc>
          <w:tcPr>
            <w:tcW w:w="1360" w:type="dxa"/>
            <w:vAlign w:val="center"/>
          </w:tcPr>
          <w:p w14:paraId="7E01E965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g/dL</w:t>
            </w:r>
          </w:p>
        </w:tc>
        <w:tc>
          <w:tcPr>
            <w:tcW w:w="1360" w:type="dxa"/>
            <w:vAlign w:val="center"/>
          </w:tcPr>
          <w:p w14:paraId="1D6EE93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Yes</w:t>
            </w:r>
          </w:p>
        </w:tc>
      </w:tr>
      <w:tr w14:paraId="16C82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64B0740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Gestational age</w:t>
            </w:r>
          </w:p>
        </w:tc>
        <w:tc>
          <w:tcPr>
            <w:tcW w:w="1360" w:type="dxa"/>
            <w:vAlign w:val="center"/>
          </w:tcPr>
          <w:p w14:paraId="23A48AC8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Obstetric</w:t>
            </w:r>
          </w:p>
        </w:tc>
        <w:tc>
          <w:tcPr>
            <w:tcW w:w="1360" w:type="dxa"/>
            <w:vAlign w:val="center"/>
          </w:tcPr>
          <w:p w14:paraId="40089716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Timing of pregnancy at assessment.</w:t>
            </w:r>
          </w:p>
        </w:tc>
        <w:tc>
          <w:tcPr>
            <w:tcW w:w="1360" w:type="dxa"/>
            <w:vAlign w:val="center"/>
          </w:tcPr>
          <w:p w14:paraId="585A91E8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GestationalAge</w:t>
            </w:r>
          </w:p>
        </w:tc>
        <w:tc>
          <w:tcPr>
            <w:tcW w:w="1360" w:type="dxa"/>
            <w:vAlign w:val="center"/>
          </w:tcPr>
          <w:p w14:paraId="7CFA24E2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gestational age (weeks)</w:t>
            </w:r>
          </w:p>
        </w:tc>
        <w:tc>
          <w:tcPr>
            <w:tcW w:w="1360" w:type="dxa"/>
            <w:vAlign w:val="center"/>
          </w:tcPr>
          <w:p w14:paraId="10AA3643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weeks</w:t>
            </w:r>
          </w:p>
        </w:tc>
        <w:tc>
          <w:tcPr>
            <w:tcW w:w="1360" w:type="dxa"/>
            <w:vAlign w:val="center"/>
          </w:tcPr>
          <w:p w14:paraId="6800C14F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Yes</w:t>
            </w:r>
          </w:p>
        </w:tc>
      </w:tr>
      <w:tr w14:paraId="52498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35CD1888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Parity</w:t>
            </w:r>
          </w:p>
        </w:tc>
        <w:tc>
          <w:tcPr>
            <w:tcW w:w="1360" w:type="dxa"/>
            <w:vAlign w:val="center"/>
          </w:tcPr>
          <w:p w14:paraId="08BFF04A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Obstetric history</w:t>
            </w:r>
          </w:p>
        </w:tc>
        <w:tc>
          <w:tcPr>
            <w:tcW w:w="1360" w:type="dxa"/>
            <w:vAlign w:val="center"/>
          </w:tcPr>
          <w:p w14:paraId="29256D68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Prior delivery history and obstetric background.</w:t>
            </w:r>
          </w:p>
        </w:tc>
        <w:tc>
          <w:tcPr>
            <w:tcW w:w="1360" w:type="dxa"/>
            <w:vAlign w:val="center"/>
          </w:tcPr>
          <w:p w14:paraId="50EAFD47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Parity</w:t>
            </w:r>
          </w:p>
        </w:tc>
        <w:tc>
          <w:tcPr>
            <w:tcW w:w="1360" w:type="dxa"/>
            <w:vAlign w:val="center"/>
          </w:tcPr>
          <w:p w14:paraId="1E5D0122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parity</w:t>
            </w:r>
          </w:p>
        </w:tc>
        <w:tc>
          <w:tcPr>
            <w:tcW w:w="1360" w:type="dxa"/>
            <w:vAlign w:val="center"/>
          </w:tcPr>
          <w:p w14:paraId="0FE63F06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count</w:t>
            </w:r>
          </w:p>
        </w:tc>
        <w:tc>
          <w:tcPr>
            <w:tcW w:w="1360" w:type="dxa"/>
            <w:vAlign w:val="center"/>
          </w:tcPr>
          <w:p w14:paraId="7965A6A6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Yes</w:t>
            </w:r>
          </w:p>
        </w:tc>
      </w:tr>
      <w:tr w14:paraId="35C98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2CFCA207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Blood glucose</w:t>
            </w:r>
          </w:p>
        </w:tc>
        <w:tc>
          <w:tcPr>
            <w:tcW w:w="1360" w:type="dxa"/>
            <w:vAlign w:val="center"/>
          </w:tcPr>
          <w:p w14:paraId="404E698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Metabolic</w:t>
            </w:r>
          </w:p>
        </w:tc>
        <w:tc>
          <w:tcPr>
            <w:tcW w:w="1360" w:type="dxa"/>
            <w:vAlign w:val="center"/>
          </w:tcPr>
          <w:p w14:paraId="43188D6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Glycemic and cardiometabolic risk signal.</w:t>
            </w:r>
          </w:p>
        </w:tc>
        <w:tc>
          <w:tcPr>
            <w:tcW w:w="1360" w:type="dxa"/>
            <w:vAlign w:val="center"/>
          </w:tcPr>
          <w:p w14:paraId="68E30E0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BS</w:t>
            </w:r>
          </w:p>
        </w:tc>
        <w:tc>
          <w:tcPr>
            <w:tcW w:w="1360" w:type="dxa"/>
            <w:vAlign w:val="center"/>
          </w:tcPr>
          <w:p w14:paraId="1A23E1A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6291AB9F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mmol/L or dataset-defined</w:t>
            </w:r>
          </w:p>
        </w:tc>
        <w:tc>
          <w:tcPr>
            <w:tcW w:w="1360" w:type="dxa"/>
            <w:vAlign w:val="center"/>
          </w:tcPr>
          <w:p w14:paraId="29AE7423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6BB68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3607230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Body temperature</w:t>
            </w:r>
          </w:p>
        </w:tc>
        <w:tc>
          <w:tcPr>
            <w:tcW w:w="1360" w:type="dxa"/>
            <w:vAlign w:val="center"/>
          </w:tcPr>
          <w:p w14:paraId="7F4137D5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Vital sign</w:t>
            </w:r>
          </w:p>
        </w:tc>
        <w:tc>
          <w:tcPr>
            <w:tcW w:w="1360" w:type="dxa"/>
            <w:vAlign w:val="center"/>
          </w:tcPr>
          <w:p w14:paraId="206864D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Fever or stress-related vital-sign signal.</w:t>
            </w:r>
          </w:p>
        </w:tc>
        <w:tc>
          <w:tcPr>
            <w:tcW w:w="1360" w:type="dxa"/>
            <w:vAlign w:val="center"/>
          </w:tcPr>
          <w:p w14:paraId="21177706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BodyTemp</w:t>
            </w:r>
          </w:p>
        </w:tc>
        <w:tc>
          <w:tcPr>
            <w:tcW w:w="1360" w:type="dxa"/>
            <w:vAlign w:val="center"/>
          </w:tcPr>
          <w:p w14:paraId="3F5F44DF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5FBDF249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Fahrenheit</w:t>
            </w:r>
          </w:p>
        </w:tc>
        <w:tc>
          <w:tcPr>
            <w:tcW w:w="1360" w:type="dxa"/>
            <w:vAlign w:val="center"/>
          </w:tcPr>
          <w:p w14:paraId="5AE591A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222C9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72D24822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Heart rate</w:t>
            </w:r>
          </w:p>
        </w:tc>
        <w:tc>
          <w:tcPr>
            <w:tcW w:w="1360" w:type="dxa"/>
            <w:vAlign w:val="center"/>
          </w:tcPr>
          <w:p w14:paraId="3633698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Cardiovascular / vital sign</w:t>
            </w:r>
          </w:p>
        </w:tc>
        <w:tc>
          <w:tcPr>
            <w:tcW w:w="1360" w:type="dxa"/>
            <w:vAlign w:val="center"/>
          </w:tcPr>
          <w:p w14:paraId="365E622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Cardiovascular vital-sign signal.</w:t>
            </w:r>
          </w:p>
        </w:tc>
        <w:tc>
          <w:tcPr>
            <w:tcW w:w="1360" w:type="dxa"/>
            <w:vAlign w:val="center"/>
          </w:tcPr>
          <w:p w14:paraId="28040F2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HeartRate</w:t>
            </w:r>
          </w:p>
        </w:tc>
        <w:tc>
          <w:tcPr>
            <w:tcW w:w="1360" w:type="dxa"/>
            <w:vAlign w:val="center"/>
          </w:tcPr>
          <w:p w14:paraId="067054BF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20047033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beats/min</w:t>
            </w:r>
          </w:p>
        </w:tc>
        <w:tc>
          <w:tcPr>
            <w:tcW w:w="1360" w:type="dxa"/>
            <w:vAlign w:val="center"/>
          </w:tcPr>
          <w:p w14:paraId="3A8A21B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4CDC3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1DEC377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Edema</w:t>
            </w:r>
          </w:p>
        </w:tc>
        <w:tc>
          <w:tcPr>
            <w:tcW w:w="1360" w:type="dxa"/>
            <w:vAlign w:val="center"/>
          </w:tcPr>
          <w:p w14:paraId="453B7083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Clinical sign</w:t>
            </w:r>
          </w:p>
        </w:tc>
        <w:tc>
          <w:tcPr>
            <w:tcW w:w="1360" w:type="dxa"/>
            <w:vAlign w:val="center"/>
          </w:tcPr>
          <w:p w14:paraId="0E8D093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Clinical edema signal relevant to pregnancy complications.</w:t>
            </w:r>
          </w:p>
        </w:tc>
        <w:tc>
          <w:tcPr>
            <w:tcW w:w="1360" w:type="dxa"/>
            <w:vAlign w:val="center"/>
          </w:tcPr>
          <w:p w14:paraId="3522758E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Oedema</w:t>
            </w:r>
          </w:p>
        </w:tc>
        <w:tc>
          <w:tcPr>
            <w:tcW w:w="1360" w:type="dxa"/>
            <w:vAlign w:val="center"/>
          </w:tcPr>
          <w:p w14:paraId="5A849E9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25B9458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0/1</w:t>
            </w:r>
          </w:p>
        </w:tc>
        <w:tc>
          <w:tcPr>
            <w:tcW w:w="1360" w:type="dxa"/>
            <w:vAlign w:val="center"/>
          </w:tcPr>
          <w:p w14:paraId="3BA9A45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4FFCD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4BE8C508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Previous complications</w:t>
            </w:r>
          </w:p>
        </w:tc>
        <w:tc>
          <w:tcPr>
            <w:tcW w:w="1360" w:type="dxa"/>
            <w:vAlign w:val="center"/>
          </w:tcPr>
          <w:p w14:paraId="3187F6A8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Medical / obstetric history</w:t>
            </w:r>
          </w:p>
        </w:tc>
        <w:tc>
          <w:tcPr>
            <w:tcW w:w="1360" w:type="dxa"/>
            <w:vAlign w:val="center"/>
          </w:tcPr>
          <w:p w14:paraId="180EC5F5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Prior pregnancy or medical complication history.</w:t>
            </w:r>
          </w:p>
        </w:tc>
        <w:tc>
          <w:tcPr>
            <w:tcW w:w="1360" w:type="dxa"/>
            <w:vAlign w:val="center"/>
          </w:tcPr>
          <w:p w14:paraId="6ED7FF9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PreviousComplications</w:t>
            </w:r>
          </w:p>
        </w:tc>
        <w:tc>
          <w:tcPr>
            <w:tcW w:w="1360" w:type="dxa"/>
            <w:vAlign w:val="center"/>
          </w:tcPr>
          <w:p w14:paraId="51E3C389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5C97337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0/1</w:t>
            </w:r>
          </w:p>
        </w:tc>
        <w:tc>
          <w:tcPr>
            <w:tcW w:w="1360" w:type="dxa"/>
            <w:vAlign w:val="center"/>
          </w:tcPr>
          <w:p w14:paraId="089AFC67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441AC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020D3A33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Distance to hospital</w:t>
            </w:r>
          </w:p>
        </w:tc>
        <w:tc>
          <w:tcPr>
            <w:tcW w:w="1360" w:type="dxa"/>
            <w:vAlign w:val="center"/>
          </w:tcPr>
          <w:p w14:paraId="14F0482F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Health-care access</w:t>
            </w:r>
          </w:p>
        </w:tc>
        <w:tc>
          <w:tcPr>
            <w:tcW w:w="1360" w:type="dxa"/>
            <w:vAlign w:val="center"/>
          </w:tcPr>
          <w:p w14:paraId="3B8B0744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Potential delay or access-to-care signal.</w:t>
            </w:r>
          </w:p>
        </w:tc>
        <w:tc>
          <w:tcPr>
            <w:tcW w:w="1360" w:type="dxa"/>
            <w:vAlign w:val="center"/>
          </w:tcPr>
          <w:p w14:paraId="3FDE6CF9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DistanceToHospital</w:t>
            </w:r>
          </w:p>
        </w:tc>
        <w:tc>
          <w:tcPr>
            <w:tcW w:w="1360" w:type="dxa"/>
            <w:vAlign w:val="center"/>
          </w:tcPr>
          <w:p w14:paraId="0A37A2CF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26279EBA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km or dataset-defined</w:t>
            </w:r>
          </w:p>
        </w:tc>
        <w:tc>
          <w:tcPr>
            <w:tcW w:w="1360" w:type="dxa"/>
            <w:vAlign w:val="center"/>
          </w:tcPr>
          <w:p w14:paraId="78DE26E9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57FEF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03CCEB89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Gestational weight gain</w:t>
            </w:r>
          </w:p>
        </w:tc>
        <w:tc>
          <w:tcPr>
            <w:tcW w:w="1360" w:type="dxa"/>
            <w:vAlign w:val="center"/>
          </w:tcPr>
          <w:p w14:paraId="246B395F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Anthropometric / obstetric</w:t>
            </w:r>
          </w:p>
        </w:tc>
        <w:tc>
          <w:tcPr>
            <w:tcW w:w="1360" w:type="dxa"/>
            <w:vAlign w:val="center"/>
          </w:tcPr>
          <w:p w14:paraId="1B0BCA5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Gestational weight-change signal.</w:t>
            </w:r>
          </w:p>
        </w:tc>
        <w:tc>
          <w:tcPr>
            <w:tcW w:w="1360" w:type="dxa"/>
            <w:vAlign w:val="center"/>
          </w:tcPr>
          <w:p w14:paraId="7FDCBA7A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WeightGain</w:t>
            </w:r>
          </w:p>
        </w:tc>
        <w:tc>
          <w:tcPr>
            <w:tcW w:w="1360" w:type="dxa"/>
            <w:vAlign w:val="center"/>
          </w:tcPr>
          <w:p w14:paraId="32EE072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75B9E84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kg</w:t>
            </w:r>
          </w:p>
        </w:tc>
        <w:tc>
          <w:tcPr>
            <w:tcW w:w="1360" w:type="dxa"/>
            <w:vAlign w:val="center"/>
          </w:tcPr>
          <w:p w14:paraId="2CEB80C7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64344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721686F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Gravida</w:t>
            </w:r>
          </w:p>
        </w:tc>
        <w:tc>
          <w:tcPr>
            <w:tcW w:w="1360" w:type="dxa"/>
            <w:vAlign w:val="center"/>
          </w:tcPr>
          <w:p w14:paraId="2210510E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Obstetric history</w:t>
            </w:r>
          </w:p>
        </w:tc>
        <w:tc>
          <w:tcPr>
            <w:tcW w:w="1360" w:type="dxa"/>
            <w:vAlign w:val="center"/>
          </w:tcPr>
          <w:p w14:paraId="6E67096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Number of pregnancies, reflecting obstetric background.</w:t>
            </w:r>
          </w:p>
        </w:tc>
        <w:tc>
          <w:tcPr>
            <w:tcW w:w="1360" w:type="dxa"/>
            <w:vAlign w:val="center"/>
          </w:tcPr>
          <w:p w14:paraId="312A416E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4DB3C645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gravida</w:t>
            </w:r>
          </w:p>
        </w:tc>
        <w:tc>
          <w:tcPr>
            <w:tcW w:w="1360" w:type="dxa"/>
            <w:vAlign w:val="center"/>
          </w:tcPr>
          <w:p w14:paraId="7B10491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count</w:t>
            </w:r>
          </w:p>
        </w:tc>
        <w:tc>
          <w:tcPr>
            <w:tcW w:w="1360" w:type="dxa"/>
            <w:vAlign w:val="center"/>
          </w:tcPr>
          <w:p w14:paraId="4E0BE89E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6A3CA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429E85F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Body mass index</w:t>
            </w:r>
          </w:p>
        </w:tc>
        <w:tc>
          <w:tcPr>
            <w:tcW w:w="1360" w:type="dxa"/>
            <w:vAlign w:val="center"/>
          </w:tcPr>
          <w:p w14:paraId="015C5CE8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Anthropometric</w:t>
            </w:r>
          </w:p>
        </w:tc>
        <w:tc>
          <w:tcPr>
            <w:tcW w:w="1360" w:type="dxa"/>
            <w:vAlign w:val="center"/>
          </w:tcPr>
          <w:p w14:paraId="3DFDEF49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Maternal adiposity and cardiometabolic risk indicator.</w:t>
            </w:r>
          </w:p>
        </w:tc>
        <w:tc>
          <w:tcPr>
            <w:tcW w:w="1360" w:type="dxa"/>
            <w:vAlign w:val="center"/>
          </w:tcPr>
          <w:p w14:paraId="6C1F1D3E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411DCC2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BMI  [kg/m²]</w:t>
            </w:r>
          </w:p>
        </w:tc>
        <w:tc>
          <w:tcPr>
            <w:tcW w:w="1360" w:type="dxa"/>
            <w:vAlign w:val="center"/>
          </w:tcPr>
          <w:p w14:paraId="3B0D3ED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kg/m2</w:t>
            </w:r>
          </w:p>
        </w:tc>
        <w:tc>
          <w:tcPr>
            <w:tcW w:w="1360" w:type="dxa"/>
            <w:vAlign w:val="center"/>
          </w:tcPr>
          <w:p w14:paraId="5452201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4A629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25ADAF26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Diabetes</w:t>
            </w:r>
          </w:p>
        </w:tc>
        <w:tc>
          <w:tcPr>
            <w:tcW w:w="1360" w:type="dxa"/>
            <w:vAlign w:val="center"/>
          </w:tcPr>
          <w:p w14:paraId="3D154F8A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Metabolic history</w:t>
            </w:r>
          </w:p>
        </w:tc>
        <w:tc>
          <w:tcPr>
            <w:tcW w:w="1360" w:type="dxa"/>
            <w:vAlign w:val="center"/>
          </w:tcPr>
          <w:p w14:paraId="5ECDA2E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Recorded diabetes status.</w:t>
            </w:r>
          </w:p>
        </w:tc>
        <w:tc>
          <w:tcPr>
            <w:tcW w:w="1360" w:type="dxa"/>
            <w:vAlign w:val="center"/>
          </w:tcPr>
          <w:p w14:paraId="1F522C83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67CF7F5E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diabetes</w:t>
            </w:r>
          </w:p>
        </w:tc>
        <w:tc>
          <w:tcPr>
            <w:tcW w:w="1360" w:type="dxa"/>
            <w:vAlign w:val="center"/>
          </w:tcPr>
          <w:p w14:paraId="10BC781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0/1</w:t>
            </w:r>
          </w:p>
        </w:tc>
        <w:tc>
          <w:tcPr>
            <w:tcW w:w="1360" w:type="dxa"/>
            <w:vAlign w:val="center"/>
          </w:tcPr>
          <w:p w14:paraId="02C0E456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35B67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0E592F8A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History of hypertension</w:t>
            </w:r>
          </w:p>
        </w:tc>
        <w:tc>
          <w:tcPr>
            <w:tcW w:w="1360" w:type="dxa"/>
            <w:vAlign w:val="center"/>
          </w:tcPr>
          <w:p w14:paraId="22A7885F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Cardiovascular history</w:t>
            </w:r>
          </w:p>
        </w:tc>
        <w:tc>
          <w:tcPr>
            <w:tcW w:w="1360" w:type="dxa"/>
            <w:vAlign w:val="center"/>
          </w:tcPr>
          <w:p w14:paraId="47C5CC06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Prior hypertension history.</w:t>
            </w:r>
          </w:p>
        </w:tc>
        <w:tc>
          <w:tcPr>
            <w:tcW w:w="1360" w:type="dxa"/>
            <w:vAlign w:val="center"/>
          </w:tcPr>
          <w:p w14:paraId="62CCCCD7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6F330D76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History of hypertension (y/n)</w:t>
            </w:r>
          </w:p>
        </w:tc>
        <w:tc>
          <w:tcPr>
            <w:tcW w:w="1360" w:type="dxa"/>
            <w:vAlign w:val="center"/>
          </w:tcPr>
          <w:p w14:paraId="7502E665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0/1</w:t>
            </w:r>
          </w:p>
        </w:tc>
        <w:tc>
          <w:tcPr>
            <w:tcW w:w="1360" w:type="dxa"/>
            <w:vAlign w:val="center"/>
          </w:tcPr>
          <w:p w14:paraId="0DAFCBD3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44293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1380648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Fetal weight</w:t>
            </w:r>
          </w:p>
        </w:tc>
        <w:tc>
          <w:tcPr>
            <w:tcW w:w="1360" w:type="dxa"/>
            <w:vAlign w:val="center"/>
          </w:tcPr>
          <w:p w14:paraId="3C24077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Fetal indicator</w:t>
            </w:r>
          </w:p>
        </w:tc>
        <w:tc>
          <w:tcPr>
            <w:tcW w:w="1360" w:type="dxa"/>
            <w:vAlign w:val="center"/>
          </w:tcPr>
          <w:p w14:paraId="27DF559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Fetal growth context to be interpreted with gestational age.</w:t>
            </w:r>
          </w:p>
        </w:tc>
        <w:tc>
          <w:tcPr>
            <w:tcW w:w="1360" w:type="dxa"/>
            <w:vAlign w:val="center"/>
          </w:tcPr>
          <w:p w14:paraId="11133BD6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1F0A370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fetal weight(kgs)</w:t>
            </w:r>
          </w:p>
        </w:tc>
        <w:tc>
          <w:tcPr>
            <w:tcW w:w="1360" w:type="dxa"/>
            <w:vAlign w:val="center"/>
          </w:tcPr>
          <w:p w14:paraId="14CF0C32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kg</w:t>
            </w:r>
          </w:p>
        </w:tc>
        <w:tc>
          <w:tcPr>
            <w:tcW w:w="1360" w:type="dxa"/>
            <w:vAlign w:val="center"/>
          </w:tcPr>
          <w:p w14:paraId="31B34AB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47CAF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0B1748D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Proteinuria</w:t>
            </w:r>
          </w:p>
        </w:tc>
        <w:tc>
          <w:tcPr>
            <w:tcW w:w="1360" w:type="dxa"/>
            <w:vAlign w:val="center"/>
          </w:tcPr>
          <w:p w14:paraId="56836D93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Renal / preeclampsia indicator</w:t>
            </w:r>
          </w:p>
        </w:tc>
        <w:tc>
          <w:tcPr>
            <w:tcW w:w="1360" w:type="dxa"/>
            <w:vAlign w:val="center"/>
          </w:tcPr>
          <w:p w14:paraId="2428803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Renal signal relevant to hypertensive pregnancy disorders.</w:t>
            </w:r>
          </w:p>
        </w:tc>
        <w:tc>
          <w:tcPr>
            <w:tcW w:w="1360" w:type="dxa"/>
            <w:vAlign w:val="center"/>
          </w:tcPr>
          <w:p w14:paraId="4E5D0946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3FD98996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Protien Uria</w:t>
            </w:r>
          </w:p>
        </w:tc>
        <w:tc>
          <w:tcPr>
            <w:tcW w:w="1360" w:type="dxa"/>
            <w:vAlign w:val="center"/>
          </w:tcPr>
          <w:p w14:paraId="402E7A5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0/1</w:t>
            </w:r>
          </w:p>
        </w:tc>
        <w:tc>
          <w:tcPr>
            <w:tcW w:w="1360" w:type="dxa"/>
            <w:vAlign w:val="center"/>
          </w:tcPr>
          <w:p w14:paraId="0BFBA25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  <w:tr w14:paraId="79CE9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170DEFC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Amniotic fluid level</w:t>
            </w:r>
          </w:p>
        </w:tc>
        <w:tc>
          <w:tcPr>
            <w:tcW w:w="1360" w:type="dxa"/>
            <w:vAlign w:val="center"/>
          </w:tcPr>
          <w:p w14:paraId="5EE470DA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Amniotic-fluid indicator</w:t>
            </w:r>
          </w:p>
        </w:tc>
        <w:tc>
          <w:tcPr>
            <w:tcW w:w="1360" w:type="dxa"/>
            <w:vAlign w:val="center"/>
          </w:tcPr>
          <w:p w14:paraId="280B55B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Amniotic-fluid status.</w:t>
            </w:r>
          </w:p>
        </w:tc>
        <w:tc>
          <w:tcPr>
            <w:tcW w:w="1360" w:type="dxa"/>
            <w:vAlign w:val="center"/>
          </w:tcPr>
          <w:p w14:paraId="5E5247C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Not available</w:t>
            </w:r>
          </w:p>
        </w:tc>
        <w:tc>
          <w:tcPr>
            <w:tcW w:w="1360" w:type="dxa"/>
            <w:vAlign w:val="center"/>
          </w:tcPr>
          <w:p w14:paraId="3CB509BF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amniotic fluid levels(cm)</w:t>
            </w:r>
          </w:p>
        </w:tc>
        <w:tc>
          <w:tcPr>
            <w:tcW w:w="1360" w:type="dxa"/>
            <w:vAlign w:val="center"/>
          </w:tcPr>
          <w:p w14:paraId="7419F9B7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cm</w:t>
            </w:r>
          </w:p>
        </w:tc>
        <w:tc>
          <w:tcPr>
            <w:tcW w:w="1360" w:type="dxa"/>
            <w:vAlign w:val="center"/>
          </w:tcPr>
          <w:p w14:paraId="502B6DB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No</w:t>
            </w:r>
          </w:p>
        </w:tc>
      </w:tr>
    </w:tbl>
    <w:p w14:paraId="65C99A3C"/>
    <w:p w14:paraId="392710DE">
      <w:pPr>
        <w:pStyle w:val="3"/>
        <w:spacing w:before="160" w:after="120" w:line="276" w:lineRule="auto"/>
      </w:pPr>
      <w:r>
        <w:rPr>
          <w:rFonts w:ascii="Times New Roman" w:hAnsi="Times New Roman" w:eastAsia="宋体"/>
          <w:b/>
          <w:i w:val="0"/>
          <w:sz w:val="32"/>
        </w:rPr>
        <w:t>Supplementary Table S2. Endpoint definitions and analytical task specification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360"/>
        <w:gridCol w:w="1360"/>
        <w:gridCol w:w="1360"/>
        <w:gridCol w:w="1360"/>
        <w:gridCol w:w="1360"/>
        <w:gridCol w:w="1360"/>
      </w:tblGrid>
      <w:tr w14:paraId="5262E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shd w:val="clear" w:color="auto" w:fill="D9EAF7"/>
            <w:vAlign w:val="center"/>
          </w:tcPr>
          <w:p w14:paraId="34304848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Analytical task</w:t>
            </w:r>
          </w:p>
        </w:tc>
        <w:tc>
          <w:tcPr>
            <w:tcW w:w="1360" w:type="dxa"/>
            <w:shd w:val="clear" w:color="auto" w:fill="D9EAF7"/>
            <w:vAlign w:val="center"/>
          </w:tcPr>
          <w:p w14:paraId="4C7B67B9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Endpoint definition</w:t>
            </w:r>
          </w:p>
        </w:tc>
        <w:tc>
          <w:tcPr>
            <w:tcW w:w="1360" w:type="dxa"/>
            <w:shd w:val="clear" w:color="auto" w:fill="D9EAF7"/>
            <w:vAlign w:val="center"/>
          </w:tcPr>
          <w:p w14:paraId="4853E6F2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Development data</w:t>
            </w:r>
          </w:p>
        </w:tc>
        <w:tc>
          <w:tcPr>
            <w:tcW w:w="1360" w:type="dxa"/>
            <w:shd w:val="clear" w:color="auto" w:fill="D9EAF7"/>
            <w:vAlign w:val="center"/>
          </w:tcPr>
          <w:p w14:paraId="4AFFAA5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External or secondary data</w:t>
            </w:r>
          </w:p>
        </w:tc>
        <w:tc>
          <w:tcPr>
            <w:tcW w:w="1360" w:type="dxa"/>
            <w:shd w:val="clear" w:color="auto" w:fill="D9EAF7"/>
            <w:vAlign w:val="center"/>
          </w:tcPr>
          <w:p w14:paraId="2EC3F82A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Feature scope</w:t>
            </w:r>
          </w:p>
        </w:tc>
        <w:tc>
          <w:tcPr>
            <w:tcW w:w="1360" w:type="dxa"/>
            <w:shd w:val="clear" w:color="auto" w:fill="D9EAF7"/>
            <w:vAlign w:val="center"/>
          </w:tcPr>
          <w:p w14:paraId="7BD5AC9F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Primary use in manuscript</w:t>
            </w:r>
          </w:p>
        </w:tc>
        <w:tc>
          <w:tcPr>
            <w:tcW w:w="1360" w:type="dxa"/>
            <w:shd w:val="clear" w:color="auto" w:fill="D9EAF7"/>
            <w:vAlign w:val="center"/>
          </w:tcPr>
          <w:p w14:paraId="7342A55E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/>
                <w:i w:val="0"/>
                <w:sz w:val="15"/>
              </w:rPr>
              <w:t>Non-overlap with figures</w:t>
            </w:r>
          </w:p>
        </w:tc>
      </w:tr>
      <w:tr w14:paraId="31A96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2C36E9AE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Multiclass maternal cardiometabolic risk prediction</w:t>
            </w:r>
          </w:p>
        </w:tc>
        <w:tc>
          <w:tcPr>
            <w:tcW w:w="1360" w:type="dxa"/>
            <w:vAlign w:val="center"/>
          </w:tcPr>
          <w:p w14:paraId="719F72D7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Three ordered labels: low, mid and high risk.</w:t>
            </w:r>
          </w:p>
        </w:tc>
        <w:tc>
          <w:tcPr>
            <w:tcW w:w="1360" w:type="dxa"/>
            <w:vAlign w:val="center"/>
          </w:tcPr>
          <w:p w14:paraId="374DA0A5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Maternal Health Risk</w:t>
            </w:r>
          </w:p>
        </w:tc>
        <w:tc>
          <w:tcPr>
            <w:tcW w:w="1360" w:type="dxa"/>
            <w:vAlign w:val="center"/>
          </w:tcPr>
          <w:p w14:paraId="50F06041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Preeclampsia in Pregnant women dataset</w:t>
            </w:r>
          </w:p>
        </w:tc>
        <w:tc>
          <w:tcPr>
            <w:tcW w:w="1360" w:type="dxa"/>
            <w:vAlign w:val="center"/>
          </w:tcPr>
          <w:p w14:paraId="0720CF8A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Full feature set in the development dataset.</w:t>
            </w:r>
          </w:p>
        </w:tc>
        <w:tc>
          <w:tcPr>
            <w:tcW w:w="1360" w:type="dxa"/>
            <w:vAlign w:val="center"/>
          </w:tcPr>
          <w:p w14:paraId="54B9D136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Internal model development and comparison.</w:t>
            </w:r>
          </w:p>
        </w:tc>
        <w:tc>
          <w:tcPr>
            <w:tcW w:w="1360" w:type="dxa"/>
            <w:vAlign w:val="center"/>
          </w:tcPr>
          <w:p w14:paraId="751216A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Defines the task and data scope without reporting performance or distributions.</w:t>
            </w:r>
          </w:p>
        </w:tc>
      </w:tr>
      <w:tr w14:paraId="3E47E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37C8B72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Binary high-risk detection</w:t>
            </w:r>
          </w:p>
        </w:tc>
        <w:tc>
          <w:tcPr>
            <w:tcW w:w="1360" w:type="dxa"/>
            <w:vAlign w:val="center"/>
          </w:tcPr>
          <w:p w14:paraId="79C29C97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High risk versus non-high risk, where non-high combines low and mid labels.</w:t>
            </w:r>
          </w:p>
        </w:tc>
        <w:tc>
          <w:tcPr>
            <w:tcW w:w="1360" w:type="dxa"/>
            <w:vAlign w:val="center"/>
          </w:tcPr>
          <w:p w14:paraId="7E7F1E1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Maternal Health Risk</w:t>
            </w:r>
          </w:p>
        </w:tc>
        <w:tc>
          <w:tcPr>
            <w:tcW w:w="1360" w:type="dxa"/>
            <w:vAlign w:val="center"/>
          </w:tcPr>
          <w:p w14:paraId="21F54D3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Preeclampsia in Pregnant women dataset</w:t>
            </w:r>
          </w:p>
        </w:tc>
        <w:tc>
          <w:tcPr>
            <w:tcW w:w="1360" w:type="dxa"/>
            <w:vAlign w:val="center"/>
          </w:tcPr>
          <w:p w14:paraId="4A4C2B4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Common harmonized features for transportability analyses.</w:t>
            </w:r>
          </w:p>
        </w:tc>
        <w:tc>
          <w:tcPr>
            <w:tcW w:w="1360" w:type="dxa"/>
            <w:vAlign w:val="center"/>
          </w:tcPr>
          <w:p w14:paraId="1BB78515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High-risk discrimination, calibration and decision-curve framing.</w:t>
            </w:r>
          </w:p>
        </w:tc>
        <w:tc>
          <w:tcPr>
            <w:tcW w:w="1360" w:type="dxa"/>
            <w:vAlign w:val="center"/>
          </w:tcPr>
          <w:p w14:paraId="5E4DC6E3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Provides endpoint logic rather than AUROC/AUPRC curves or calibration plots.</w:t>
            </w:r>
          </w:p>
        </w:tc>
      </w:tr>
      <w:tr w14:paraId="5E776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3E867F2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External validation</w:t>
            </w:r>
          </w:p>
        </w:tc>
        <w:tc>
          <w:tcPr>
            <w:tcW w:w="1360" w:type="dxa"/>
            <w:vAlign w:val="center"/>
          </w:tcPr>
          <w:p w14:paraId="7516EBE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The cleaned low/mid/high label and derived high-risk binary endpoint.</w:t>
            </w:r>
          </w:p>
        </w:tc>
        <w:tc>
          <w:tcPr>
            <w:tcW w:w="1360" w:type="dxa"/>
            <w:vAlign w:val="center"/>
          </w:tcPr>
          <w:p w14:paraId="0580A1B4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Maternal Health Risk</w:t>
            </w:r>
          </w:p>
        </w:tc>
        <w:tc>
          <w:tcPr>
            <w:tcW w:w="1360" w:type="dxa"/>
            <w:vAlign w:val="center"/>
          </w:tcPr>
          <w:p w14:paraId="7209B9D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Preeclampsia in Pregnant women dataset</w:t>
            </w:r>
          </w:p>
        </w:tc>
        <w:tc>
          <w:tcPr>
            <w:tcW w:w="1360" w:type="dxa"/>
            <w:vAlign w:val="center"/>
          </w:tcPr>
          <w:p w14:paraId="6D70576E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Age, systolic BP, diastolic BP, hemoglobin, gestational age and parity.</w:t>
            </w:r>
          </w:p>
        </w:tc>
        <w:tc>
          <w:tcPr>
            <w:tcW w:w="1360" w:type="dxa"/>
            <w:vAlign w:val="center"/>
          </w:tcPr>
          <w:p w14:paraId="756D96E3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Evaluation of cross-dataset transportability.</w:t>
            </w:r>
          </w:p>
        </w:tc>
        <w:tc>
          <w:tcPr>
            <w:tcW w:w="1360" w:type="dxa"/>
            <w:vAlign w:val="center"/>
          </w:tcPr>
          <w:p w14:paraId="314F4C90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Lists harmonized inputs without duplicating confusion matrices or ROC/PR curves.</w:t>
            </w:r>
          </w:p>
        </w:tc>
      </w:tr>
      <w:tr w14:paraId="5F4B6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0" w:type="dxa"/>
            <w:vAlign w:val="center"/>
          </w:tcPr>
          <w:p w14:paraId="4D79A72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LLM text-based risk classification</w:t>
            </w:r>
          </w:p>
        </w:tc>
        <w:tc>
          <w:tcPr>
            <w:tcW w:w="1360" w:type="dxa"/>
            <w:vAlign w:val="center"/>
          </w:tcPr>
          <w:p w14:paraId="0E6C642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LLM returns a structured low/mid/high prediction, confidence and reason.</w:t>
            </w:r>
          </w:p>
        </w:tc>
        <w:tc>
          <w:tcPr>
            <w:tcW w:w="1360" w:type="dxa"/>
            <w:vAlign w:val="center"/>
          </w:tcPr>
          <w:p w14:paraId="00FB02FC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Serialized cases from both datasets</w:t>
            </w:r>
          </w:p>
        </w:tc>
        <w:tc>
          <w:tcPr>
            <w:tcW w:w="1360" w:type="dxa"/>
            <w:vAlign w:val="center"/>
          </w:tcPr>
          <w:p w14:paraId="3B5D4097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DeepSeek and Qwen-compatible chat APIs</w:t>
            </w:r>
          </w:p>
        </w:tc>
        <w:tc>
          <w:tcPr>
            <w:tcW w:w="1360" w:type="dxa"/>
            <w:vAlign w:val="center"/>
          </w:tcPr>
          <w:p w14:paraId="016F95CD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Case text generated from available clinical fields without revealing the true label.</w:t>
            </w:r>
          </w:p>
        </w:tc>
        <w:tc>
          <w:tcPr>
            <w:tcW w:w="1360" w:type="dxa"/>
            <w:vAlign w:val="center"/>
          </w:tcPr>
          <w:p w14:paraId="26689E55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Assessment of prompt strategy and explanation consistency.</w:t>
            </w:r>
          </w:p>
        </w:tc>
        <w:tc>
          <w:tcPr>
            <w:tcW w:w="1360" w:type="dxa"/>
            <w:vAlign w:val="center"/>
          </w:tcPr>
          <w:p w14:paraId="0887E04B">
            <w:pPr>
              <w:spacing w:before="0" w:after="0" w:line="240" w:lineRule="auto"/>
            </w:pPr>
            <w:r>
              <w:rPr>
                <w:rFonts w:ascii="Times New Roman" w:hAnsi="Times New Roman" w:eastAsia="宋体"/>
                <w:b w:val="0"/>
                <w:i w:val="0"/>
                <w:sz w:val="15"/>
              </w:rPr>
              <w:t>Specifies the output contract rather than metric heatmaps or attribution plots.</w:t>
            </w:r>
          </w:p>
        </w:tc>
      </w:tr>
    </w:tbl>
    <w:p w14:paraId="78103C00"/>
    <w:sectPr>
      <w:pgSz w:w="12240" w:h="15840"/>
      <w:pgMar w:top="1247" w:right="1361" w:bottom="1247" w:left="136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E45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592</Words>
  <Characters>3943</Characters>
  <Lines>0</Lines>
  <Paragraphs>0</Paragraphs>
  <TotalTime>0</TotalTime>
  <ScaleCrop>false</ScaleCrop>
  <LinksUpToDate>false</LinksUpToDate>
  <CharactersWithSpaces>4340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无所事事</cp:lastModifiedBy>
  <dcterms:modified xsi:type="dcterms:W3CDTF">2026-07-29T12:16:00Z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eyJoZGlkIjoiMzNiMzVhYzMxYzY0MzkzZjg1YmQ2YWY4Nzg3YzE0MGEiLCJ1c2VySWQiOiIxMDUwMjc0MTMxIn0=</vt:lpwstr>
  </property>
  <property fmtid="{D5CDD505-2E9C-101B-9397-08002B2CF9AE}" pid="3" name="KSOProductBuildVer">
    <vt:lpwstr>2052-12.1.0.23542</vt:lpwstr>
  </property>
  <property fmtid="{D5CDD505-2E9C-101B-9397-08002B2CF9AE}" pid="4" name="ICV">
    <vt:lpwstr>2371C913DEB04E9F90758E695082843D_12</vt:lpwstr>
  </property>
</Properties>
</file>