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CFC4" w14:textId="77777777" w:rsidR="00CC1D71" w:rsidRDefault="00CC1D71" w:rsidP="00CC1D71">
      <w:pPr>
        <w:pStyle w:val="Heading2"/>
      </w:pPr>
      <w:r>
        <w:t>Supplementary Materials</w:t>
      </w:r>
    </w:p>
    <w:p w14:paraId="03E45E56" w14:textId="77777777" w:rsidR="00CC1D71" w:rsidRDefault="00CC1D71" w:rsidP="00CC1D71">
      <w:r>
        <w:t>The following supplementary material is available:</w:t>
      </w:r>
    </w:p>
    <w:p w14:paraId="6B03AB55" w14:textId="77777777" w:rsidR="00CC1D71" w:rsidRDefault="00CC1D71" w:rsidP="00CC1D71">
      <w:pPr>
        <w:pStyle w:val="figurelegend"/>
        <w:rPr>
          <w:lang w:val="en-US"/>
        </w:rPr>
      </w:pPr>
      <w:r w:rsidRPr="53E81A73">
        <w:rPr>
          <w:b/>
          <w:bCs/>
        </w:rPr>
        <w:t>Supplementary Figure 1:</w:t>
      </w:r>
      <w:r>
        <w:rPr>
          <w:b/>
          <w:bCs/>
        </w:rPr>
        <w:t xml:space="preserve"> </w:t>
      </w:r>
      <w:r>
        <w:rPr>
          <w:b/>
          <w:bCs/>
          <w:i/>
          <w:iCs/>
        </w:rPr>
        <w:t>Map of the BRUV survey locations.</w:t>
      </w:r>
      <w:r>
        <w:t xml:space="preserve"> </w:t>
      </w:r>
      <w:r w:rsidRPr="53E81A73">
        <w:rPr>
          <w:b/>
          <w:bCs/>
        </w:rPr>
        <w:t xml:space="preserve">(A) </w:t>
      </w:r>
      <w:r w:rsidRPr="53E81A73">
        <w:rPr>
          <w:lang w:val="en-US"/>
        </w:rPr>
        <w:t>Location of the</w:t>
      </w:r>
      <w:r>
        <w:rPr>
          <w:lang w:val="en-US"/>
        </w:rPr>
        <w:t xml:space="preserve"> four</w:t>
      </w:r>
      <w:r w:rsidRPr="53E81A73">
        <w:rPr>
          <w:lang w:val="en-US"/>
        </w:rPr>
        <w:t xml:space="preserve"> wind farms where data were collected (Moray Firth, northeast Scotland). </w:t>
      </w:r>
      <w:r w:rsidRPr="53E81A73">
        <w:rPr>
          <w:b/>
          <w:bCs/>
          <w:lang w:val="en-US"/>
        </w:rPr>
        <w:t xml:space="preserve">(B) </w:t>
      </w:r>
      <w:r w:rsidRPr="53E81A73">
        <w:rPr>
          <w:lang w:val="en-US"/>
        </w:rPr>
        <w:t>Deployment locations for 2022 (gold) and 2024 (blue) within the four wind farms. For the 2022 survey each point represents three deployments in a triangle, separated by either 80 m or 150 m, while for 2024 each point represents four deployments at increasing distances from a wind turbine (30 m, 60 m, 120 m, 240 m).</w:t>
      </w:r>
    </w:p>
    <w:p w14:paraId="06D0CE86" w14:textId="77777777" w:rsidR="00CC1D71" w:rsidRDefault="00CC1D71" w:rsidP="00CC1D71">
      <w:pPr>
        <w:pStyle w:val="figurelegend"/>
      </w:pPr>
      <w:r w:rsidRPr="53E81A73">
        <w:rPr>
          <w:b/>
          <w:bCs/>
        </w:rPr>
        <w:t>Supplementary Figure 2:</w:t>
      </w:r>
      <w:r>
        <w:rPr>
          <w:b/>
          <w:bCs/>
        </w:rPr>
        <w:t xml:space="preserve"> </w:t>
      </w:r>
      <w:r>
        <w:rPr>
          <w:b/>
          <w:bCs/>
          <w:i/>
          <w:iCs/>
        </w:rPr>
        <w:t>Gadidae and Pleuronectiformes abundance time-series example.</w:t>
      </w:r>
      <w:r w:rsidRPr="53E81A73">
        <w:rPr>
          <w:b/>
          <w:bCs/>
        </w:rPr>
        <w:t xml:space="preserve"> </w:t>
      </w:r>
      <w:r>
        <w:t>Time series showing the number of Pleuronectiformes and Gadidae detected by an example YOLO model in a BRUV deployment from the 2024 survey. Counts are taken from the right-hand-side camera and the MaxN value is highlighted in red.</w:t>
      </w:r>
    </w:p>
    <w:p w14:paraId="138F9ADD" w14:textId="77777777" w:rsidR="00CC1D71" w:rsidRDefault="00CC1D71" w:rsidP="00CC1D71">
      <w:pPr>
        <w:pStyle w:val="figurelegend"/>
      </w:pPr>
      <w:r w:rsidRPr="005B4C80">
        <w:rPr>
          <w:b/>
          <w:bCs/>
        </w:rPr>
        <w:t xml:space="preserve">Supplementary Figure </w:t>
      </w:r>
      <w:r>
        <w:rPr>
          <w:b/>
          <w:bCs/>
        </w:rPr>
        <w:t>3</w:t>
      </w:r>
      <w:r w:rsidRPr="005B4C80">
        <w:rPr>
          <w:b/>
          <w:bCs/>
        </w:rPr>
        <w:t>:</w:t>
      </w:r>
      <w:r>
        <w:rPr>
          <w:b/>
          <w:bCs/>
        </w:rPr>
        <w:t xml:space="preserve"> </w:t>
      </w:r>
      <w:r>
        <w:rPr>
          <w:b/>
          <w:bCs/>
          <w:i/>
          <w:iCs/>
        </w:rPr>
        <w:t>Depiction of acceptable proportional error in MPS definition.</w:t>
      </w:r>
      <w:r>
        <w:rPr>
          <w:b/>
          <w:bCs/>
        </w:rPr>
        <w:t xml:space="preserve"> </w:t>
      </w:r>
      <w:r>
        <w:t>Curve showing the acceptable proportional error from MaxN</w:t>
      </w:r>
      <w:r>
        <w:rPr>
          <w:vertAlign w:val="subscript"/>
        </w:rPr>
        <w:t>Human</w:t>
      </w:r>
      <w:r>
        <w:t xml:space="preserve"> within which MaxN</w:t>
      </w:r>
      <w:r>
        <w:rPr>
          <w:vertAlign w:val="subscript"/>
        </w:rPr>
        <w:t>YOLO</w:t>
      </w:r>
      <w:r>
        <w:t xml:space="preserve"> must fall to be considered successful.</w:t>
      </w:r>
    </w:p>
    <w:p w14:paraId="0734BBE6" w14:textId="77777777" w:rsidR="00CC1D71" w:rsidRPr="00793533" w:rsidRDefault="00CC1D71" w:rsidP="00CC1D71">
      <w:pPr>
        <w:pStyle w:val="figurelegend"/>
      </w:pPr>
      <w:r w:rsidRPr="005B4C80">
        <w:rPr>
          <w:b/>
          <w:bCs/>
        </w:rPr>
        <w:t xml:space="preserve">Supplementary Figure </w:t>
      </w:r>
      <w:r>
        <w:rPr>
          <w:b/>
          <w:bCs/>
        </w:rPr>
        <w:t>4</w:t>
      </w:r>
      <w:r w:rsidRPr="005B4C80">
        <w:rPr>
          <w:b/>
          <w:bCs/>
        </w:rPr>
        <w:t>:</w:t>
      </w:r>
      <w:r>
        <w:rPr>
          <w:b/>
          <w:bCs/>
        </w:rPr>
        <w:t xml:space="preserve"> </w:t>
      </w:r>
      <w:r>
        <w:rPr>
          <w:b/>
          <w:bCs/>
          <w:i/>
          <w:iCs/>
        </w:rPr>
        <w:t>Human and Model MaxN agreement.</w:t>
      </w:r>
      <w:r>
        <w:rPr>
          <w:b/>
          <w:bCs/>
        </w:rPr>
        <w:t xml:space="preserve"> </w:t>
      </w:r>
      <w:r>
        <w:rPr>
          <w:i/>
          <w:iCs/>
        </w:rPr>
        <w:t>MaxN</w:t>
      </w:r>
      <w:r>
        <w:rPr>
          <w:i/>
          <w:iCs/>
          <w:vertAlign w:val="subscript"/>
        </w:rPr>
        <w:t>Human</w:t>
      </w:r>
      <w:r>
        <w:t xml:space="preserve"> and </w:t>
      </w:r>
      <w:r>
        <w:rPr>
          <w:i/>
          <w:iCs/>
        </w:rPr>
        <w:t>MaxN</w:t>
      </w:r>
      <w:r>
        <w:rPr>
          <w:i/>
          <w:iCs/>
          <w:vertAlign w:val="subscript"/>
        </w:rPr>
        <w:t>YOLO</w:t>
      </w:r>
      <w:r>
        <w:t xml:space="preserve"> for </w:t>
      </w:r>
      <w:r>
        <w:rPr>
          <w:i/>
          <w:iCs/>
        </w:rPr>
        <w:t>Gadidae</w:t>
      </w:r>
      <w:r>
        <w:t xml:space="preserve"> and </w:t>
      </w:r>
      <w:r>
        <w:rPr>
          <w:i/>
          <w:iCs/>
        </w:rPr>
        <w:t>Pleuronectiformes</w:t>
      </w:r>
      <w:r>
        <w:t xml:space="preserve"> in both survey years. Coloured points denote successful </w:t>
      </w:r>
      <w:r>
        <w:rPr>
          <w:i/>
          <w:iCs/>
        </w:rPr>
        <w:t>MaxN</w:t>
      </w:r>
      <w:r>
        <w:rPr>
          <w:i/>
          <w:iCs/>
          <w:vertAlign w:val="subscript"/>
        </w:rPr>
        <w:t>YOLO</w:t>
      </w:r>
      <w:r>
        <w:t xml:space="preserve"> predictions, while unsuccessful predictions are shown with a cross. </w:t>
      </w:r>
      <w:r w:rsidRPr="005E1A2A">
        <w:t>Spearman's rank correlation coefficient (ρ) and the coefficient of determination (R²) are annotated on each panel; all correlations were significant at p &lt; 0.001.</w:t>
      </w:r>
    </w:p>
    <w:p w14:paraId="0D190F18" w14:textId="77777777" w:rsidR="00CC1D71" w:rsidRDefault="00CC1D71" w:rsidP="00CC1D71">
      <w:pPr>
        <w:pStyle w:val="figurelegend"/>
        <w:rPr>
          <w:lang w:val="en-US"/>
        </w:rPr>
      </w:pPr>
      <w:r>
        <w:rPr>
          <w:b/>
          <w:bCs/>
          <w:lang w:val="en-US"/>
        </w:rPr>
        <w:t xml:space="preserve">Supplementary Table 1: </w:t>
      </w:r>
      <w:r>
        <w:rPr>
          <w:b/>
          <w:bCs/>
          <w:i/>
          <w:iCs/>
          <w:lang w:val="en-US"/>
        </w:rPr>
        <w:t>Coarse search space training parameters and model performance.</w:t>
      </w:r>
      <w:r>
        <w:rPr>
          <w:b/>
          <w:bCs/>
          <w:lang w:val="en-US"/>
        </w:rPr>
        <w:t xml:space="preserve"> </w:t>
      </w:r>
      <w:r w:rsidRPr="005D0BF0">
        <w:rPr>
          <w:lang w:val="en-US"/>
        </w:rPr>
        <w:t>Training parameters and performance metrics for models trained during the initial coarse search space optimization stage of model development</w:t>
      </w:r>
      <w:r>
        <w:rPr>
          <w:lang w:val="en-US"/>
        </w:rPr>
        <w:t>.</w:t>
      </w:r>
    </w:p>
    <w:p w14:paraId="1564C976" w14:textId="77777777" w:rsidR="00CC1D71" w:rsidRDefault="00CC1D71" w:rsidP="00CC1D71">
      <w:pPr>
        <w:pStyle w:val="figurelegend"/>
      </w:pPr>
      <w:r>
        <w:rPr>
          <w:b/>
          <w:bCs/>
          <w:lang w:val="en-US"/>
        </w:rPr>
        <w:t xml:space="preserve">Supplementary Table 2: </w:t>
      </w:r>
      <w:r>
        <w:rPr>
          <w:b/>
          <w:bCs/>
          <w:i/>
          <w:iCs/>
          <w:lang w:val="en-US"/>
        </w:rPr>
        <w:t>MPS upper threshold sensitivity testing results.</w:t>
      </w:r>
      <w:r>
        <w:rPr>
          <w:b/>
          <w:bCs/>
          <w:lang w:val="en-US"/>
        </w:rPr>
        <w:t xml:space="preserve"> </w:t>
      </w:r>
      <w:r w:rsidRPr="005D6F72">
        <w:t xml:space="preserve">Sensitivity of </w:t>
      </w:r>
      <w:r w:rsidRPr="005D6F72">
        <w:rPr>
          <w:i/>
          <w:iCs/>
        </w:rPr>
        <w:t>MPS</w:t>
      </w:r>
      <w:r w:rsidRPr="005D6F72">
        <w:t xml:space="preserve"> and the selected optimal confidence threshold to the upper proportional-error tolerance bound, for the 2022 and 2024 datasets. The bound was varied from 0.10 to 0.30; the 0.20 value is that used throughout the main analysis. </w:t>
      </w:r>
      <w:r w:rsidRPr="005D6F72">
        <w:rPr>
          <w:i/>
          <w:iCs/>
        </w:rPr>
        <w:t>MPS</w:t>
      </w:r>
      <w:r w:rsidRPr="005D6F72">
        <w:t xml:space="preserve"> increases with a more permissive bound, as expected, whereas the selected confidence threshold is largely invariant.</w:t>
      </w:r>
    </w:p>
    <w:p w14:paraId="5691811E" w14:textId="77777777" w:rsidR="00CC1D71" w:rsidRDefault="00CC1D71" w:rsidP="00CC1D71">
      <w:pPr>
        <w:pStyle w:val="figurelegend"/>
        <w:rPr>
          <w:lang w:val="en-US"/>
        </w:rPr>
      </w:pPr>
      <w:r w:rsidRPr="005D0BF0">
        <w:rPr>
          <w:b/>
        </w:rPr>
        <w:t xml:space="preserve">Supplementary </w:t>
      </w:r>
      <w:r>
        <w:rPr>
          <w:b/>
          <w:bCs/>
        </w:rPr>
        <w:t>File</w:t>
      </w:r>
      <w:r w:rsidRPr="005D0BF0">
        <w:rPr>
          <w:b/>
        </w:rPr>
        <w:t xml:space="preserve"> </w:t>
      </w:r>
      <w:r>
        <w:rPr>
          <w:b/>
        </w:rPr>
        <w:t>1</w:t>
      </w:r>
      <w:r w:rsidRPr="005D0BF0">
        <w:rPr>
          <w:b/>
        </w:rPr>
        <w:t>:</w:t>
      </w:r>
      <w:r>
        <w:rPr>
          <w:b/>
        </w:rPr>
        <w:t xml:space="preserve"> </w:t>
      </w:r>
      <w:r>
        <w:rPr>
          <w:b/>
          <w:i/>
          <w:iCs/>
        </w:rPr>
        <w:t>Hyperparameter fine-tuning results.</w:t>
      </w:r>
      <w:r>
        <w:rPr>
          <w:b/>
        </w:rPr>
        <w:t xml:space="preserve"> </w:t>
      </w:r>
      <w:r w:rsidRPr="005D0BF0">
        <w:t xml:space="preserve">YAML configuration file </w:t>
      </w:r>
      <w:r>
        <w:t>containing the outputs of the YOLO model fine-tuning process. The hyperparameters contained within the file are those that were used to train the ‘best fitness’ model during the tuning process and were used to train the models that formed the final model ensemble.</w:t>
      </w:r>
    </w:p>
    <w:p w14:paraId="27134028" w14:textId="77777777" w:rsidR="00CC1D71" w:rsidRDefault="00CC1D71" w:rsidP="00CC1D71">
      <w:pPr>
        <w:pStyle w:val="figurelegend"/>
        <w:rPr>
          <w:lang w:val="en-US"/>
        </w:rPr>
      </w:pPr>
      <w:r w:rsidRPr="005D0BF0">
        <w:rPr>
          <w:b/>
        </w:rPr>
        <w:lastRenderedPageBreak/>
        <w:t>Supplementary File 2:</w:t>
      </w:r>
      <w:r>
        <w:rPr>
          <w:b/>
        </w:rPr>
        <w:t xml:space="preserve"> </w:t>
      </w:r>
      <w:r>
        <w:rPr>
          <w:b/>
          <w:i/>
          <w:iCs/>
        </w:rPr>
        <w:t>Coarse search space optimisation results.</w:t>
      </w:r>
      <w:r>
        <w:t xml:space="preserve"> YAML configuration file containing the full set of training parameters that was used to train the best model in the initial coarse search space. These parameters were used as the starting point for hyperparameter fine-tuning.</w:t>
      </w:r>
    </w:p>
    <w:p w14:paraId="2890F35C" w14:textId="77777777" w:rsidR="00CC1D71" w:rsidRDefault="00CC1D71" w:rsidP="00CC1D71"/>
    <w:p w14:paraId="5BD4C612" w14:textId="77777777" w:rsidR="00E023F9" w:rsidRDefault="00E023F9"/>
    <w:sectPr w:rsidR="00E023F9" w:rsidSect="00CC1D71">
      <w:footerReference w:type="default" r:id="rId4"/>
      <w:pgSz w:w="11906" w:h="16838" w:code="9"/>
      <w:pgMar w:top="1134" w:right="1701" w:bottom="1134" w:left="1701"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905025"/>
      <w:docPartObj>
        <w:docPartGallery w:val="Page Numbers (Bottom of Page)"/>
        <w:docPartUnique/>
      </w:docPartObj>
    </w:sdtPr>
    <w:sdtEndPr>
      <w:rPr>
        <w:noProof/>
      </w:rPr>
    </w:sdtEndPr>
    <w:sdtContent>
      <w:p w14:paraId="52C8E8B3" w14:textId="77777777" w:rsidR="00CC1D71" w:rsidRDefault="00CC1D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93F83E" w14:textId="77777777" w:rsidR="00CC1D71" w:rsidRDefault="00CC1D7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71"/>
    <w:rsid w:val="000C4033"/>
    <w:rsid w:val="00173ED8"/>
    <w:rsid w:val="002F50B1"/>
    <w:rsid w:val="004B42CB"/>
    <w:rsid w:val="005F2B46"/>
    <w:rsid w:val="00696BA6"/>
    <w:rsid w:val="006E1731"/>
    <w:rsid w:val="00866D74"/>
    <w:rsid w:val="00882A73"/>
    <w:rsid w:val="00906905"/>
    <w:rsid w:val="0095305D"/>
    <w:rsid w:val="00B10170"/>
    <w:rsid w:val="00B260B7"/>
    <w:rsid w:val="00B85331"/>
    <w:rsid w:val="00C94D66"/>
    <w:rsid w:val="00CC1D71"/>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42EA"/>
  <w15:chartTrackingRefBased/>
  <w15:docId w15:val="{1F22DE51-67E9-42CF-94BC-C2B33314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CC1D71"/>
    <w:pPr>
      <w:spacing w:line="480" w:lineRule="auto"/>
      <w:jc w:val="both"/>
    </w:pPr>
    <w:rPr>
      <w:rFonts w:ascii="Arial" w:hAnsi="Arial"/>
      <w:sz w:val="22"/>
      <w:szCs w:val="22"/>
      <w:lang w:val="en-GB"/>
    </w:rPr>
  </w:style>
  <w:style w:type="paragraph" w:styleId="Heading1">
    <w:name w:val="heading 1"/>
    <w:basedOn w:val="Normal"/>
    <w:next w:val="Normal"/>
    <w:link w:val="Heading1Char"/>
    <w:uiPriority w:val="9"/>
    <w:qFormat/>
    <w:rsid w:val="00CC1D71"/>
    <w:pPr>
      <w:keepNext/>
      <w:keepLines/>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aliases w:val="Section heading"/>
    <w:basedOn w:val="Normal"/>
    <w:next w:val="Normal"/>
    <w:link w:val="Heading2Char"/>
    <w:uiPriority w:val="9"/>
    <w:unhideWhenUsed/>
    <w:qFormat/>
    <w:rsid w:val="00CC1D71"/>
    <w:pPr>
      <w:keepNext/>
      <w:keepLines/>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CC1D71"/>
    <w:pPr>
      <w:keepNext/>
      <w:keepLines/>
      <w:spacing w:before="160" w:after="80" w:line="278" w:lineRule="auto"/>
      <w:jc w:val="left"/>
      <w:outlineLvl w:val="2"/>
    </w:pPr>
    <w:rPr>
      <w:rFonts w:asciiTheme="minorHAnsi" w:eastAsiaTheme="majorEastAsia" w:hAnsiTheme="minorHAnsi"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CC1D71"/>
    <w:pPr>
      <w:keepNext/>
      <w:keepLines/>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CC1D71"/>
    <w:pPr>
      <w:keepNext/>
      <w:keepLines/>
      <w:spacing w:before="80" w:after="40" w:line="278" w:lineRule="auto"/>
      <w:jc w:val="left"/>
      <w:outlineLvl w:val="4"/>
    </w:pPr>
    <w:rPr>
      <w:rFonts w:asciiTheme="minorHAnsi" w:eastAsiaTheme="majorEastAsia" w:hAnsiTheme="minorHAnsi"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CC1D71"/>
    <w:pPr>
      <w:keepNext/>
      <w:keepLines/>
      <w:spacing w:before="40" w:after="0" w:line="278" w:lineRule="auto"/>
      <w:jc w:val="left"/>
      <w:outlineLvl w:val="5"/>
    </w:pPr>
    <w:rPr>
      <w:rFonts w:asciiTheme="minorHAnsi" w:eastAsiaTheme="majorEastAsia" w:hAnsiTheme="minorHAnsi"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CC1D71"/>
    <w:pPr>
      <w:keepNext/>
      <w:keepLines/>
      <w:spacing w:before="40" w:after="0" w:line="278" w:lineRule="auto"/>
      <w:jc w:val="left"/>
      <w:outlineLvl w:val="6"/>
    </w:pPr>
    <w:rPr>
      <w:rFonts w:asciiTheme="minorHAnsi" w:eastAsiaTheme="majorEastAsia" w:hAnsiTheme="minorHAnsi"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CC1D71"/>
    <w:pPr>
      <w:keepNext/>
      <w:keepLines/>
      <w:spacing w:after="0" w:line="278" w:lineRule="auto"/>
      <w:jc w:val="left"/>
      <w:outlineLvl w:val="7"/>
    </w:pPr>
    <w:rPr>
      <w:rFonts w:asciiTheme="minorHAnsi" w:eastAsiaTheme="majorEastAsia" w:hAnsiTheme="minorHAnsi"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CC1D71"/>
    <w:pPr>
      <w:keepNext/>
      <w:keepLines/>
      <w:spacing w:after="0" w:line="278" w:lineRule="auto"/>
      <w:jc w:val="left"/>
      <w:outlineLvl w:val="8"/>
    </w:pPr>
    <w:rPr>
      <w:rFonts w:asciiTheme="minorHAnsi" w:eastAsiaTheme="majorEastAsia" w:hAnsiTheme="minorHAnsi"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D71"/>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ection heading Char"/>
    <w:basedOn w:val="DefaultParagraphFont"/>
    <w:link w:val="Heading2"/>
    <w:uiPriority w:val="9"/>
    <w:rsid w:val="00CC1D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D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D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D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D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D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D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D71"/>
    <w:rPr>
      <w:rFonts w:eastAsiaTheme="majorEastAsia" w:cstheme="majorBidi"/>
      <w:color w:val="272727" w:themeColor="text1" w:themeTint="D8"/>
    </w:rPr>
  </w:style>
  <w:style w:type="paragraph" w:styleId="Title">
    <w:name w:val="Title"/>
    <w:basedOn w:val="Normal"/>
    <w:next w:val="Normal"/>
    <w:link w:val="TitleChar"/>
    <w:uiPriority w:val="10"/>
    <w:qFormat/>
    <w:rsid w:val="00CC1D71"/>
    <w:pPr>
      <w:spacing w:after="80" w:line="240" w:lineRule="auto"/>
      <w:contextualSpacing/>
      <w:jc w:val="left"/>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CC1D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D71"/>
    <w:pPr>
      <w:numPr>
        <w:ilvl w:val="1"/>
      </w:numPr>
      <w:spacing w:line="278" w:lineRule="auto"/>
      <w:jc w:val="left"/>
    </w:pPr>
    <w:rPr>
      <w:rFonts w:asciiTheme="minorHAnsi" w:eastAsiaTheme="majorEastAsia" w:hAnsiTheme="minorHAnsi"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CC1D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D71"/>
    <w:pPr>
      <w:spacing w:before="160" w:line="278" w:lineRule="auto"/>
      <w:jc w:val="center"/>
    </w:pPr>
    <w:rPr>
      <w:rFonts w:asciiTheme="minorHAnsi" w:hAnsiTheme="minorHAnsi"/>
      <w:i/>
      <w:iCs/>
      <w:color w:val="404040" w:themeColor="text1" w:themeTint="BF"/>
      <w:sz w:val="24"/>
      <w:szCs w:val="24"/>
      <w:lang w:val="en-IN"/>
    </w:rPr>
  </w:style>
  <w:style w:type="character" w:customStyle="1" w:styleId="QuoteChar">
    <w:name w:val="Quote Char"/>
    <w:basedOn w:val="DefaultParagraphFont"/>
    <w:link w:val="Quote"/>
    <w:uiPriority w:val="29"/>
    <w:rsid w:val="00CC1D71"/>
    <w:rPr>
      <w:i/>
      <w:iCs/>
      <w:color w:val="404040" w:themeColor="text1" w:themeTint="BF"/>
    </w:rPr>
  </w:style>
  <w:style w:type="paragraph" w:styleId="ListParagraph">
    <w:name w:val="List Paragraph"/>
    <w:basedOn w:val="Normal"/>
    <w:uiPriority w:val="34"/>
    <w:qFormat/>
    <w:rsid w:val="00CC1D71"/>
    <w:pPr>
      <w:spacing w:line="278" w:lineRule="auto"/>
      <w:ind w:left="720"/>
      <w:contextualSpacing/>
      <w:jc w:val="left"/>
    </w:pPr>
    <w:rPr>
      <w:rFonts w:asciiTheme="minorHAnsi" w:hAnsiTheme="minorHAnsi"/>
      <w:sz w:val="24"/>
      <w:szCs w:val="24"/>
      <w:lang w:val="en-IN"/>
    </w:rPr>
  </w:style>
  <w:style w:type="character" w:styleId="IntenseEmphasis">
    <w:name w:val="Intense Emphasis"/>
    <w:basedOn w:val="DefaultParagraphFont"/>
    <w:uiPriority w:val="21"/>
    <w:qFormat/>
    <w:rsid w:val="00CC1D71"/>
    <w:rPr>
      <w:i/>
      <w:iCs/>
      <w:color w:val="0F4761" w:themeColor="accent1" w:themeShade="BF"/>
    </w:rPr>
  </w:style>
  <w:style w:type="paragraph" w:styleId="IntenseQuote">
    <w:name w:val="Intense Quote"/>
    <w:basedOn w:val="Normal"/>
    <w:next w:val="Normal"/>
    <w:link w:val="IntenseQuoteChar"/>
    <w:uiPriority w:val="30"/>
    <w:qFormat/>
    <w:rsid w:val="00CC1D7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CC1D71"/>
    <w:rPr>
      <w:i/>
      <w:iCs/>
      <w:color w:val="0F4761" w:themeColor="accent1" w:themeShade="BF"/>
    </w:rPr>
  </w:style>
  <w:style w:type="character" w:styleId="IntenseReference">
    <w:name w:val="Intense Reference"/>
    <w:basedOn w:val="DefaultParagraphFont"/>
    <w:uiPriority w:val="32"/>
    <w:qFormat/>
    <w:rsid w:val="00CC1D71"/>
    <w:rPr>
      <w:b/>
      <w:bCs/>
      <w:smallCaps/>
      <w:color w:val="0F4761" w:themeColor="accent1" w:themeShade="BF"/>
      <w:spacing w:val="5"/>
    </w:rPr>
  </w:style>
  <w:style w:type="paragraph" w:styleId="Footer">
    <w:name w:val="footer"/>
    <w:basedOn w:val="Normal"/>
    <w:link w:val="FooterChar"/>
    <w:uiPriority w:val="99"/>
    <w:unhideWhenUsed/>
    <w:rsid w:val="00CC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D71"/>
    <w:rPr>
      <w:rFonts w:ascii="Arial" w:hAnsi="Arial"/>
      <w:sz w:val="22"/>
      <w:szCs w:val="22"/>
      <w:lang w:val="en-GB"/>
    </w:rPr>
  </w:style>
  <w:style w:type="paragraph" w:customStyle="1" w:styleId="figurelegend">
    <w:name w:val="figure legend"/>
    <w:basedOn w:val="Normal"/>
    <w:link w:val="figurelegendChar"/>
    <w:qFormat/>
    <w:rsid w:val="00CC1D71"/>
    <w:pPr>
      <w:spacing w:line="360" w:lineRule="auto"/>
    </w:pPr>
    <w:rPr>
      <w:color w:val="262626" w:themeColor="text1" w:themeTint="D9"/>
    </w:rPr>
  </w:style>
  <w:style w:type="character" w:customStyle="1" w:styleId="figurelegendChar">
    <w:name w:val="figure legend Char"/>
    <w:basedOn w:val="DefaultParagraphFont"/>
    <w:link w:val="figurelegend"/>
    <w:rsid w:val="00CC1D71"/>
    <w:rPr>
      <w:rFonts w:ascii="Arial" w:hAnsi="Arial"/>
      <w:color w:val="262626" w:themeColor="text1" w:themeTint="D9"/>
      <w:sz w:val="22"/>
      <w:szCs w:val="22"/>
      <w:lang w:val="en-GB"/>
    </w:rPr>
  </w:style>
  <w:style w:type="character" w:styleId="LineNumber">
    <w:name w:val="line number"/>
    <w:basedOn w:val="DefaultParagraphFont"/>
    <w:uiPriority w:val="99"/>
    <w:semiHidden/>
    <w:unhideWhenUsed/>
    <w:rsid w:val="00CC1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2026-10-05T11:03:00Z</dcterms:created>
  <dcterms:modified xsi:type="dcterms:W3CDTF">2026-10-05T11:03:00Z</dcterms:modified>
</cp:coreProperties>
</file>