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F862B" w14:textId="77777777" w:rsidR="0085732A" w:rsidRDefault="0085732A" w:rsidP="0085732A">
      <w:r>
        <w:rPr>
          <w:noProof/>
        </w:rPr>
        <w:drawing>
          <wp:inline distT="0" distB="0" distL="114300" distR="114300" wp14:anchorId="2D62DA02" wp14:editId="44524070">
            <wp:extent cx="5293360" cy="2174875"/>
            <wp:effectExtent l="0" t="0" r="10160" b="4445"/>
            <wp:docPr id="2" name="图片 2" descr="图片组合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组合_page-0001"/>
                    <pic:cNvPicPr>
                      <a:picLocks noChangeAspect="1"/>
                    </pic:cNvPicPr>
                  </pic:nvPicPr>
                  <pic:blipFill>
                    <a:blip r:embed="rId4"/>
                    <a:srcRect l="4919" t="5186" r="5775" b="29597"/>
                    <a:stretch>
                      <a:fillRect/>
                    </a:stretch>
                  </pic:blipFill>
                  <pic:spPr>
                    <a:xfrm>
                      <a:off x="0" y="0"/>
                      <a:ext cx="5293360" cy="217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B06B8" w14:textId="77777777" w:rsidR="0085732A" w:rsidRDefault="0085732A" w:rsidP="0085732A">
      <w:pPr>
        <w:jc w:val="left"/>
        <w:rPr>
          <w:b/>
        </w:rPr>
      </w:pPr>
      <w:r>
        <w:rPr>
          <w:b/>
        </w:rPr>
        <w:t>Supplementary Figure 1</w:t>
      </w:r>
      <w:r>
        <w:rPr>
          <w:b/>
          <w:bCs/>
        </w:rPr>
        <w:t xml:space="preserve">. Sex-stratified alpha </w:t>
      </w:r>
      <w:r>
        <w:rPr>
          <w:b/>
        </w:rPr>
        <w:t xml:space="preserve">diversity of fecal microbiota </w:t>
      </w:r>
      <w:r>
        <w:rPr>
          <w:b/>
          <w:bCs/>
        </w:rPr>
        <w:t xml:space="preserve">in </w:t>
      </w:r>
      <w:r>
        <w:rPr>
          <w:b/>
        </w:rPr>
        <w:t xml:space="preserve">diarrheal </w:t>
      </w:r>
      <w:r>
        <w:rPr>
          <w:b/>
          <w:bCs/>
        </w:rPr>
        <w:t>patients</w:t>
      </w:r>
      <w:r>
        <w:rPr>
          <w:b/>
        </w:rPr>
        <w:t xml:space="preserve"> and healthy controls</w:t>
      </w:r>
      <w:r>
        <w:rPr>
          <w:b/>
          <w:bCs/>
        </w:rPr>
        <w:t>.</w:t>
      </w:r>
    </w:p>
    <w:p w14:paraId="0E2DBEA7" w14:textId="77777777" w:rsidR="0085732A" w:rsidRDefault="0085732A" w:rsidP="0085732A">
      <w:pPr>
        <w:rPr>
          <w:sz w:val="15"/>
        </w:rPr>
      </w:pPr>
      <w:r>
        <w:t>A and B</w:t>
      </w:r>
      <w:r>
        <w:rPr>
          <w:rFonts w:hint="eastAsia"/>
        </w:rPr>
        <w:t>,</w:t>
      </w:r>
      <w:r>
        <w:t xml:space="preserve"> bacterial richness (Chao1) and diversity (Shannon) by sex in controls</w:t>
      </w:r>
      <w:r>
        <w:rPr>
          <w:rFonts w:hint="eastAsia"/>
        </w:rPr>
        <w:t>.</w:t>
      </w:r>
      <w:r>
        <w:t xml:space="preserve"> C and D</w:t>
      </w:r>
      <w:r>
        <w:rPr>
          <w:rFonts w:hint="eastAsia"/>
        </w:rPr>
        <w:t>,</w:t>
      </w:r>
      <w:r>
        <w:t xml:space="preserve"> corresponding bacterial metrics in patients. E and F</w:t>
      </w:r>
      <w:r>
        <w:rPr>
          <w:rFonts w:hint="eastAsia"/>
        </w:rPr>
        <w:t>,</w:t>
      </w:r>
      <w:r>
        <w:t xml:space="preserve"> fungal richness (Chao1) and diversity (Shannon) by sex in controls</w:t>
      </w:r>
      <w:r>
        <w:rPr>
          <w:rFonts w:hint="eastAsia"/>
        </w:rPr>
        <w:t>.</w:t>
      </w:r>
      <w:r>
        <w:t xml:space="preserve"> G and H</w:t>
      </w:r>
      <w:r>
        <w:rPr>
          <w:rFonts w:hint="eastAsia"/>
        </w:rPr>
        <w:t>,</w:t>
      </w:r>
      <w:r>
        <w:t xml:space="preserve"> corresponding fungal metrics in patients. 0.01 &lt; *</w:t>
      </w:r>
      <w:r>
        <w:rPr>
          <w:i/>
        </w:rPr>
        <w:t>P</w:t>
      </w:r>
      <w:r>
        <w:rPr>
          <w:sz w:val="21"/>
        </w:rPr>
        <w:t xml:space="preserve"> </w:t>
      </w:r>
      <w:r>
        <w:rPr>
          <w:szCs w:val="24"/>
        </w:rPr>
        <w:t>≤</w:t>
      </w:r>
      <w:r>
        <w:rPr>
          <w:sz w:val="21"/>
        </w:rPr>
        <w:t xml:space="preserve"> 0.05; </w:t>
      </w:r>
      <w:r>
        <w:t>0.001 &lt; **</w:t>
      </w:r>
      <w:r>
        <w:rPr>
          <w:i/>
        </w:rPr>
        <w:t>P</w:t>
      </w:r>
      <w:r>
        <w:rPr>
          <w:sz w:val="21"/>
        </w:rPr>
        <w:t xml:space="preserve"> </w:t>
      </w:r>
      <w:r>
        <w:rPr>
          <w:szCs w:val="24"/>
        </w:rPr>
        <w:t>≤</w:t>
      </w:r>
      <w:r>
        <w:rPr>
          <w:sz w:val="21"/>
        </w:rPr>
        <w:t xml:space="preserve"> 0.01; </w:t>
      </w:r>
      <w:r>
        <w:t>***</w:t>
      </w:r>
      <w:r>
        <w:rPr>
          <w:i/>
        </w:rPr>
        <w:t>P</w:t>
      </w:r>
      <w:r>
        <w:rPr>
          <w:sz w:val="21"/>
        </w:rPr>
        <w:t xml:space="preserve"> </w:t>
      </w:r>
      <w:r>
        <w:rPr>
          <w:szCs w:val="24"/>
        </w:rPr>
        <w:t>≤</w:t>
      </w:r>
      <w:r>
        <w:rPr>
          <w:sz w:val="21"/>
        </w:rPr>
        <w:t xml:space="preserve"> 0.001.</w:t>
      </w:r>
    </w:p>
    <w:p w14:paraId="0BF7BF40" w14:textId="77777777" w:rsidR="0085732A" w:rsidRDefault="0085732A" w:rsidP="0085732A">
      <w:pPr>
        <w:jc w:val="left"/>
      </w:pPr>
      <w:r>
        <w:rPr>
          <w:sz w:val="15"/>
        </w:rPr>
        <w:t xml:space="preserve">   </w:t>
      </w:r>
      <w:r>
        <w:rPr>
          <w:noProof/>
        </w:rPr>
        <w:drawing>
          <wp:inline distT="0" distB="0" distL="114300" distR="114300" wp14:anchorId="227EEDFE" wp14:editId="7A7CF2ED">
            <wp:extent cx="5001260" cy="3086735"/>
            <wp:effectExtent l="0" t="0" r="12700" b="6985"/>
            <wp:docPr id="3" name="图片 3" descr="图片组合_page-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组合_page-0002"/>
                    <pic:cNvPicPr>
                      <a:picLocks noChangeAspect="1"/>
                    </pic:cNvPicPr>
                  </pic:nvPicPr>
                  <pic:blipFill>
                    <a:blip r:embed="rId5"/>
                    <a:srcRect l="9453" t="4115" r="7403" b="4672"/>
                    <a:stretch>
                      <a:fillRect/>
                    </a:stretch>
                  </pic:blipFill>
                  <pic:spPr>
                    <a:xfrm>
                      <a:off x="0" y="0"/>
                      <a:ext cx="5001260" cy="308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09EAA" w14:textId="77777777" w:rsidR="0085732A" w:rsidRDefault="0085732A" w:rsidP="0085732A">
      <w:pPr>
        <w:jc w:val="left"/>
        <w:rPr>
          <w:b/>
        </w:rPr>
      </w:pPr>
      <w:r>
        <w:rPr>
          <w:b/>
        </w:rPr>
        <w:t>Supplementary Figure 2</w:t>
      </w:r>
      <w:r>
        <w:rPr>
          <w:b/>
          <w:bCs/>
        </w:rPr>
        <w:t xml:space="preserve">. Sex-stratified </w:t>
      </w:r>
      <w:r>
        <w:rPr>
          <w:b/>
        </w:rPr>
        <w:t>β</w:t>
      </w:r>
      <w:r>
        <w:rPr>
          <w:b/>
        </w:rPr>
        <w:noBreakHyphen/>
        <w:t xml:space="preserve">diversity and </w:t>
      </w:r>
      <w:r>
        <w:rPr>
          <w:b/>
          <w:bCs/>
        </w:rPr>
        <w:t>overall community ordinations</w:t>
      </w:r>
      <w:r>
        <w:rPr>
          <w:b/>
        </w:rPr>
        <w:t xml:space="preserve"> of fecal microbiota</w:t>
      </w:r>
      <w:r>
        <w:rPr>
          <w:b/>
          <w:bCs/>
        </w:rPr>
        <w:t>.</w:t>
      </w:r>
    </w:p>
    <w:p w14:paraId="0D83C43D" w14:textId="77777777" w:rsidR="0085732A" w:rsidRDefault="0085732A" w:rsidP="0085732A">
      <w:pPr>
        <w:tabs>
          <w:tab w:val="left" w:pos="1176"/>
        </w:tabs>
        <w:jc w:val="left"/>
        <w:rPr>
          <w:sz w:val="15"/>
        </w:rPr>
      </w:pPr>
      <w:r>
        <w:t>A and B</w:t>
      </w:r>
      <w:r>
        <w:rPr>
          <w:rFonts w:hint="eastAsia"/>
        </w:rPr>
        <w:t>,</w:t>
      </w:r>
      <w:r>
        <w:t xml:space="preserve"> </w:t>
      </w:r>
      <w:r>
        <w:rPr>
          <w:sz w:val="21"/>
        </w:rPr>
        <w:t xml:space="preserve">bacterial </w:t>
      </w:r>
      <w:r>
        <w:t>Bray</w:t>
      </w:r>
      <w:r>
        <w:rPr>
          <w:sz w:val="21"/>
          <w:szCs w:val="21"/>
        </w:rPr>
        <w:t>-</w:t>
      </w:r>
      <w:r>
        <w:rPr>
          <w:sz w:val="21"/>
        </w:rPr>
        <w:t xml:space="preserve">Curtis </w:t>
      </w:r>
      <w:r>
        <w:rPr>
          <w:sz w:val="21"/>
          <w:szCs w:val="21"/>
        </w:rPr>
        <w:t xml:space="preserve">PCoA </w:t>
      </w:r>
      <w:r>
        <w:rPr>
          <w:sz w:val="21"/>
        </w:rPr>
        <w:t>by sex</w:t>
      </w:r>
      <w:r>
        <w:t xml:space="preserve"> in patients and controls, respectively. C and D</w:t>
      </w:r>
      <w:r>
        <w:rPr>
          <w:rFonts w:hint="eastAsia"/>
        </w:rPr>
        <w:t>,</w:t>
      </w:r>
      <w:r>
        <w:rPr>
          <w:sz w:val="21"/>
          <w:szCs w:val="21"/>
        </w:rPr>
        <w:t xml:space="preserve"> fungal Bray-Curtis PCoA by sex in patients and controls, respectively. </w:t>
      </w:r>
      <w:r>
        <w:rPr>
          <w:sz w:val="21"/>
        </w:rPr>
        <w:t>E and F</w:t>
      </w:r>
      <w:r>
        <w:rPr>
          <w:rFonts w:hint="eastAsia"/>
        </w:rPr>
        <w:t>,</w:t>
      </w:r>
      <w:r>
        <w:rPr>
          <w:sz w:val="21"/>
          <w:szCs w:val="21"/>
        </w:rPr>
        <w:t xml:space="preserve"> non-</w:t>
      </w:r>
      <w:r>
        <w:t>metric multidimensional scaling (NMDS) plots of total bacterial and fungal communities based on Bray</w:t>
      </w:r>
      <w:r>
        <w:rPr>
          <w:sz w:val="21"/>
          <w:szCs w:val="21"/>
        </w:rPr>
        <w:t>-</w:t>
      </w:r>
      <w:r>
        <w:rPr>
          <w:sz w:val="21"/>
        </w:rPr>
        <w:t xml:space="preserve">Curtis </w:t>
      </w:r>
      <w:r>
        <w:t>distances.</w:t>
      </w:r>
    </w:p>
    <w:p w14:paraId="130C21E5" w14:textId="77777777" w:rsidR="0085732A" w:rsidRDefault="0085732A" w:rsidP="0085732A">
      <w:pPr>
        <w:tabs>
          <w:tab w:val="left" w:pos="1176"/>
        </w:tabs>
        <w:ind w:left="450" w:hangingChars="300" w:hanging="450"/>
        <w:jc w:val="left"/>
        <w:rPr>
          <w:sz w:val="15"/>
        </w:rPr>
      </w:pPr>
      <w:r>
        <w:rPr>
          <w:noProof/>
          <w:sz w:val="15"/>
        </w:rPr>
        <w:drawing>
          <wp:inline distT="0" distB="0" distL="114300" distR="114300" wp14:anchorId="26805D25" wp14:editId="25820F69">
            <wp:extent cx="2964815" cy="1087120"/>
            <wp:effectExtent l="0" t="0" r="6985" b="10160"/>
            <wp:docPr id="13" name="图片 13" descr="图片组合(2)_page-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片组合(2)_page-0002"/>
                    <pic:cNvPicPr>
                      <a:picLocks noChangeAspect="1"/>
                    </pic:cNvPicPr>
                  </pic:nvPicPr>
                  <pic:blipFill>
                    <a:blip r:embed="rId6"/>
                    <a:srcRect l="8946" t="4672" r="34760" b="58637"/>
                    <a:stretch>
                      <a:fillRect/>
                    </a:stretch>
                  </pic:blipFill>
                  <pic:spPr>
                    <a:xfrm>
                      <a:off x="0" y="0"/>
                      <a:ext cx="2964815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CF77A" w14:textId="77777777" w:rsidR="0085732A" w:rsidRDefault="0085732A" w:rsidP="0085732A">
      <w:pPr>
        <w:rPr>
          <w:sz w:val="15"/>
        </w:rPr>
      </w:pPr>
      <w:r>
        <w:rPr>
          <w:b/>
        </w:rPr>
        <w:t>Supplementary Figure 3</w:t>
      </w:r>
      <w:r>
        <w:rPr>
          <w:b/>
          <w:bCs/>
        </w:rPr>
        <w:t>. Shared and unique fecal microbial</w:t>
      </w:r>
      <w:r>
        <w:rPr>
          <w:b/>
        </w:rPr>
        <w:t xml:space="preserve"> genera </w:t>
      </w:r>
      <w:r>
        <w:rPr>
          <w:b/>
          <w:bCs/>
        </w:rPr>
        <w:t>between</w:t>
      </w:r>
      <w:r>
        <w:rPr>
          <w:b/>
        </w:rPr>
        <w:t xml:space="preserve"> diarrheal </w:t>
      </w:r>
      <w:r>
        <w:rPr>
          <w:b/>
          <w:bCs/>
        </w:rPr>
        <w:t>patients</w:t>
      </w:r>
      <w:r>
        <w:rPr>
          <w:b/>
        </w:rPr>
        <w:t xml:space="preserve"> and healthy controls</w:t>
      </w:r>
      <w:r>
        <w:rPr>
          <w:b/>
          <w:bCs/>
        </w:rPr>
        <w:t>.</w:t>
      </w:r>
    </w:p>
    <w:p w14:paraId="7C2EE061" w14:textId="77777777" w:rsidR="0085732A" w:rsidRDefault="0085732A" w:rsidP="0085732A">
      <w:r>
        <w:t>A</w:t>
      </w:r>
      <w:r>
        <w:rPr>
          <w:sz w:val="21"/>
          <w:szCs w:val="21"/>
        </w:rPr>
        <w:t xml:space="preserve"> and B</w:t>
      </w:r>
      <w:r>
        <w:rPr>
          <w:rFonts w:hint="eastAsia"/>
        </w:rPr>
        <w:t>,</w:t>
      </w:r>
      <w:r>
        <w:t xml:space="preserve"> </w:t>
      </w:r>
      <w:r>
        <w:rPr>
          <w:sz w:val="21"/>
        </w:rPr>
        <w:t xml:space="preserve">Venn </w:t>
      </w:r>
      <w:r>
        <w:t>diagrams of shared and exclusive bacterial and fungal genera between cohorts, respectively. Numbers inside regions indicate genus counts.</w:t>
      </w:r>
    </w:p>
    <w:p w14:paraId="37E16AED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32A"/>
    <w:rsid w:val="000C4033"/>
    <w:rsid w:val="00173ED8"/>
    <w:rsid w:val="002F50B1"/>
    <w:rsid w:val="004B42CB"/>
    <w:rsid w:val="005F2B46"/>
    <w:rsid w:val="006E1731"/>
    <w:rsid w:val="0085732A"/>
    <w:rsid w:val="00866D74"/>
    <w:rsid w:val="00882A73"/>
    <w:rsid w:val="00906905"/>
    <w:rsid w:val="0095305D"/>
    <w:rsid w:val="00B10170"/>
    <w:rsid w:val="00B260B7"/>
    <w:rsid w:val="00B85331"/>
    <w:rsid w:val="00BD447F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27ACC"/>
  <w15:chartTrackingRefBased/>
  <w15:docId w15:val="{CF6D7685-011A-4273-A9B6-B8DEA8FB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32A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732A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32A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32A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32A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32A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32A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32A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32A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32A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7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7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73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73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73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73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3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3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32A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7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32A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7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32A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73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32A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73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32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3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3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2026-10-17T00:33:00Z</dcterms:created>
  <dcterms:modified xsi:type="dcterms:W3CDTF">2026-10-17T00:34:00Z</dcterms:modified>
</cp:coreProperties>
</file>