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3E4B1A" w14:textId="277D04D1" w:rsidR="00F5606F" w:rsidRDefault="00930D51" w:rsidP="00F5606F">
      <w:pPr>
        <w:pStyle w:val="Heading3"/>
      </w:pPr>
      <w:r>
        <w:t xml:space="preserve">Supplemental </w:t>
      </w:r>
      <w:r w:rsidR="00F5606F">
        <w:t xml:space="preserve">file 1 </w:t>
      </w:r>
    </w:p>
    <w:p w14:paraId="1FB71D7C" w14:textId="78B884E0" w:rsidR="00A46A55" w:rsidRPr="00E32178" w:rsidRDefault="00A46A55" w:rsidP="008B6440">
      <w:pPr>
        <w:pStyle w:val="NoSpacing"/>
        <w:rPr>
          <w:rFonts w:asciiTheme="minorHAnsi" w:hAnsiTheme="minorHAnsi" w:cstheme="minorHAnsi"/>
        </w:rPr>
      </w:pPr>
      <w:r w:rsidRPr="00E32178">
        <w:rPr>
          <w:rFonts w:asciiTheme="minorHAnsi" w:hAnsiTheme="minorHAnsi" w:cstheme="minorHAnsi"/>
          <w:u w:val="single"/>
        </w:rPr>
        <w:t>Title:</w:t>
      </w:r>
      <w:r w:rsidRPr="00E32178">
        <w:rPr>
          <w:rFonts w:asciiTheme="minorHAnsi" w:hAnsiTheme="minorHAnsi" w:cstheme="minorHAnsi"/>
        </w:rPr>
        <w:t xml:space="preserve"> </w:t>
      </w:r>
      <w:r w:rsidR="00D3207A" w:rsidRPr="00E32178">
        <w:rPr>
          <w:rFonts w:asciiTheme="minorHAnsi" w:hAnsiTheme="minorHAnsi" w:cstheme="minorHAnsi"/>
        </w:rPr>
        <w:t>Characteristics of</w:t>
      </w:r>
      <w:r w:rsidR="00186CD2" w:rsidRPr="00E32178">
        <w:rPr>
          <w:rFonts w:asciiTheme="minorHAnsi" w:hAnsiTheme="minorHAnsi" w:cstheme="minorHAnsi"/>
        </w:rPr>
        <w:t xml:space="preserve"> care for</w:t>
      </w:r>
      <w:r w:rsidR="00D3207A" w:rsidRPr="00E32178">
        <w:rPr>
          <w:rFonts w:asciiTheme="minorHAnsi" w:hAnsiTheme="minorHAnsi" w:cstheme="minorHAnsi"/>
        </w:rPr>
        <w:t xml:space="preserve"> Cushing</w:t>
      </w:r>
      <w:r w:rsidR="00186CD2" w:rsidRPr="00E32178">
        <w:rPr>
          <w:rFonts w:asciiTheme="minorHAnsi" w:hAnsiTheme="minorHAnsi" w:cstheme="minorHAnsi"/>
        </w:rPr>
        <w:t>’s syndrome patients at the reference centers</w:t>
      </w:r>
    </w:p>
    <w:p w14:paraId="256AA749" w14:textId="76390C78" w:rsidR="008B6440" w:rsidRPr="00E32178" w:rsidRDefault="00A46A55" w:rsidP="008B6440">
      <w:pPr>
        <w:pStyle w:val="NoSpacing"/>
        <w:rPr>
          <w:rFonts w:asciiTheme="minorHAnsi" w:hAnsiTheme="minorHAnsi" w:cstheme="minorHAnsi"/>
        </w:rPr>
      </w:pPr>
      <w:r w:rsidRPr="00E32178">
        <w:rPr>
          <w:rFonts w:asciiTheme="minorHAnsi" w:hAnsiTheme="minorHAnsi" w:cstheme="minorHAnsi"/>
          <w:u w:val="single"/>
        </w:rPr>
        <w:t>Description:</w:t>
      </w:r>
      <w:r w:rsidRPr="00E32178">
        <w:rPr>
          <w:rFonts w:asciiTheme="minorHAnsi" w:hAnsiTheme="minorHAnsi" w:cstheme="minorHAnsi"/>
        </w:rPr>
        <w:t xml:space="preserve"> O</w:t>
      </w:r>
      <w:r w:rsidR="008B6440" w:rsidRPr="00E32178">
        <w:rPr>
          <w:rFonts w:asciiTheme="minorHAnsi" w:hAnsiTheme="minorHAnsi" w:cstheme="minorHAnsi"/>
        </w:rPr>
        <w:t xml:space="preserve">verviews of </w:t>
      </w:r>
      <w:r w:rsidR="00FE7D31" w:rsidRPr="00E32178">
        <w:rPr>
          <w:rFonts w:asciiTheme="minorHAnsi" w:hAnsiTheme="minorHAnsi" w:cstheme="minorHAnsi"/>
        </w:rPr>
        <w:t xml:space="preserve">participating </w:t>
      </w:r>
      <w:r w:rsidR="0098725E" w:rsidRPr="00E32178">
        <w:rPr>
          <w:rFonts w:asciiTheme="minorHAnsi" w:hAnsiTheme="minorHAnsi" w:cstheme="minorHAnsi"/>
        </w:rPr>
        <w:t>reference centers (</w:t>
      </w:r>
      <w:r w:rsidR="008B6440" w:rsidRPr="00E32178">
        <w:rPr>
          <w:rFonts w:asciiTheme="minorHAnsi" w:hAnsiTheme="minorHAnsi" w:cstheme="minorHAnsi"/>
        </w:rPr>
        <w:t>RC’s</w:t>
      </w:r>
      <w:r w:rsidR="0098725E" w:rsidRPr="00E32178">
        <w:rPr>
          <w:rFonts w:asciiTheme="minorHAnsi" w:hAnsiTheme="minorHAnsi" w:cstheme="minorHAnsi"/>
        </w:rPr>
        <w:t>)</w:t>
      </w:r>
      <w:r w:rsidR="008B6440" w:rsidRPr="00E32178">
        <w:rPr>
          <w:rFonts w:asciiTheme="minorHAnsi" w:hAnsiTheme="minorHAnsi" w:cstheme="minorHAnsi"/>
        </w:rPr>
        <w:t xml:space="preserve"> </w:t>
      </w:r>
      <w:r w:rsidR="00155CC5" w:rsidRPr="00E32178">
        <w:rPr>
          <w:rFonts w:asciiTheme="minorHAnsi" w:hAnsiTheme="minorHAnsi" w:cstheme="minorHAnsi"/>
        </w:rPr>
        <w:t xml:space="preserve">per </w:t>
      </w:r>
      <w:r w:rsidR="008B6440" w:rsidRPr="00E32178">
        <w:rPr>
          <w:rFonts w:asciiTheme="minorHAnsi" w:hAnsiTheme="minorHAnsi" w:cstheme="minorHAnsi"/>
        </w:rPr>
        <w:t>countr</w:t>
      </w:r>
      <w:r w:rsidR="00155CC5" w:rsidRPr="00E32178">
        <w:rPr>
          <w:rFonts w:asciiTheme="minorHAnsi" w:hAnsiTheme="minorHAnsi" w:cstheme="minorHAnsi"/>
        </w:rPr>
        <w:t>y</w:t>
      </w:r>
      <w:r w:rsidR="008B6440" w:rsidRPr="00E32178">
        <w:rPr>
          <w:rFonts w:asciiTheme="minorHAnsi" w:hAnsiTheme="minorHAnsi" w:cstheme="minorHAnsi"/>
        </w:rPr>
        <w:t xml:space="preserve"> that treated the complete spectrum of </w:t>
      </w:r>
      <w:r w:rsidR="0098725E" w:rsidRPr="00E32178">
        <w:rPr>
          <w:rFonts w:asciiTheme="minorHAnsi" w:hAnsiTheme="minorHAnsi" w:cstheme="minorHAnsi"/>
        </w:rPr>
        <w:t>Cushing’s syndrome (</w:t>
      </w:r>
      <w:r w:rsidR="008B6440" w:rsidRPr="00E32178">
        <w:rPr>
          <w:rFonts w:asciiTheme="minorHAnsi" w:hAnsiTheme="minorHAnsi" w:cstheme="minorHAnsi"/>
        </w:rPr>
        <w:t>CS</w:t>
      </w:r>
      <w:r w:rsidR="0098725E" w:rsidRPr="00E32178">
        <w:rPr>
          <w:rFonts w:asciiTheme="minorHAnsi" w:hAnsiTheme="minorHAnsi" w:cstheme="minorHAnsi"/>
        </w:rPr>
        <w:t>)</w:t>
      </w:r>
      <w:r w:rsidR="008B6440" w:rsidRPr="00E32178">
        <w:rPr>
          <w:rFonts w:asciiTheme="minorHAnsi" w:hAnsiTheme="minorHAnsi" w:cstheme="minorHAnsi"/>
        </w:rPr>
        <w:t xml:space="preserve"> and that provided the complete spectrum of treatment modalities </w:t>
      </w:r>
      <w:r w:rsidR="00155CC5" w:rsidRPr="00E32178">
        <w:rPr>
          <w:rFonts w:asciiTheme="minorHAnsi" w:hAnsiTheme="minorHAnsi" w:cstheme="minorHAnsi"/>
        </w:rPr>
        <w:t xml:space="preserve">for </w:t>
      </w:r>
      <w:r w:rsidR="008B6440" w:rsidRPr="00E32178">
        <w:rPr>
          <w:rFonts w:asciiTheme="minorHAnsi" w:hAnsiTheme="minorHAnsi" w:cstheme="minorHAnsi"/>
        </w:rPr>
        <w:t xml:space="preserve">CS. </w:t>
      </w:r>
    </w:p>
    <w:p w14:paraId="2C315C3E" w14:textId="3BD8DAA4" w:rsidR="008B6440" w:rsidRPr="00E32178" w:rsidRDefault="001132D2" w:rsidP="008B6440">
      <w:pPr>
        <w:pStyle w:val="NoSpacing"/>
        <w:rPr>
          <w:sz w:val="24"/>
          <w:szCs w:val="24"/>
        </w:rPr>
      </w:pPr>
      <w:r>
        <w:rPr>
          <w:noProof/>
        </w:rPr>
        <w:drawing>
          <wp:inline distT="0" distB="0" distL="0" distR="0" wp14:anchorId="0948A424" wp14:editId="3937824D">
            <wp:extent cx="5731510" cy="32277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801D2" w14:textId="1A8AA9A1" w:rsidR="008B6440" w:rsidRPr="00E32178" w:rsidRDefault="008B6440" w:rsidP="008B6440">
      <w:pPr>
        <w:pStyle w:val="NoSpacing"/>
        <w:rPr>
          <w:sz w:val="24"/>
          <w:szCs w:val="24"/>
        </w:rPr>
      </w:pPr>
    </w:p>
    <w:p w14:paraId="4CFA1116" w14:textId="15D4DA10" w:rsidR="00F5606F" w:rsidRPr="00E32178" w:rsidRDefault="00F5606F" w:rsidP="00F5606F">
      <w:p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E32178">
        <w:rPr>
          <w:rFonts w:asciiTheme="minorHAnsi" w:eastAsia="Times New Roman" w:hAnsiTheme="minorHAnsi" w:cstheme="minorHAnsi"/>
          <w:sz w:val="20"/>
          <w:szCs w:val="20"/>
        </w:rPr>
        <w:t xml:space="preserve">Figure </w:t>
      </w:r>
      <w:r w:rsidR="00DE499F">
        <w:rPr>
          <w:rFonts w:asciiTheme="minorHAnsi" w:eastAsia="Times New Roman" w:hAnsiTheme="minorHAnsi" w:cstheme="minorHAnsi"/>
          <w:sz w:val="20"/>
          <w:szCs w:val="20"/>
        </w:rPr>
        <w:t>4</w:t>
      </w:r>
      <w:r w:rsidR="00155CC5" w:rsidRPr="00E32178">
        <w:rPr>
          <w:rFonts w:asciiTheme="minorHAnsi" w:eastAsia="Times New Roman" w:hAnsiTheme="minorHAnsi" w:cstheme="minorHAnsi"/>
          <w:sz w:val="20"/>
          <w:szCs w:val="20"/>
        </w:rPr>
        <w:t>A</w:t>
      </w:r>
      <w:r w:rsidRPr="00E32178">
        <w:rPr>
          <w:rFonts w:asciiTheme="minorHAnsi" w:eastAsia="Times New Roman" w:hAnsiTheme="minorHAnsi" w:cstheme="minorHAnsi"/>
          <w:sz w:val="20"/>
          <w:szCs w:val="20"/>
        </w:rPr>
        <w:t xml:space="preserve">: Overview of </w:t>
      </w:r>
      <w:r w:rsidR="001132D2">
        <w:rPr>
          <w:rFonts w:asciiTheme="minorHAnsi" w:eastAsia="Times New Roman" w:hAnsiTheme="minorHAnsi" w:cstheme="minorHAnsi"/>
          <w:sz w:val="20"/>
          <w:szCs w:val="20"/>
        </w:rPr>
        <w:t>the number of reference centers</w:t>
      </w:r>
      <w:r w:rsidRPr="00E32178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155CC5" w:rsidRPr="00E32178">
        <w:rPr>
          <w:rFonts w:asciiTheme="minorHAnsi" w:eastAsia="Times New Roman" w:hAnsiTheme="minorHAnsi" w:cstheme="minorHAnsi"/>
          <w:sz w:val="20"/>
          <w:szCs w:val="20"/>
        </w:rPr>
        <w:t xml:space="preserve">per </w:t>
      </w:r>
      <w:r w:rsidRPr="00E32178">
        <w:rPr>
          <w:rFonts w:asciiTheme="minorHAnsi" w:eastAsia="Times New Roman" w:hAnsiTheme="minorHAnsi" w:cstheme="minorHAnsi"/>
          <w:sz w:val="20"/>
          <w:szCs w:val="20"/>
        </w:rPr>
        <w:t>countr</w:t>
      </w:r>
      <w:r w:rsidR="00155CC5" w:rsidRPr="00E32178">
        <w:rPr>
          <w:rFonts w:asciiTheme="minorHAnsi" w:eastAsia="Times New Roman" w:hAnsiTheme="minorHAnsi" w:cstheme="minorHAnsi"/>
          <w:sz w:val="20"/>
          <w:szCs w:val="20"/>
        </w:rPr>
        <w:t>y</w:t>
      </w:r>
      <w:r w:rsidRPr="00E32178">
        <w:rPr>
          <w:rFonts w:asciiTheme="minorHAnsi" w:eastAsia="Times New Roman" w:hAnsiTheme="minorHAnsi" w:cstheme="minorHAnsi"/>
          <w:sz w:val="20"/>
          <w:szCs w:val="20"/>
        </w:rPr>
        <w:t xml:space="preserve"> that treated the complete spectrum of C</w:t>
      </w:r>
      <w:r w:rsidR="001132D2">
        <w:rPr>
          <w:rFonts w:asciiTheme="minorHAnsi" w:eastAsia="Times New Roman" w:hAnsiTheme="minorHAnsi" w:cstheme="minorHAnsi"/>
          <w:sz w:val="20"/>
          <w:szCs w:val="20"/>
        </w:rPr>
        <w:t>ushing’s syndrome (CS)</w:t>
      </w:r>
      <w:r w:rsidRPr="00E32178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306E656A" w14:textId="16820B2A" w:rsidR="00F5606F" w:rsidRDefault="00F5606F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5F30FB8" w14:textId="23A640F0" w:rsidR="001132D2" w:rsidRDefault="001132D2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C1601BE" w14:textId="334DA599" w:rsidR="001132D2" w:rsidRDefault="001132D2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3666724" w14:textId="77777777" w:rsidR="001132D2" w:rsidRPr="00E32178" w:rsidRDefault="001132D2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63566FB" w14:textId="77777777" w:rsidR="00F5606F" w:rsidRPr="00E32178" w:rsidRDefault="00F5606F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9BC6C00" w14:textId="02BAE2E2" w:rsidR="00F5606F" w:rsidRPr="00E32178" w:rsidRDefault="001132D2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19D089C" wp14:editId="715C7329">
            <wp:extent cx="5731510" cy="3271520"/>
            <wp:effectExtent l="0" t="0" r="254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F40B" w14:textId="77777777" w:rsidR="00F5606F" w:rsidRPr="00E32178" w:rsidRDefault="00F5606F" w:rsidP="00F560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6AA451B" w14:textId="1C134ACA" w:rsidR="00F5606F" w:rsidRPr="00E32178" w:rsidRDefault="00F5606F" w:rsidP="00F560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</w:rPr>
      </w:pP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Figure </w:t>
      </w:r>
      <w:r w:rsidR="00DE499F">
        <w:rPr>
          <w:rFonts w:asciiTheme="minorHAnsi" w:eastAsia="Times New Roman" w:hAnsiTheme="minorHAnsi" w:cstheme="minorHAnsi"/>
          <w:color w:val="000000"/>
          <w:sz w:val="20"/>
          <w:szCs w:val="20"/>
        </w:rPr>
        <w:t>4</w:t>
      </w:r>
      <w:r w:rsidR="00155CC5"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>B</w:t>
      </w: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: Overview of </w:t>
      </w:r>
      <w:r w:rsidR="001132D2">
        <w:rPr>
          <w:rFonts w:asciiTheme="minorHAnsi" w:eastAsia="Times New Roman" w:hAnsiTheme="minorHAnsi" w:cstheme="minorHAnsi"/>
          <w:color w:val="000000"/>
          <w:sz w:val="20"/>
          <w:szCs w:val="20"/>
        </w:rPr>
        <w:t>the number of reference centers</w:t>
      </w: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</w:t>
      </w:r>
      <w:r w:rsidR="00155CC5"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per </w:t>
      </w: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>countr</w:t>
      </w:r>
      <w:r w:rsidR="00155CC5"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>y</w:t>
      </w: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that provided the complete spectrum of treatment modalities </w:t>
      </w:r>
      <w:r w:rsidR="00155CC5"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for </w:t>
      </w:r>
      <w:r w:rsidRPr="00E32178">
        <w:rPr>
          <w:rFonts w:asciiTheme="minorHAnsi" w:eastAsia="Times New Roman" w:hAnsiTheme="minorHAnsi" w:cstheme="minorHAnsi"/>
          <w:color w:val="000000"/>
          <w:sz w:val="20"/>
          <w:szCs w:val="20"/>
        </w:rPr>
        <w:t>CS (n=36). CS, Cushing’s syndrome</w:t>
      </w:r>
      <w:r w:rsidR="001132D2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. </w:t>
      </w:r>
    </w:p>
    <w:p w14:paraId="3DC1BE44" w14:textId="77777777" w:rsidR="00615E84" w:rsidRDefault="00DE499F"/>
    <w:sectPr w:rsidR="00615E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06F"/>
    <w:rsid w:val="001132D2"/>
    <w:rsid w:val="00155CC5"/>
    <w:rsid w:val="00186CD2"/>
    <w:rsid w:val="0023669E"/>
    <w:rsid w:val="00275A73"/>
    <w:rsid w:val="006413BF"/>
    <w:rsid w:val="00644313"/>
    <w:rsid w:val="0069254F"/>
    <w:rsid w:val="00742A95"/>
    <w:rsid w:val="00767F00"/>
    <w:rsid w:val="00772790"/>
    <w:rsid w:val="008A4B20"/>
    <w:rsid w:val="008A63DC"/>
    <w:rsid w:val="008B6440"/>
    <w:rsid w:val="00930D51"/>
    <w:rsid w:val="0098725E"/>
    <w:rsid w:val="00A46A55"/>
    <w:rsid w:val="00D3207A"/>
    <w:rsid w:val="00D65460"/>
    <w:rsid w:val="00DE499F"/>
    <w:rsid w:val="00E32178"/>
    <w:rsid w:val="00F5606F"/>
    <w:rsid w:val="00FE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D964D"/>
  <w15:chartTrackingRefBased/>
  <w15:docId w15:val="{219959B9-E37F-4A9D-9850-1B8B6746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06F"/>
    <w:rPr>
      <w:rFonts w:ascii="Calibri" w:eastAsia="Calibri" w:hAnsi="Calibri" w:cs="Calibri"/>
      <w:lang w:val="en-US"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606F"/>
    <w:pPr>
      <w:keepNext/>
      <w:keepLines/>
      <w:spacing w:before="280" w:after="80"/>
      <w:outlineLvl w:val="2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5606F"/>
    <w:rPr>
      <w:rFonts w:ascii="Calibri" w:eastAsia="Calibri" w:hAnsi="Calibri" w:cs="Calibri"/>
      <w:b/>
      <w:sz w:val="28"/>
      <w:szCs w:val="28"/>
      <w:lang w:val="en-US" w:eastAsia="nl-NL"/>
    </w:rPr>
  </w:style>
  <w:style w:type="paragraph" w:styleId="NoSpacing">
    <w:name w:val="No Spacing"/>
    <w:uiPriority w:val="1"/>
    <w:qFormat/>
    <w:rsid w:val="008B6440"/>
    <w:pPr>
      <w:spacing w:after="0" w:line="240" w:lineRule="auto"/>
    </w:pPr>
    <w:rPr>
      <w:rFonts w:ascii="Calibri" w:eastAsia="Calibri" w:hAnsi="Calibri" w:cs="Calibri"/>
      <w:lang w:val="en-US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534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Kaya, M. (ENDO)</dc:creator>
  <cp:keywords/>
  <dc:description/>
  <cp:lastModifiedBy>Kaya, M. (ONCO)</cp:lastModifiedBy>
  <cp:revision>3</cp:revision>
  <dcterms:created xsi:type="dcterms:W3CDTF">2021-10-22T19:35:00Z</dcterms:created>
  <dcterms:modified xsi:type="dcterms:W3CDTF">2021-10-22T19:37:00Z</dcterms:modified>
</cp:coreProperties>
</file>