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6059B" w14:textId="6C2433A9" w:rsidR="005E0CD7" w:rsidRDefault="003147E1" w:rsidP="005E0CD7">
      <w:pPr>
        <w:jc w:val="center"/>
        <w:rPr>
          <w:rFonts w:ascii="Arial" w:hAnsi="Arial" w:cs="Arial"/>
          <w:b/>
          <w:bCs/>
          <w:sz w:val="22"/>
          <w:szCs w:val="22"/>
        </w:rPr>
      </w:pPr>
      <w:r>
        <w:rPr>
          <w:rFonts w:ascii="Arial" w:hAnsi="Arial" w:cs="Arial"/>
          <w:b/>
          <w:bCs/>
          <w:sz w:val="22"/>
          <w:szCs w:val="22"/>
        </w:rPr>
        <w:t>SUPPLIMENTARY</w:t>
      </w:r>
      <w:r w:rsidR="005E0CD7">
        <w:rPr>
          <w:rFonts w:ascii="Arial" w:hAnsi="Arial" w:cs="Arial"/>
          <w:b/>
          <w:bCs/>
          <w:sz w:val="22"/>
          <w:szCs w:val="22"/>
        </w:rPr>
        <w:t xml:space="preserve"> INFORMATION</w:t>
      </w:r>
      <w:r w:rsidR="005E0CD7">
        <w:rPr>
          <w:rFonts w:ascii="Arial" w:hAnsi="Arial" w:cs="Arial"/>
          <w:b/>
          <w:bCs/>
          <w:sz w:val="22"/>
          <w:szCs w:val="22"/>
        </w:rPr>
        <w:br/>
      </w:r>
      <w:r w:rsidR="005E0CD7" w:rsidRPr="00D90D6F">
        <w:rPr>
          <w:rFonts w:ascii="Arial" w:hAnsi="Arial" w:cs="Arial"/>
          <w:b/>
          <w:bCs/>
          <w:sz w:val="22"/>
          <w:szCs w:val="22"/>
        </w:rPr>
        <w:t>Surface Directed Flows and Fluidic diodes: Transforming lateral flow assays into multistep diagnostics devices</w:t>
      </w:r>
    </w:p>
    <w:p w14:paraId="0A63A21B" w14:textId="77777777" w:rsidR="005E0CD7" w:rsidRPr="002D52C3" w:rsidRDefault="005E0CD7" w:rsidP="005E0CD7">
      <w:pPr>
        <w:jc w:val="both"/>
        <w:rPr>
          <w:rFonts w:ascii="Arial" w:hAnsi="Arial" w:cs="Arial"/>
          <w:sz w:val="22"/>
          <w:szCs w:val="22"/>
        </w:rPr>
      </w:pPr>
      <w:r w:rsidRPr="002D52C3">
        <w:rPr>
          <w:rFonts w:ascii="Arial" w:hAnsi="Arial" w:cs="Arial"/>
          <w:sz w:val="22"/>
          <w:szCs w:val="22"/>
        </w:rPr>
        <w:t xml:space="preserve">Selina </w:t>
      </w:r>
      <w:proofErr w:type="gramStart"/>
      <w:r w:rsidRPr="002D52C3">
        <w:rPr>
          <w:rFonts w:ascii="Arial" w:hAnsi="Arial" w:cs="Arial"/>
          <w:sz w:val="22"/>
          <w:szCs w:val="22"/>
        </w:rPr>
        <w:t>Cervantes</w:t>
      </w:r>
      <w:r w:rsidRPr="002D52C3">
        <w:rPr>
          <w:rFonts w:ascii="Arial" w:hAnsi="Arial" w:cs="Arial"/>
          <w:sz w:val="22"/>
          <w:szCs w:val="22"/>
          <w:vertAlign w:val="superscript"/>
        </w:rPr>
        <w:t>a</w:t>
      </w:r>
      <w:r w:rsidRPr="002D52C3">
        <w:rPr>
          <w:rFonts w:ascii="Arial" w:hAnsi="Arial" w:cs="Arial"/>
          <w:sz w:val="22"/>
          <w:szCs w:val="22"/>
        </w:rPr>
        <w:t>,  Haydon</w:t>
      </w:r>
      <w:proofErr w:type="gramEnd"/>
      <w:r w:rsidRPr="002D52C3">
        <w:rPr>
          <w:rFonts w:ascii="Arial" w:hAnsi="Arial" w:cs="Arial"/>
          <w:sz w:val="22"/>
          <w:szCs w:val="22"/>
        </w:rPr>
        <w:t xml:space="preserve"> </w:t>
      </w:r>
      <w:proofErr w:type="gramStart"/>
      <w:r w:rsidRPr="002D52C3">
        <w:rPr>
          <w:rFonts w:ascii="Arial" w:hAnsi="Arial" w:cs="Arial"/>
          <w:sz w:val="22"/>
          <w:szCs w:val="22"/>
        </w:rPr>
        <w:t>Hill</w:t>
      </w:r>
      <w:r w:rsidRPr="002D52C3">
        <w:rPr>
          <w:rFonts w:ascii="Arial" w:hAnsi="Arial" w:cs="Arial"/>
          <w:sz w:val="22"/>
          <w:szCs w:val="22"/>
          <w:vertAlign w:val="superscript"/>
        </w:rPr>
        <w:t>b</w:t>
      </w:r>
      <w:r w:rsidRPr="002D52C3">
        <w:rPr>
          <w:rFonts w:ascii="Arial" w:hAnsi="Arial" w:cs="Arial"/>
          <w:sz w:val="22"/>
          <w:szCs w:val="22"/>
        </w:rPr>
        <w:t>,  Jacob</w:t>
      </w:r>
      <w:proofErr w:type="gramEnd"/>
      <w:r w:rsidRPr="002D52C3">
        <w:rPr>
          <w:rFonts w:ascii="Arial" w:hAnsi="Arial" w:cs="Arial"/>
          <w:sz w:val="22"/>
          <w:szCs w:val="22"/>
        </w:rPr>
        <w:t xml:space="preserve"> </w:t>
      </w:r>
      <w:proofErr w:type="gramStart"/>
      <w:r w:rsidRPr="002D52C3">
        <w:rPr>
          <w:rFonts w:ascii="Arial" w:hAnsi="Arial" w:cs="Arial"/>
          <w:sz w:val="22"/>
          <w:szCs w:val="22"/>
        </w:rPr>
        <w:t>Dayton</w:t>
      </w:r>
      <w:r w:rsidRPr="002D52C3">
        <w:rPr>
          <w:rFonts w:ascii="Arial" w:hAnsi="Arial" w:cs="Arial"/>
          <w:sz w:val="22"/>
          <w:szCs w:val="22"/>
          <w:vertAlign w:val="superscript"/>
        </w:rPr>
        <w:t>b</w:t>
      </w:r>
      <w:r w:rsidRPr="002D52C3">
        <w:rPr>
          <w:rFonts w:ascii="Arial" w:hAnsi="Arial" w:cs="Arial"/>
          <w:sz w:val="22"/>
          <w:szCs w:val="22"/>
        </w:rPr>
        <w:t>,  David</w:t>
      </w:r>
      <w:proofErr w:type="gramEnd"/>
      <w:r w:rsidRPr="002D52C3">
        <w:rPr>
          <w:rFonts w:ascii="Arial" w:hAnsi="Arial" w:cs="Arial"/>
          <w:sz w:val="22"/>
          <w:szCs w:val="22"/>
        </w:rPr>
        <w:t xml:space="preserve"> </w:t>
      </w:r>
      <w:proofErr w:type="gramStart"/>
      <w:r w:rsidRPr="002D52C3">
        <w:rPr>
          <w:rFonts w:ascii="Arial" w:hAnsi="Arial" w:cs="Arial"/>
          <w:sz w:val="22"/>
          <w:szCs w:val="22"/>
        </w:rPr>
        <w:t>AuCoin</w:t>
      </w:r>
      <w:r w:rsidRPr="002D52C3">
        <w:rPr>
          <w:rFonts w:ascii="Arial" w:hAnsi="Arial" w:cs="Arial"/>
          <w:sz w:val="22"/>
          <w:szCs w:val="22"/>
          <w:vertAlign w:val="superscript"/>
        </w:rPr>
        <w:t>b</w:t>
      </w:r>
      <w:r w:rsidRPr="002D52C3">
        <w:rPr>
          <w:rFonts w:ascii="Arial" w:hAnsi="Arial" w:cs="Arial"/>
          <w:sz w:val="22"/>
          <w:szCs w:val="22"/>
        </w:rPr>
        <w:t>,  Venumadhav</w:t>
      </w:r>
      <w:proofErr w:type="gramEnd"/>
      <w:r w:rsidRPr="002D52C3">
        <w:rPr>
          <w:rFonts w:ascii="Arial" w:hAnsi="Arial" w:cs="Arial"/>
          <w:sz w:val="22"/>
          <w:szCs w:val="22"/>
        </w:rPr>
        <w:t xml:space="preserve"> </w:t>
      </w:r>
      <w:proofErr w:type="spellStart"/>
      <w:proofErr w:type="gramStart"/>
      <w:r w:rsidRPr="002D52C3">
        <w:rPr>
          <w:rFonts w:ascii="Arial" w:hAnsi="Arial" w:cs="Arial"/>
          <w:sz w:val="22"/>
          <w:szCs w:val="22"/>
        </w:rPr>
        <w:t>Korampally</w:t>
      </w:r>
      <w:r w:rsidRPr="002D52C3">
        <w:rPr>
          <w:rFonts w:ascii="Arial" w:hAnsi="Arial" w:cs="Arial"/>
          <w:sz w:val="22"/>
          <w:szCs w:val="22"/>
          <w:vertAlign w:val="superscript"/>
        </w:rPr>
        <w:t>a</w:t>
      </w:r>
      <w:proofErr w:type="spellEnd"/>
      <w:r w:rsidRPr="002D52C3">
        <w:rPr>
          <w:rFonts w:ascii="Arial" w:hAnsi="Arial" w:cs="Arial"/>
          <w:sz w:val="22"/>
          <w:szCs w:val="22"/>
          <w:vertAlign w:val="superscript"/>
        </w:rPr>
        <w:t>,*</w:t>
      </w:r>
      <w:proofErr w:type="gramEnd"/>
    </w:p>
    <w:p w14:paraId="2B4E8CB3" w14:textId="77777777" w:rsidR="005E0CD7" w:rsidRPr="002D52C3" w:rsidRDefault="005E0CD7" w:rsidP="005E0CD7">
      <w:pPr>
        <w:jc w:val="both"/>
        <w:rPr>
          <w:rFonts w:ascii="Arial" w:hAnsi="Arial" w:cs="Arial"/>
          <w:sz w:val="22"/>
          <w:szCs w:val="22"/>
        </w:rPr>
      </w:pPr>
    </w:p>
    <w:p w14:paraId="7F786CEA" w14:textId="77777777" w:rsidR="005E0CD7" w:rsidRPr="002D52C3" w:rsidRDefault="005E0CD7" w:rsidP="005E0CD7">
      <w:pPr>
        <w:jc w:val="both"/>
        <w:rPr>
          <w:rFonts w:ascii="Arial" w:hAnsi="Arial" w:cs="Arial"/>
          <w:sz w:val="22"/>
          <w:szCs w:val="22"/>
        </w:rPr>
      </w:pPr>
      <w:r w:rsidRPr="002D52C3">
        <w:rPr>
          <w:rFonts w:ascii="Arial" w:hAnsi="Arial" w:cs="Arial"/>
          <w:sz w:val="22"/>
          <w:szCs w:val="22"/>
          <w:vertAlign w:val="superscript"/>
        </w:rPr>
        <w:t>a</w:t>
      </w:r>
      <w:r w:rsidRPr="002D52C3">
        <w:rPr>
          <w:rFonts w:ascii="Arial" w:hAnsi="Arial" w:cs="Arial"/>
          <w:sz w:val="22"/>
          <w:szCs w:val="22"/>
        </w:rPr>
        <w:t xml:space="preserve"> Department of Electrical Engineering, Northern Illinois University, DeKalb, Illinois, USA</w:t>
      </w:r>
    </w:p>
    <w:p w14:paraId="7F15B8AA" w14:textId="7F5A5E65" w:rsidR="005E0CD7" w:rsidRDefault="005E0CD7" w:rsidP="005E0CD7">
      <w:pPr>
        <w:jc w:val="both"/>
        <w:rPr>
          <w:rFonts w:ascii="Arial" w:hAnsi="Arial" w:cs="Arial"/>
          <w:sz w:val="22"/>
          <w:szCs w:val="22"/>
        </w:rPr>
      </w:pPr>
      <w:r w:rsidRPr="002D52C3">
        <w:rPr>
          <w:rFonts w:ascii="Arial" w:hAnsi="Arial" w:cs="Arial"/>
          <w:sz w:val="22"/>
          <w:szCs w:val="22"/>
          <w:vertAlign w:val="superscript"/>
        </w:rPr>
        <w:t>b</w:t>
      </w:r>
      <w:r w:rsidRPr="002D52C3">
        <w:rPr>
          <w:rFonts w:ascii="Arial" w:hAnsi="Arial" w:cs="Arial"/>
          <w:sz w:val="22"/>
          <w:szCs w:val="22"/>
        </w:rPr>
        <w:t xml:space="preserve"> Department of Microbiology and Immunology, University of Nevada, Reno, Nevada, USA</w:t>
      </w:r>
    </w:p>
    <w:p w14:paraId="78770ED1" w14:textId="77777777" w:rsidR="005E0CD7" w:rsidRDefault="005E0CD7" w:rsidP="005E0CD7">
      <w:pPr>
        <w:jc w:val="both"/>
        <w:rPr>
          <w:rFonts w:ascii="Arial" w:hAnsi="Arial" w:cs="Arial"/>
          <w:sz w:val="22"/>
          <w:szCs w:val="22"/>
        </w:rPr>
      </w:pPr>
    </w:p>
    <w:p w14:paraId="77A993E1" w14:textId="19EF9D04" w:rsidR="005E0CD7" w:rsidRDefault="003147E1" w:rsidP="005E0CD7">
      <w:pPr>
        <w:jc w:val="both"/>
        <w:rPr>
          <w:rFonts w:ascii="Arial" w:hAnsi="Arial" w:cs="Arial"/>
          <w:b/>
          <w:bCs/>
          <w:sz w:val="22"/>
          <w:szCs w:val="22"/>
        </w:rPr>
      </w:pPr>
      <w:r w:rsidRPr="003147E1">
        <w:rPr>
          <w:rFonts w:ascii="Arial" w:hAnsi="Arial" w:cs="Arial"/>
          <w:b/>
          <w:bCs/>
          <w:sz w:val="22"/>
          <w:szCs w:val="22"/>
        </w:rPr>
        <w:t xml:space="preserve">Cassette Design and Fabrication for housing the fluidic diode </w:t>
      </w:r>
      <w:proofErr w:type="gramStart"/>
      <w:r w:rsidRPr="003147E1">
        <w:rPr>
          <w:rFonts w:ascii="Arial" w:hAnsi="Arial" w:cs="Arial"/>
          <w:b/>
          <w:bCs/>
          <w:sz w:val="22"/>
          <w:szCs w:val="22"/>
        </w:rPr>
        <w:t>integrated</w:t>
      </w:r>
      <w:proofErr w:type="gramEnd"/>
      <w:r w:rsidRPr="003147E1">
        <w:rPr>
          <w:rFonts w:ascii="Arial" w:hAnsi="Arial" w:cs="Arial"/>
          <w:b/>
          <w:bCs/>
          <w:sz w:val="22"/>
          <w:szCs w:val="22"/>
        </w:rPr>
        <w:t xml:space="preserve"> two stage LFA:</w:t>
      </w:r>
    </w:p>
    <w:p w14:paraId="51D4472D" w14:textId="5BA02C78" w:rsidR="003147E1" w:rsidRPr="003147E1" w:rsidRDefault="003147E1" w:rsidP="003147E1">
      <w:pPr>
        <w:jc w:val="both"/>
        <w:rPr>
          <w:rFonts w:ascii="Arial" w:hAnsi="Arial" w:cs="Arial"/>
          <w:sz w:val="22"/>
          <w:szCs w:val="22"/>
        </w:rPr>
      </w:pPr>
      <w:r>
        <w:rPr>
          <w:rFonts w:ascii="Arial" w:hAnsi="Arial" w:cs="Arial"/>
          <w:sz w:val="22"/>
          <w:szCs w:val="22"/>
        </w:rPr>
        <w:t xml:space="preserve">A </w:t>
      </w:r>
      <w:r w:rsidRPr="003147E1">
        <w:rPr>
          <w:rFonts w:ascii="Arial" w:hAnsi="Arial" w:cs="Arial"/>
          <w:sz w:val="22"/>
          <w:szCs w:val="22"/>
        </w:rPr>
        <w:t xml:space="preserve">custom cassette was designed for the SARS-CoV-2 fluidic diode-integrated LFA device using Autodesk Fusion 360 computer-aided design software. Figure </w:t>
      </w:r>
      <w:r>
        <w:rPr>
          <w:rFonts w:ascii="Arial" w:hAnsi="Arial" w:cs="Arial"/>
          <w:sz w:val="22"/>
          <w:szCs w:val="22"/>
        </w:rPr>
        <w:t>S1</w:t>
      </w:r>
      <w:r w:rsidRPr="003147E1">
        <w:rPr>
          <w:rFonts w:ascii="Arial" w:hAnsi="Arial" w:cs="Arial"/>
          <w:sz w:val="22"/>
          <w:szCs w:val="22"/>
        </w:rPr>
        <w:t xml:space="preserve"> shows the rendered schematic of the cassette design together with the assembled device. </w:t>
      </w:r>
    </w:p>
    <w:p w14:paraId="57BB6F79" w14:textId="3AAB3BC8" w:rsidR="003147E1" w:rsidRPr="003147E1" w:rsidRDefault="003147E1" w:rsidP="003147E1">
      <w:pPr>
        <w:jc w:val="both"/>
        <w:rPr>
          <w:rFonts w:ascii="Arial" w:hAnsi="Arial" w:cs="Arial"/>
          <w:sz w:val="22"/>
          <w:szCs w:val="22"/>
        </w:rPr>
      </w:pPr>
      <w:r w:rsidRPr="003147E1">
        <w:rPr>
          <w:rFonts w:ascii="Arial" w:hAnsi="Arial" w:cs="Arial"/>
          <w:sz w:val="22"/>
          <w:szCs w:val="22"/>
        </w:rPr>
        <w:t>The cassette was designed to house the complete cascaded fluidic diode assembly and the LFA strip within a single enclosure, with individual fluid application ports positioned directly above each source pad of the cascaded diode assembly. It is worth noting that a particularly important design consideration for the cassette was the prevention of fluid overflow from the application ports into the interior of the cassette and onto adjacent device components. Uncontrolled overflow of applied fluid would compromise the sequential reagent delivery scheme by introducing cross-contamination between reagent zones and disrupting the timed flow sequence enforced by the cascaded diode architecture. To mitigate this, each fluid application port was designed with internal press-down stop features consisting of 4 mm × 0.7 mm rectangular protrusions positioned at the front and back of each reservoir on the interior surface of the top case.  </w:t>
      </w:r>
    </w:p>
    <w:p w14:paraId="4CB064E6" w14:textId="56214D68" w:rsidR="003147E1" w:rsidRPr="003147E1" w:rsidRDefault="003147E1" w:rsidP="003147E1">
      <w:pPr>
        <w:jc w:val="both"/>
        <w:rPr>
          <w:rFonts w:ascii="Arial" w:hAnsi="Arial" w:cs="Arial"/>
          <w:sz w:val="22"/>
          <w:szCs w:val="22"/>
        </w:rPr>
      </w:pPr>
      <w:r w:rsidRPr="003147E1">
        <w:rPr>
          <w:rFonts w:ascii="Arial" w:hAnsi="Arial" w:cs="Arial"/>
          <w:sz w:val="22"/>
          <w:szCs w:val="22"/>
        </w:rPr>
        <w:t xml:space="preserve">For the sample reservoir, two rectangular stops were placed in front of the reservoir and brought down 3.69 mm from the underside of the top case to press the transfer conjugate down enough to maintain fluid flow while also helping prevent overflow, since this sample port was very close to the nitrocellulose membrane. For the buffer reservoir, the stops were 3.29 mm high to control and mitigate fluid coming from the gold conjugate area, with an additional stop placed downstream over the Mylar on the gold conjugate pad, 3.32 mm from the bottom of the top case. These features regulate fluid behavior preventing fluid contact with the Mylar </w:t>
      </w:r>
      <w:proofErr w:type="gramStart"/>
      <w:r w:rsidRPr="003147E1">
        <w:rPr>
          <w:rFonts w:ascii="Arial" w:hAnsi="Arial" w:cs="Arial"/>
          <w:sz w:val="22"/>
          <w:szCs w:val="22"/>
        </w:rPr>
        <w:t>surface, and</w:t>
      </w:r>
      <w:proofErr w:type="gramEnd"/>
      <w:r w:rsidRPr="003147E1">
        <w:rPr>
          <w:rFonts w:ascii="Arial" w:hAnsi="Arial" w:cs="Arial"/>
          <w:sz w:val="22"/>
          <w:szCs w:val="22"/>
        </w:rPr>
        <w:t xml:space="preserve"> enforcing channel-directed flow through the device.  </w:t>
      </w:r>
    </w:p>
    <w:p w14:paraId="261BB3A2" w14:textId="56A3823F" w:rsidR="003147E1" w:rsidRPr="003147E1" w:rsidRDefault="003147E1" w:rsidP="003147E1">
      <w:pPr>
        <w:jc w:val="both"/>
        <w:rPr>
          <w:rFonts w:ascii="Arial" w:hAnsi="Arial" w:cs="Arial"/>
          <w:sz w:val="22"/>
          <w:szCs w:val="22"/>
        </w:rPr>
      </w:pPr>
      <w:r w:rsidRPr="003147E1">
        <w:rPr>
          <w:rFonts w:ascii="Arial" w:hAnsi="Arial" w:cs="Arial"/>
          <w:sz w:val="22"/>
          <w:szCs w:val="22"/>
        </w:rPr>
        <w:t xml:space="preserve">The port geometry consists of a lofted reservoir transitioning from a 3 mm × 2 mm opening at the conjugate pad to a 4 mm × 5 mm upper opening for the sample delivery port, and from a 3 mm × 7 mm opening to a 5 mm × 9 mm upper opening for the buffer delivery port, each with a taper height of 4.6 mm. Both reservoirs include filleted internal corners to reduce sharp features, with a fillet radius of 0.5 mm for the sample port and 1 mm for the buffer port. </w:t>
      </w:r>
    </w:p>
    <w:p w14:paraId="0FC70CCB" w14:textId="2E40165E" w:rsidR="003147E1" w:rsidRDefault="003147E1" w:rsidP="003147E1">
      <w:pPr>
        <w:jc w:val="both"/>
        <w:rPr>
          <w:rFonts w:ascii="Arial" w:hAnsi="Arial" w:cs="Arial"/>
          <w:sz w:val="22"/>
          <w:szCs w:val="22"/>
        </w:rPr>
      </w:pPr>
      <w:r w:rsidRPr="003147E1">
        <w:rPr>
          <w:rFonts w:ascii="Arial" w:hAnsi="Arial" w:cs="Arial"/>
          <w:sz w:val="22"/>
          <w:szCs w:val="22"/>
        </w:rPr>
        <w:t xml:space="preserve">The cassette also incorporated a viewing window positioned over the test and control line regions of the nitrocellulose membrane to permit visual readout of the assay result without requiring disassembly of the device. Overall cassette outer dimensions were </w:t>
      </w:r>
      <w:r w:rsidRPr="003147E1">
        <w:rPr>
          <w:rFonts w:ascii="Arial" w:hAnsi="Arial" w:cs="Arial"/>
          <w:sz w:val="22"/>
          <w:szCs w:val="22"/>
          <w:u w:val="single"/>
        </w:rPr>
        <w:t xml:space="preserve">80 </w:t>
      </w:r>
      <w:r w:rsidRPr="003147E1">
        <w:rPr>
          <w:rFonts w:ascii="Arial" w:hAnsi="Arial" w:cs="Arial"/>
          <w:sz w:val="22"/>
          <w:szCs w:val="22"/>
        </w:rPr>
        <w:t xml:space="preserve">mm × </w:t>
      </w:r>
      <w:r w:rsidRPr="003147E1">
        <w:rPr>
          <w:rFonts w:ascii="Arial" w:hAnsi="Arial" w:cs="Arial"/>
          <w:sz w:val="22"/>
          <w:szCs w:val="22"/>
          <w:u w:val="single"/>
        </w:rPr>
        <w:t xml:space="preserve">16 </w:t>
      </w:r>
      <w:r w:rsidRPr="003147E1">
        <w:rPr>
          <w:rFonts w:ascii="Arial" w:hAnsi="Arial" w:cs="Arial"/>
          <w:sz w:val="22"/>
          <w:szCs w:val="22"/>
        </w:rPr>
        <w:t xml:space="preserve">mm × </w:t>
      </w:r>
      <w:r w:rsidRPr="003147E1">
        <w:rPr>
          <w:rFonts w:ascii="Arial" w:hAnsi="Arial" w:cs="Arial"/>
          <w:sz w:val="22"/>
          <w:szCs w:val="22"/>
          <w:u w:val="single"/>
        </w:rPr>
        <w:t xml:space="preserve">6.85 </w:t>
      </w:r>
      <w:r w:rsidRPr="003147E1">
        <w:rPr>
          <w:rFonts w:ascii="Arial" w:hAnsi="Arial" w:cs="Arial"/>
          <w:sz w:val="22"/>
          <w:szCs w:val="22"/>
        </w:rPr>
        <w:t xml:space="preserve">mm. </w:t>
      </w:r>
      <w:r w:rsidRPr="003147E1">
        <w:rPr>
          <w:rFonts w:ascii="Arial" w:hAnsi="Arial" w:cs="Arial"/>
          <w:sz w:val="22"/>
          <w:szCs w:val="22"/>
        </w:rPr>
        <w:lastRenderedPageBreak/>
        <w:t xml:space="preserve">The cassette design files were exported from Fusion 360 as STL 3MF files and fabricated through fused deposition modelling (FDM) 3D printing using a Bambu Lab X1 Carbon 3D printer </w:t>
      </w:r>
      <w:proofErr w:type="gramStart"/>
      <w:r w:rsidRPr="003147E1">
        <w:rPr>
          <w:rFonts w:ascii="Arial" w:hAnsi="Arial" w:cs="Arial"/>
          <w:sz w:val="22"/>
          <w:szCs w:val="22"/>
        </w:rPr>
        <w:t>( Bambu</w:t>
      </w:r>
      <w:proofErr w:type="gramEnd"/>
      <w:r w:rsidRPr="003147E1">
        <w:rPr>
          <w:rFonts w:ascii="Arial" w:hAnsi="Arial" w:cs="Arial"/>
          <w:sz w:val="22"/>
          <w:szCs w:val="22"/>
        </w:rPr>
        <w:t xml:space="preserve"> Studio software) with PLA filament at a layer resolution of 400 </w:t>
      </w:r>
      <w:proofErr w:type="spellStart"/>
      <w:r w:rsidRPr="003147E1">
        <w:rPr>
          <w:rFonts w:ascii="Arial" w:hAnsi="Arial" w:cs="Arial"/>
          <w:sz w:val="22"/>
          <w:szCs w:val="22"/>
        </w:rPr>
        <w:t>μm</w:t>
      </w:r>
      <w:proofErr w:type="spellEnd"/>
      <w:r w:rsidRPr="003147E1">
        <w:rPr>
          <w:rFonts w:ascii="Arial" w:hAnsi="Arial" w:cs="Arial"/>
          <w:sz w:val="22"/>
          <w:szCs w:val="22"/>
        </w:rPr>
        <w:t>. Following printing, cassette parts were inspected for dimensional accuracy and surface finish and lightly sanded at the mating surfaces as needed to ensure proper seating of the device components within the cassette interior. </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C51792" w14:paraId="55D12C6A" w14:textId="77777777" w:rsidTr="00C51792">
        <w:trPr>
          <w:trHeight w:val="6345"/>
        </w:trPr>
        <w:tc>
          <w:tcPr>
            <w:tcW w:w="9606" w:type="dxa"/>
          </w:tcPr>
          <w:p w14:paraId="722EEB74" w14:textId="77777777" w:rsidR="00C51792" w:rsidRDefault="00C51792" w:rsidP="003147E1">
            <w:pPr>
              <w:jc w:val="both"/>
              <w:rPr>
                <w:rFonts w:ascii="Arial" w:hAnsi="Arial" w:cs="Arial"/>
                <w:sz w:val="22"/>
                <w:szCs w:val="22"/>
              </w:rPr>
            </w:pPr>
            <w:r>
              <w:rPr>
                <w:rStyle w:val="wacimagecontainer"/>
                <w:rFonts w:ascii="Segoe UI" w:hAnsi="Segoe UI" w:cs="Segoe UI"/>
                <w:noProof/>
                <w:color w:val="D13438"/>
                <w:sz w:val="18"/>
                <w:szCs w:val="18"/>
                <w:u w:val="single"/>
                <w:shd w:val="clear" w:color="auto" w:fill="FFFFFF"/>
              </w:rPr>
              <w:drawing>
                <wp:inline distT="0" distB="0" distL="0" distR="0" wp14:anchorId="7DC8EAAD" wp14:editId="4BF2A25B">
                  <wp:extent cx="5943600" cy="2776855"/>
                  <wp:effectExtent l="0" t="0" r="0" b="4445"/>
                  <wp:docPr id="1861316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776855"/>
                          </a:xfrm>
                          <a:prstGeom prst="rect">
                            <a:avLst/>
                          </a:prstGeom>
                          <a:noFill/>
                          <a:ln>
                            <a:noFill/>
                          </a:ln>
                        </pic:spPr>
                      </pic:pic>
                    </a:graphicData>
                  </a:graphic>
                </wp:inline>
              </w:drawing>
            </w:r>
          </w:p>
          <w:p w14:paraId="1558D210" w14:textId="77777777" w:rsidR="00C51792" w:rsidRDefault="00C51792" w:rsidP="003147E1">
            <w:pPr>
              <w:jc w:val="both"/>
              <w:rPr>
                <w:rFonts w:ascii="Arial" w:hAnsi="Arial" w:cs="Arial"/>
                <w:sz w:val="22"/>
                <w:szCs w:val="22"/>
              </w:rPr>
            </w:pPr>
          </w:p>
          <w:p w14:paraId="6812984E" w14:textId="77777777" w:rsidR="00C51792" w:rsidRDefault="00C51792" w:rsidP="003147E1">
            <w:pPr>
              <w:jc w:val="both"/>
              <w:rPr>
                <w:rFonts w:ascii="Arial" w:hAnsi="Arial" w:cs="Arial"/>
                <w:sz w:val="22"/>
                <w:szCs w:val="22"/>
              </w:rPr>
            </w:pPr>
            <w:r>
              <w:rPr>
                <w:rStyle w:val="wacimagecontainer"/>
                <w:rFonts w:ascii="Segoe UI" w:hAnsi="Segoe UI" w:cs="Segoe UI"/>
                <w:noProof/>
                <w:color w:val="D13438"/>
                <w:sz w:val="18"/>
                <w:szCs w:val="18"/>
                <w:u w:val="single"/>
                <w:shd w:val="clear" w:color="auto" w:fill="FFFFFF"/>
              </w:rPr>
              <w:drawing>
                <wp:inline distT="0" distB="0" distL="0" distR="0" wp14:anchorId="495F3B03" wp14:editId="2BEAC8B4">
                  <wp:extent cx="5870418" cy="2183219"/>
                  <wp:effectExtent l="0" t="0" r="0" b="7620"/>
                  <wp:docPr id="149512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5054" cy="2188662"/>
                          </a:xfrm>
                          <a:prstGeom prst="rect">
                            <a:avLst/>
                          </a:prstGeom>
                          <a:noFill/>
                          <a:ln>
                            <a:noFill/>
                          </a:ln>
                        </pic:spPr>
                      </pic:pic>
                    </a:graphicData>
                  </a:graphic>
                </wp:inline>
              </w:drawing>
            </w:r>
          </w:p>
          <w:p w14:paraId="7107DDB4" w14:textId="514BE303" w:rsidR="00C51792" w:rsidRDefault="00C51792" w:rsidP="003147E1">
            <w:pPr>
              <w:jc w:val="both"/>
              <w:rPr>
                <w:rFonts w:ascii="Arial" w:hAnsi="Arial" w:cs="Arial"/>
                <w:sz w:val="22"/>
                <w:szCs w:val="22"/>
              </w:rPr>
            </w:pPr>
            <w:r>
              <w:rPr>
                <w:rFonts w:ascii="Arial" w:hAnsi="Arial" w:cs="Arial"/>
                <w:sz w:val="22"/>
                <w:szCs w:val="22"/>
              </w:rPr>
              <w:t xml:space="preserve">Figure S1: Schematic illustration of the cassette design for housing the fluidic diode </w:t>
            </w:r>
            <w:proofErr w:type="gramStart"/>
            <w:r>
              <w:rPr>
                <w:rFonts w:ascii="Arial" w:hAnsi="Arial" w:cs="Arial"/>
                <w:sz w:val="22"/>
                <w:szCs w:val="22"/>
              </w:rPr>
              <w:t>integrated</w:t>
            </w:r>
            <w:proofErr w:type="gramEnd"/>
            <w:r>
              <w:rPr>
                <w:rFonts w:ascii="Arial" w:hAnsi="Arial" w:cs="Arial"/>
                <w:sz w:val="22"/>
                <w:szCs w:val="22"/>
              </w:rPr>
              <w:t xml:space="preserve"> two stage LFA. </w:t>
            </w:r>
          </w:p>
        </w:tc>
      </w:tr>
    </w:tbl>
    <w:p w14:paraId="22F7C3DF" w14:textId="77777777" w:rsidR="00C51792" w:rsidRDefault="00C51792" w:rsidP="003147E1">
      <w:pPr>
        <w:jc w:val="both"/>
        <w:rPr>
          <w:rFonts w:ascii="Arial" w:hAnsi="Arial" w:cs="Arial"/>
          <w:sz w:val="22"/>
          <w:szCs w:val="22"/>
        </w:rPr>
      </w:pPr>
    </w:p>
    <w:p w14:paraId="691C41D9" w14:textId="77777777" w:rsidR="00C51792" w:rsidRDefault="00C51792" w:rsidP="003147E1">
      <w:pPr>
        <w:jc w:val="both"/>
        <w:rPr>
          <w:rFonts w:ascii="Arial" w:hAnsi="Arial" w:cs="Arial"/>
          <w:sz w:val="22"/>
          <w:szCs w:val="22"/>
        </w:rPr>
      </w:pPr>
    </w:p>
    <w:p w14:paraId="05589D98" w14:textId="77777777" w:rsidR="007B53F1" w:rsidRDefault="007B53F1" w:rsidP="003147E1">
      <w:pPr>
        <w:jc w:val="both"/>
        <w:rPr>
          <w:rFonts w:ascii="Arial" w:hAnsi="Arial" w:cs="Arial"/>
          <w:sz w:val="22"/>
          <w:szCs w:val="22"/>
        </w:rPr>
      </w:pPr>
    </w:p>
    <w:p w14:paraId="7F0479EA" w14:textId="77777777" w:rsidR="007B53F1" w:rsidRDefault="007B53F1" w:rsidP="003147E1">
      <w:pPr>
        <w:jc w:val="both"/>
        <w:rPr>
          <w:rFonts w:ascii="Arial" w:hAnsi="Arial" w:cs="Arial"/>
          <w:sz w:val="22"/>
          <w:szCs w:val="22"/>
        </w:rPr>
      </w:pPr>
    </w:p>
    <w:p w14:paraId="6E254923" w14:textId="77777777" w:rsidR="007B53F1" w:rsidRDefault="007B53F1" w:rsidP="003147E1">
      <w:pPr>
        <w:jc w:val="both"/>
        <w:rPr>
          <w:rFonts w:ascii="Arial" w:hAnsi="Arial" w:cs="Arial"/>
          <w:sz w:val="22"/>
          <w:szCs w:val="22"/>
        </w:rPr>
      </w:pPr>
    </w:p>
    <w:p w14:paraId="1E0E8A1E" w14:textId="5C1651A4" w:rsidR="00C51792" w:rsidRDefault="007B53F1" w:rsidP="003147E1">
      <w:pPr>
        <w:jc w:val="both"/>
        <w:rPr>
          <w:rFonts w:ascii="Arial" w:hAnsi="Arial" w:cs="Arial"/>
          <w:b/>
          <w:bCs/>
          <w:sz w:val="22"/>
          <w:szCs w:val="22"/>
        </w:rPr>
      </w:pPr>
      <w:r w:rsidRPr="007B53F1">
        <w:rPr>
          <w:rFonts w:ascii="Arial" w:hAnsi="Arial" w:cs="Arial"/>
          <w:b/>
          <w:bCs/>
          <w:sz w:val="22"/>
          <w:szCs w:val="22"/>
        </w:rPr>
        <w:lastRenderedPageBreak/>
        <w:t xml:space="preserve">Image J analysis of the </w:t>
      </w:r>
      <w:proofErr w:type="gramStart"/>
      <w:r w:rsidRPr="007B53F1">
        <w:rPr>
          <w:rFonts w:ascii="Arial" w:hAnsi="Arial" w:cs="Arial"/>
          <w:b/>
          <w:bCs/>
          <w:sz w:val="22"/>
          <w:szCs w:val="22"/>
        </w:rPr>
        <w:t>Gray</w:t>
      </w:r>
      <w:proofErr w:type="gramEnd"/>
      <w:r w:rsidRPr="007B53F1">
        <w:rPr>
          <w:rFonts w:ascii="Arial" w:hAnsi="Arial" w:cs="Arial"/>
          <w:b/>
          <w:bCs/>
          <w:sz w:val="22"/>
          <w:szCs w:val="22"/>
        </w:rPr>
        <w:t xml:space="preserve"> scale values of the test results</w:t>
      </w:r>
    </w:p>
    <w:p w14:paraId="3DCE3A2E" w14:textId="455032C2" w:rsidR="007B53F1" w:rsidRDefault="007B53F1" w:rsidP="003147E1">
      <w:pPr>
        <w:jc w:val="both"/>
        <w:rPr>
          <w:rFonts w:ascii="Arial" w:hAnsi="Arial" w:cs="Arial"/>
          <w:sz w:val="22"/>
          <w:szCs w:val="22"/>
        </w:rPr>
      </w:pPr>
      <w:r>
        <w:rPr>
          <w:rFonts w:ascii="Arial" w:hAnsi="Arial" w:cs="Arial"/>
          <w:sz w:val="22"/>
          <w:szCs w:val="22"/>
        </w:rPr>
        <w:t xml:space="preserve">Figure S2 shows the image J analysis of the test results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9"/>
      </w:tblGrid>
      <w:tr w:rsidR="007B53F1" w14:paraId="0953BD0D" w14:textId="77777777" w:rsidTr="007B53F1">
        <w:trPr>
          <w:trHeight w:val="3300"/>
        </w:trPr>
        <w:tc>
          <w:tcPr>
            <w:tcW w:w="9239" w:type="dxa"/>
          </w:tcPr>
          <w:p w14:paraId="01322F13" w14:textId="77777777" w:rsidR="007B53F1" w:rsidRDefault="007B53F1" w:rsidP="003147E1">
            <w:pPr>
              <w:jc w:val="both"/>
              <w:rPr>
                <w:rFonts w:ascii="Arial" w:hAnsi="Arial" w:cs="Arial"/>
                <w:sz w:val="22"/>
                <w:szCs w:val="22"/>
              </w:rPr>
            </w:pPr>
          </w:p>
          <w:p w14:paraId="2965E761" w14:textId="77777777" w:rsidR="007B53F1" w:rsidRDefault="007B53F1" w:rsidP="003147E1">
            <w:pPr>
              <w:jc w:val="both"/>
              <w:rPr>
                <w:rFonts w:ascii="Arial" w:hAnsi="Arial" w:cs="Arial"/>
                <w:sz w:val="22"/>
                <w:szCs w:val="22"/>
              </w:rPr>
            </w:pPr>
            <w:r>
              <w:rPr>
                <w:rFonts w:ascii="Arial" w:hAnsi="Arial" w:cs="Arial"/>
                <w:noProof/>
                <w:sz w:val="22"/>
                <w:szCs w:val="22"/>
              </w:rPr>
              <w:drawing>
                <wp:inline distT="0" distB="0" distL="0" distR="0" wp14:anchorId="1318DD3B" wp14:editId="6D197B4B">
                  <wp:extent cx="5520362" cy="2589734"/>
                  <wp:effectExtent l="0" t="0" r="4445" b="1270"/>
                  <wp:docPr id="7616451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45153" name="Picture 7616451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50668" cy="2603951"/>
                          </a:xfrm>
                          <a:prstGeom prst="rect">
                            <a:avLst/>
                          </a:prstGeom>
                        </pic:spPr>
                      </pic:pic>
                    </a:graphicData>
                  </a:graphic>
                </wp:inline>
              </w:drawing>
            </w:r>
          </w:p>
          <w:p w14:paraId="1FF0301E" w14:textId="77777777" w:rsidR="007B53F1" w:rsidRDefault="007B53F1" w:rsidP="003147E1">
            <w:pPr>
              <w:jc w:val="both"/>
              <w:rPr>
                <w:rFonts w:ascii="Arial" w:hAnsi="Arial" w:cs="Arial"/>
                <w:sz w:val="22"/>
                <w:szCs w:val="22"/>
              </w:rPr>
            </w:pPr>
          </w:p>
          <w:p w14:paraId="3B1E0287" w14:textId="35CD171E" w:rsidR="007B53F1" w:rsidRDefault="007B53F1" w:rsidP="007B53F1">
            <w:pPr>
              <w:spacing w:after="160" w:line="278" w:lineRule="auto"/>
              <w:jc w:val="both"/>
              <w:rPr>
                <w:rFonts w:ascii="Arial" w:hAnsi="Arial" w:cs="Arial"/>
                <w:sz w:val="22"/>
                <w:szCs w:val="22"/>
              </w:rPr>
            </w:pPr>
            <w:r w:rsidRPr="007B53F1">
              <w:rPr>
                <w:rFonts w:ascii="Arial" w:hAnsi="Arial" w:cs="Arial"/>
                <w:sz w:val="22"/>
                <w:szCs w:val="22"/>
              </w:rPr>
              <w:t xml:space="preserve">Figure S2: </w:t>
            </w:r>
            <w:r>
              <w:rPr>
                <w:rFonts w:ascii="Arial" w:hAnsi="Arial" w:cs="Arial"/>
                <w:sz w:val="22"/>
                <w:szCs w:val="22"/>
              </w:rPr>
              <w:t>D</w:t>
            </w:r>
            <w:r w:rsidRPr="007B53F1">
              <w:rPr>
                <w:rFonts w:ascii="Arial" w:hAnsi="Arial" w:cs="Arial"/>
                <w:sz w:val="22"/>
                <w:szCs w:val="22"/>
              </w:rPr>
              <w:t xml:space="preserve">ensitometric analysis of the </w:t>
            </w:r>
            <w:r w:rsidRPr="00A97D33">
              <w:rPr>
                <w:rFonts w:ascii="Arial" w:hAnsi="Arial" w:cs="Arial"/>
                <w:sz w:val="20"/>
                <w:szCs w:val="20"/>
              </w:rPr>
              <w:t xml:space="preserve">SARS-CoV-2 </w:t>
            </w:r>
            <w:r w:rsidRPr="007B53F1">
              <w:rPr>
                <w:rFonts w:ascii="Arial" w:hAnsi="Arial" w:cs="Arial"/>
                <w:sz w:val="22"/>
                <w:szCs w:val="22"/>
              </w:rPr>
              <w:t>test line gray value profiles</w:t>
            </w:r>
            <w:r>
              <w:rPr>
                <w:rFonts w:ascii="Arial" w:hAnsi="Arial" w:cs="Arial"/>
                <w:sz w:val="22"/>
                <w:szCs w:val="22"/>
              </w:rPr>
              <w:t xml:space="preserve"> for a) Two stage LFA and b) Conventional LFA</w:t>
            </w:r>
          </w:p>
        </w:tc>
      </w:tr>
    </w:tbl>
    <w:p w14:paraId="1F9F05B9" w14:textId="77777777" w:rsidR="007B53F1" w:rsidRPr="007B53F1" w:rsidRDefault="007B53F1" w:rsidP="003147E1">
      <w:pPr>
        <w:jc w:val="both"/>
        <w:rPr>
          <w:rFonts w:ascii="Arial" w:hAnsi="Arial" w:cs="Arial"/>
          <w:sz w:val="22"/>
          <w:szCs w:val="22"/>
        </w:rPr>
      </w:pPr>
    </w:p>
    <w:p w14:paraId="4F0DA07F" w14:textId="77777777" w:rsidR="003147E1" w:rsidRPr="003147E1" w:rsidRDefault="003147E1" w:rsidP="005E0CD7">
      <w:pPr>
        <w:jc w:val="both"/>
        <w:rPr>
          <w:rFonts w:ascii="Arial" w:hAnsi="Arial" w:cs="Arial"/>
          <w:sz w:val="22"/>
          <w:szCs w:val="22"/>
        </w:rPr>
      </w:pPr>
    </w:p>
    <w:p w14:paraId="0569AFB9" w14:textId="77777777" w:rsidR="008D5C2C" w:rsidRDefault="008D5C2C"/>
    <w:sectPr w:rsidR="008D5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CD7"/>
    <w:rsid w:val="00142A3B"/>
    <w:rsid w:val="00175695"/>
    <w:rsid w:val="003147E1"/>
    <w:rsid w:val="0044193A"/>
    <w:rsid w:val="005031BB"/>
    <w:rsid w:val="0053061C"/>
    <w:rsid w:val="005E0CD7"/>
    <w:rsid w:val="007B53F1"/>
    <w:rsid w:val="008D5C2C"/>
    <w:rsid w:val="00C51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B8708"/>
  <w15:chartTrackingRefBased/>
  <w15:docId w15:val="{4613911E-CB11-4FE1-93E2-23C6974B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CD7"/>
  </w:style>
  <w:style w:type="paragraph" w:styleId="Heading1">
    <w:name w:val="heading 1"/>
    <w:basedOn w:val="Normal"/>
    <w:next w:val="Normal"/>
    <w:link w:val="Heading1Char"/>
    <w:uiPriority w:val="9"/>
    <w:qFormat/>
    <w:rsid w:val="005E0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C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C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C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C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C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C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C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C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C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C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C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C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CD7"/>
    <w:rPr>
      <w:rFonts w:eastAsiaTheme="majorEastAsia" w:cstheme="majorBidi"/>
      <w:color w:val="272727" w:themeColor="text1" w:themeTint="D8"/>
    </w:rPr>
  </w:style>
  <w:style w:type="paragraph" w:styleId="Title">
    <w:name w:val="Title"/>
    <w:basedOn w:val="Normal"/>
    <w:next w:val="Normal"/>
    <w:link w:val="TitleChar"/>
    <w:uiPriority w:val="10"/>
    <w:qFormat/>
    <w:rsid w:val="005E0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CD7"/>
    <w:pPr>
      <w:spacing w:before="160"/>
      <w:jc w:val="center"/>
    </w:pPr>
    <w:rPr>
      <w:i/>
      <w:iCs/>
      <w:color w:val="404040" w:themeColor="text1" w:themeTint="BF"/>
    </w:rPr>
  </w:style>
  <w:style w:type="character" w:customStyle="1" w:styleId="QuoteChar">
    <w:name w:val="Quote Char"/>
    <w:basedOn w:val="DefaultParagraphFont"/>
    <w:link w:val="Quote"/>
    <w:uiPriority w:val="29"/>
    <w:rsid w:val="005E0CD7"/>
    <w:rPr>
      <w:i/>
      <w:iCs/>
      <w:color w:val="404040" w:themeColor="text1" w:themeTint="BF"/>
    </w:rPr>
  </w:style>
  <w:style w:type="paragraph" w:styleId="ListParagraph">
    <w:name w:val="List Paragraph"/>
    <w:basedOn w:val="Normal"/>
    <w:uiPriority w:val="34"/>
    <w:qFormat/>
    <w:rsid w:val="005E0CD7"/>
    <w:pPr>
      <w:ind w:left="720"/>
      <w:contextualSpacing/>
    </w:pPr>
  </w:style>
  <w:style w:type="character" w:styleId="IntenseEmphasis">
    <w:name w:val="Intense Emphasis"/>
    <w:basedOn w:val="DefaultParagraphFont"/>
    <w:uiPriority w:val="21"/>
    <w:qFormat/>
    <w:rsid w:val="005E0CD7"/>
    <w:rPr>
      <w:i/>
      <w:iCs/>
      <w:color w:val="0F4761" w:themeColor="accent1" w:themeShade="BF"/>
    </w:rPr>
  </w:style>
  <w:style w:type="paragraph" w:styleId="IntenseQuote">
    <w:name w:val="Intense Quote"/>
    <w:basedOn w:val="Normal"/>
    <w:next w:val="Normal"/>
    <w:link w:val="IntenseQuoteChar"/>
    <w:uiPriority w:val="30"/>
    <w:qFormat/>
    <w:rsid w:val="005E0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CD7"/>
    <w:rPr>
      <w:i/>
      <w:iCs/>
      <w:color w:val="0F4761" w:themeColor="accent1" w:themeShade="BF"/>
    </w:rPr>
  </w:style>
  <w:style w:type="character" w:styleId="IntenseReference">
    <w:name w:val="Intense Reference"/>
    <w:basedOn w:val="DefaultParagraphFont"/>
    <w:uiPriority w:val="32"/>
    <w:qFormat/>
    <w:rsid w:val="005E0CD7"/>
    <w:rPr>
      <w:b/>
      <w:bCs/>
      <w:smallCaps/>
      <w:color w:val="0F4761" w:themeColor="accent1" w:themeShade="BF"/>
      <w:spacing w:val="5"/>
    </w:rPr>
  </w:style>
  <w:style w:type="table" w:styleId="TableGrid">
    <w:name w:val="Table Grid"/>
    <w:basedOn w:val="TableNormal"/>
    <w:uiPriority w:val="39"/>
    <w:rsid w:val="00C51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C5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Venumadhav Korampally</dc:creator>
  <cp:keywords/>
  <dc:description/>
  <cp:lastModifiedBy>Venumadhav Korampally</cp:lastModifiedBy>
  <cp:revision>3</cp:revision>
  <dcterms:created xsi:type="dcterms:W3CDTF">2026-08-19T20:23:00Z</dcterms:created>
  <dcterms:modified xsi:type="dcterms:W3CDTF">2026-08-19T20:51:00Z</dcterms:modified>
</cp:coreProperties>
</file>