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1061" w:rsidRPr="00211BC3" w:rsidRDefault="00211BC3">
      <w:pPr>
        <w:pStyle w:val="a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Supplementary File 1 Data and Reproducibility Documentation</w:t>
      </w:r>
    </w:p>
    <w:p w:rsidR="00E11061" w:rsidRPr="00211BC3" w:rsidRDefault="00211BC3" w:rsidP="00211BC3">
      <w:pPr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b/>
          <w:sz w:val="24"/>
          <w:szCs w:val="24"/>
        </w:rPr>
        <w:t>Submission ID e9a31bf4-0477-43ad-a97d-f669a6e73ca6</w:t>
      </w:r>
    </w:p>
    <w:p w:rsidR="00E11061" w:rsidRPr="00211BC3" w:rsidRDefault="00211BC3" w:rsidP="00211BC3">
      <w:pPr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b/>
          <w:sz w:val="24"/>
          <w:szCs w:val="24"/>
        </w:rPr>
        <w:t>Does Political Alternation Reshape Solar-Stock Return Formation? Evidence from Taiwan’s Energy Transition</w:t>
      </w:r>
    </w:p>
    <w:p w:rsidR="00E11061" w:rsidRPr="00211BC3" w:rsidRDefault="00211BC3">
      <w:pPr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 xml:space="preserve">This file documents the data sources, </w:t>
      </w:r>
      <w:r w:rsidRPr="00211BC3">
        <w:rPr>
          <w:rFonts w:ascii="Times New Roman" w:hAnsi="Times New Roman" w:cs="Times New Roman"/>
          <w:sz w:val="24"/>
          <w:szCs w:val="24"/>
        </w:rPr>
        <w:t>sample construction, variable definitions, transformations, model sequence, and verification steps required to scrutinise the reported analysis. It contains no author-identifying information.</w:t>
      </w:r>
    </w:p>
    <w:p w:rsidR="00E11061" w:rsidRPr="00211BC3" w:rsidRDefault="00211BC3">
      <w:pPr>
        <w:pStyle w:val="1"/>
        <w:rPr>
          <w:rFonts w:ascii="Times New Roman" w:hAnsi="Times New Roman" w:cs="Times New Roman"/>
          <w:szCs w:val="24"/>
        </w:rPr>
      </w:pPr>
      <w:r w:rsidRPr="00211BC3">
        <w:rPr>
          <w:rFonts w:ascii="Times New Roman" w:hAnsi="Times New Roman" w:cs="Times New Roman"/>
          <w:szCs w:val="24"/>
        </w:rPr>
        <w:t>Files supplied for confidential peer review</w:t>
      </w:r>
    </w:p>
    <w:p w:rsidR="00E11061" w:rsidRPr="00211BC3" w:rsidRDefault="00211BC3">
      <w:pPr>
        <w:pStyle w:val="a0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data_sunpower.xlsx -</w:t>
      </w:r>
      <w:r w:rsidRPr="00211BC3">
        <w:rPr>
          <w:rFonts w:ascii="Times New Roman" w:hAnsi="Times New Roman" w:cs="Times New Roman"/>
          <w:sz w:val="24"/>
          <w:szCs w:val="24"/>
        </w:rPr>
        <w:t xml:space="preserve"> study dataset containing the empirical variables, including RST, OPG, and RVG.</w:t>
      </w:r>
    </w:p>
    <w:p w:rsidR="00E11061" w:rsidRPr="00211BC3" w:rsidRDefault="00211BC3">
      <w:pPr>
        <w:pStyle w:val="a0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20250123_outcome.xlsx - EViews empirical estimates, specification tests, descriptive statistics, and panel unit-root output.</w:t>
      </w:r>
    </w:p>
    <w:p w:rsidR="00E11061" w:rsidRPr="00211BC3" w:rsidRDefault="00211BC3">
      <w:pPr>
        <w:pStyle w:val="a0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new sunpower.wf1 - EViews workfile containing the s</w:t>
      </w:r>
      <w:r w:rsidRPr="00211BC3">
        <w:rPr>
          <w:rFonts w:ascii="Times New Roman" w:hAnsi="Times New Roman" w:cs="Times New Roman"/>
          <w:sz w:val="24"/>
          <w:szCs w:val="24"/>
        </w:rPr>
        <w:t>ix firm-level series, transformed variables, pool objects, estimation objects, and transformation history.</w:t>
      </w:r>
    </w:p>
    <w:p w:rsidR="00E11061" w:rsidRPr="00211BC3" w:rsidRDefault="00211BC3">
      <w:pPr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These files incorporate TEJ-licensed material and are supplied only for confidential editorial and referee verification.</w:t>
      </w:r>
    </w:p>
    <w:p w:rsidR="00E11061" w:rsidRPr="00211BC3" w:rsidRDefault="00211BC3">
      <w:pPr>
        <w:pStyle w:val="1"/>
        <w:rPr>
          <w:rFonts w:ascii="Times New Roman" w:hAnsi="Times New Roman" w:cs="Times New Roman"/>
          <w:szCs w:val="24"/>
        </w:rPr>
      </w:pPr>
      <w:r w:rsidRPr="00211BC3">
        <w:rPr>
          <w:rFonts w:ascii="Times New Roman" w:hAnsi="Times New Roman" w:cs="Times New Roman"/>
          <w:szCs w:val="24"/>
        </w:rPr>
        <w:t>1 Data sources and access co</w:t>
      </w:r>
      <w:r w:rsidRPr="00211BC3">
        <w:rPr>
          <w:rFonts w:ascii="Times New Roman" w:hAnsi="Times New Roman" w:cs="Times New Roman"/>
          <w:szCs w:val="24"/>
        </w:rPr>
        <w:t>nditions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1800"/>
        <w:gridCol w:w="3096"/>
        <w:gridCol w:w="4464"/>
      </w:tblGrid>
      <w:tr w:rsidR="00E11061" w:rsidRPr="00211BC3">
        <w:tc>
          <w:tcPr>
            <w:tcW w:w="180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b/>
                <w:sz w:val="24"/>
                <w:szCs w:val="24"/>
              </w:rPr>
              <w:t>Data component</w:t>
            </w:r>
          </w:p>
        </w:tc>
        <w:tc>
          <w:tcPr>
            <w:tcW w:w="3096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b/>
                <w:sz w:val="24"/>
                <w:szCs w:val="24"/>
              </w:rPr>
              <w:t>Source and access</w:t>
            </w:r>
          </w:p>
        </w:tc>
        <w:tc>
          <w:tcPr>
            <w:tcW w:w="4464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b/>
                <w:sz w:val="24"/>
                <w:szCs w:val="24"/>
              </w:rPr>
              <w:t>Coverage and use</w:t>
            </w:r>
          </w:p>
        </w:tc>
      </w:tr>
      <w:tr w:rsidR="00E11061" w:rsidRPr="00211BC3"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Firm stock prices</w:t>
            </w:r>
          </w:p>
        </w:tc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Taiwan Economic Journal (TEJ), licensed database</w:t>
            </w:r>
          </w:p>
        </w:tc>
        <w:tc>
          <w:tcPr>
            <w:tcW w:w="44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Monthly firm-level series used to construct solar-stock returns. Licensed extracts cannot be redistributed publicly.</w:t>
            </w:r>
          </w:p>
        </w:tc>
      </w:tr>
      <w:tr w:rsidR="00E11061" w:rsidRPr="00211BC3">
        <w:tc>
          <w:tcPr>
            <w:tcW w:w="1800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 xml:space="preserve">Firm </w:t>
            </w: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monthly revenue</w:t>
            </w:r>
          </w:p>
        </w:tc>
        <w:tc>
          <w:tcPr>
            <w:tcW w:w="3096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TEJ and Taiwan Market Observation Post System (MOPS)</w:t>
            </w:r>
          </w:p>
        </w:tc>
        <w:tc>
          <w:tcPr>
            <w:tcW w:w="4464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Monthly firm-level revenue used to construct lagged revenue growth. MOPS is the public reconstruction source.</w:t>
            </w:r>
          </w:p>
        </w:tc>
      </w:tr>
      <w:tr w:rsidR="00E11061" w:rsidRPr="00211BC3">
        <w:tc>
          <w:tcPr>
            <w:tcW w:w="180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WTI and Brent crude oil prices</w:t>
            </w:r>
          </w:p>
        </w:tc>
        <w:tc>
          <w:tcPr>
            <w:tcW w:w="30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Yahoo Finance public historical series</w:t>
            </w:r>
          </w:p>
        </w:tc>
        <w:tc>
          <w:tcPr>
            <w:tcW w:w="44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Monthl</w:t>
            </w: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y international crude-oil prices; the empirical oil-price measure averages WTI and Brent before transformation.</w:t>
            </w:r>
          </w:p>
        </w:tc>
      </w:tr>
      <w:tr w:rsidR="00E11061" w:rsidRPr="00211BC3">
        <w:tc>
          <w:tcPr>
            <w:tcW w:w="1800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Firm histories and listing information</w:t>
            </w:r>
          </w:p>
        </w:tc>
        <w:tc>
          <w:tcPr>
            <w:tcW w:w="3096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Public company disclosures, Taiwan Stock Exchange, and Taipei Exchange</w:t>
            </w:r>
          </w:p>
        </w:tc>
        <w:tc>
          <w:tcPr>
            <w:tcW w:w="4464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Used to verify ticker identity, l</w:t>
            </w: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isting history, and sample eligibility.</w:t>
            </w:r>
          </w:p>
        </w:tc>
      </w:tr>
    </w:tbl>
    <w:p w:rsidR="00E11061" w:rsidRPr="00211BC3" w:rsidRDefault="00E11061">
      <w:pPr>
        <w:rPr>
          <w:rFonts w:ascii="Times New Roman" w:hAnsi="Times New Roman" w:cs="Times New Roman"/>
          <w:sz w:val="24"/>
          <w:szCs w:val="24"/>
        </w:rPr>
      </w:pPr>
    </w:p>
    <w:p w:rsidR="00E11061" w:rsidRPr="00211BC3" w:rsidRDefault="00211BC3">
      <w:pPr>
        <w:pStyle w:val="1"/>
        <w:rPr>
          <w:rFonts w:ascii="Times New Roman" w:hAnsi="Times New Roman" w:cs="Times New Roman"/>
          <w:szCs w:val="24"/>
        </w:rPr>
      </w:pPr>
      <w:r w:rsidRPr="00211BC3">
        <w:rPr>
          <w:rFonts w:ascii="Times New Roman" w:hAnsi="Times New Roman" w:cs="Times New Roman"/>
          <w:szCs w:val="24"/>
        </w:rPr>
        <w:t>2 Sample and firm identifiers</w:t>
      </w:r>
    </w:p>
    <w:p w:rsidR="00E11061" w:rsidRPr="00211BC3" w:rsidRDefault="00211BC3">
      <w:pPr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The study covers June 2008 to June 2024. Estimation begins in August 2008 after transformations and lag construction. The monthly panel is unbalanced because listing histories and data</w:t>
      </w:r>
      <w:r w:rsidRPr="00211BC3">
        <w:rPr>
          <w:rFonts w:ascii="Times New Roman" w:hAnsi="Times New Roman" w:cs="Times New Roman"/>
          <w:sz w:val="24"/>
          <w:szCs w:val="24"/>
        </w:rPr>
        <w:t xml:space="preserve"> availability differ across firms.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3240"/>
        <w:gridCol w:w="1584"/>
        <w:gridCol w:w="4536"/>
      </w:tblGrid>
      <w:tr w:rsidR="00E11061" w:rsidRPr="00211BC3">
        <w:tc>
          <w:tcPr>
            <w:tcW w:w="324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Company</w:t>
            </w:r>
          </w:p>
        </w:tc>
        <w:tc>
          <w:tcPr>
            <w:tcW w:w="1584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b/>
                <w:sz w:val="24"/>
                <w:szCs w:val="24"/>
              </w:rPr>
              <w:t>Ticker</w:t>
            </w:r>
          </w:p>
        </w:tc>
        <w:tc>
          <w:tcPr>
            <w:tcW w:w="4536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b/>
                <w:sz w:val="24"/>
                <w:szCs w:val="24"/>
              </w:rPr>
              <w:t>Principal photovoltaic activity</w:t>
            </w:r>
          </w:p>
        </w:tc>
      </w:tr>
      <w:tr w:rsidR="00E11061" w:rsidRPr="00211BC3"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Gigastorage Corporation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2406.TW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Solar silicon wafers and related materials</w:t>
            </w:r>
          </w:p>
        </w:tc>
      </w:tr>
      <w:tr w:rsidR="00E11061" w:rsidRPr="00211BC3">
        <w:tc>
          <w:tcPr>
            <w:tcW w:w="3240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United Renewable Energy Co., Ltd.</w:t>
            </w:r>
          </w:p>
        </w:tc>
        <w:tc>
          <w:tcPr>
            <w:tcW w:w="1584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3576.TW</w:t>
            </w:r>
          </w:p>
        </w:tc>
        <w:tc>
          <w:tcPr>
            <w:tcW w:w="4536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Solar cells, modules, and integrated systems</w:t>
            </w:r>
          </w:p>
        </w:tc>
      </w:tr>
      <w:tr w:rsidR="00E11061" w:rsidRPr="00211BC3"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 xml:space="preserve">Danen </w:t>
            </w: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Technology Corporation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3686.TW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Electronic and photovoltaic materials</w:t>
            </w:r>
          </w:p>
        </w:tc>
      </w:tr>
      <w:tr w:rsidR="00E11061" w:rsidRPr="00211BC3">
        <w:tc>
          <w:tcPr>
            <w:tcW w:w="3240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Giga Solar Materials Corporation</w:t>
            </w:r>
          </w:p>
        </w:tc>
        <w:tc>
          <w:tcPr>
            <w:tcW w:w="1584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3691.TWO</w:t>
            </w:r>
          </w:p>
        </w:tc>
        <w:tc>
          <w:tcPr>
            <w:tcW w:w="4536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Conductive pastes for solar-cell applications</w:t>
            </w:r>
          </w:p>
        </w:tc>
      </w:tr>
      <w:tr w:rsidR="00E11061" w:rsidRPr="00211BC3"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Sino-American Silicon Products Inc.</w:t>
            </w:r>
          </w:p>
        </w:tc>
        <w:tc>
          <w:tcPr>
            <w:tcW w:w="158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5483.TWO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Solar ingots, wafers, cells, and system solutions</w:t>
            </w:r>
          </w:p>
        </w:tc>
      </w:tr>
      <w:tr w:rsidR="00E11061" w:rsidRPr="00211BC3">
        <w:tc>
          <w:tcPr>
            <w:tcW w:w="3240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otech Industries Inc.</w:t>
            </w:r>
          </w:p>
        </w:tc>
        <w:tc>
          <w:tcPr>
            <w:tcW w:w="1584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6244.TWO</w:t>
            </w:r>
          </w:p>
        </w:tc>
        <w:tc>
          <w:tcPr>
            <w:tcW w:w="4536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High-efficiency solar cells and photovoltaic systems</w:t>
            </w:r>
          </w:p>
        </w:tc>
      </w:tr>
    </w:tbl>
    <w:p w:rsidR="00E11061" w:rsidRPr="00211BC3" w:rsidRDefault="00E11061">
      <w:pPr>
        <w:rPr>
          <w:rFonts w:ascii="Times New Roman" w:hAnsi="Times New Roman" w:cs="Times New Roman"/>
          <w:sz w:val="24"/>
          <w:szCs w:val="24"/>
        </w:rPr>
      </w:pPr>
    </w:p>
    <w:p w:rsidR="00E11061" w:rsidRPr="00211BC3" w:rsidRDefault="00211BC3">
      <w:pPr>
        <w:pStyle w:val="1"/>
        <w:rPr>
          <w:rFonts w:ascii="Times New Roman" w:hAnsi="Times New Roman" w:cs="Times New Roman"/>
          <w:szCs w:val="24"/>
        </w:rPr>
      </w:pPr>
      <w:r w:rsidRPr="00211BC3">
        <w:rPr>
          <w:rFonts w:ascii="Times New Roman" w:hAnsi="Times New Roman" w:cs="Times New Roman"/>
          <w:szCs w:val="24"/>
        </w:rPr>
        <w:t>3 Variable dictionary and transformations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2880"/>
        <w:gridCol w:w="5472"/>
      </w:tblGrid>
      <w:tr w:rsidR="00E11061" w:rsidRPr="00211BC3">
        <w:tc>
          <w:tcPr>
            <w:tcW w:w="1008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b/>
                <w:sz w:val="24"/>
                <w:szCs w:val="24"/>
              </w:rPr>
              <w:t>Symbol</w:t>
            </w:r>
          </w:p>
        </w:tc>
        <w:tc>
          <w:tcPr>
            <w:tcW w:w="288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b/>
                <w:sz w:val="24"/>
                <w:szCs w:val="24"/>
              </w:rPr>
              <w:t>Definition</w:t>
            </w:r>
          </w:p>
        </w:tc>
        <w:tc>
          <w:tcPr>
            <w:tcW w:w="5472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b/>
                <w:sz w:val="24"/>
                <w:szCs w:val="24"/>
              </w:rPr>
              <w:t>Construction and timing</w:t>
            </w:r>
          </w:p>
        </w:tc>
      </w:tr>
      <w:tr w:rsidR="00E11061" w:rsidRPr="00211BC3"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Monthly firm stock price</w:t>
            </w:r>
          </w:p>
        </w:tc>
        <w:tc>
          <w:tcPr>
            <w:tcW w:w="54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Raw level used for descriptive plotting.</w:t>
            </w:r>
          </w:p>
        </w:tc>
      </w:tr>
      <w:tr w:rsidR="00E11061" w:rsidRPr="00211BC3">
        <w:tc>
          <w:tcPr>
            <w:tcW w:w="1008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rst</w:t>
            </w:r>
          </w:p>
        </w:tc>
        <w:tc>
          <w:tcPr>
            <w:tcW w:w="2880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Solar-stock</w:t>
            </w: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 xml:space="preserve"> return</w:t>
            </w:r>
          </w:p>
        </w:tc>
        <w:tc>
          <w:tcPr>
            <w:tcW w:w="5472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First difference of the natural logarithm of ST for firm i in month t. Dependent variable.</w:t>
            </w:r>
          </w:p>
        </w:tc>
      </w:tr>
      <w:tr w:rsidR="00E11061" w:rsidRPr="00211BC3"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OP</w:t>
            </w:r>
          </w:p>
        </w:tc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International crude-oil price</w:t>
            </w:r>
          </w:p>
        </w:tc>
        <w:tc>
          <w:tcPr>
            <w:tcW w:w="54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Monthly measure constructed from WTI and Brent prices.</w:t>
            </w:r>
          </w:p>
        </w:tc>
      </w:tr>
      <w:tr w:rsidR="00E11061" w:rsidRPr="00211BC3">
        <w:tc>
          <w:tcPr>
            <w:tcW w:w="1008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opg</w:t>
            </w:r>
          </w:p>
        </w:tc>
        <w:tc>
          <w:tcPr>
            <w:tcW w:w="2880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Oil-price growth</w:t>
            </w:r>
          </w:p>
        </w:tc>
        <w:tc>
          <w:tcPr>
            <w:tcW w:w="5472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First difference of the natural logarithm of O</w:t>
            </w: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P in month t.</w:t>
            </w:r>
          </w:p>
        </w:tc>
      </w:tr>
      <w:tr w:rsidR="00E11061" w:rsidRPr="00211BC3"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RV</w:t>
            </w:r>
          </w:p>
        </w:tc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Firm monthly revenue</w:t>
            </w:r>
          </w:p>
        </w:tc>
        <w:tc>
          <w:tcPr>
            <w:tcW w:w="54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Raw monthly revenue level from TEJ or reconstructed from MOPS.</w:t>
            </w:r>
          </w:p>
        </w:tc>
      </w:tr>
      <w:tr w:rsidR="00E11061" w:rsidRPr="00211BC3">
        <w:tc>
          <w:tcPr>
            <w:tcW w:w="1008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rvg</w:t>
            </w:r>
          </w:p>
        </w:tc>
        <w:tc>
          <w:tcPr>
            <w:tcW w:w="2880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Revenue growth</w:t>
            </w:r>
          </w:p>
        </w:tc>
        <w:tc>
          <w:tcPr>
            <w:tcW w:w="5472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First difference of the natural logarithm of RV; the baseline model uses rvg lagged by one month.</w:t>
            </w:r>
          </w:p>
        </w:tc>
      </w:tr>
      <w:tr w:rsidR="00E11061" w:rsidRPr="00211BC3"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Time threshold variable</w:t>
            </w:r>
          </w:p>
        </w:tc>
        <w:tc>
          <w:tcPr>
            <w:tcW w:w="54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 xml:space="preserve">Calendar </w:t>
            </w: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month searched over the admissible trimmed grid in the Hansen-type panel threshold procedure.</w:t>
            </w:r>
          </w:p>
        </w:tc>
      </w:tr>
    </w:tbl>
    <w:p w:rsidR="00E11061" w:rsidRPr="00211BC3" w:rsidRDefault="00E11061">
      <w:pPr>
        <w:rPr>
          <w:rFonts w:ascii="Times New Roman" w:hAnsi="Times New Roman" w:cs="Times New Roman"/>
          <w:sz w:val="24"/>
          <w:szCs w:val="24"/>
        </w:rPr>
      </w:pPr>
    </w:p>
    <w:p w:rsidR="00E11061" w:rsidRPr="00211BC3" w:rsidRDefault="00211BC3">
      <w:pPr>
        <w:pStyle w:val="1"/>
        <w:rPr>
          <w:rFonts w:ascii="Times New Roman" w:hAnsi="Times New Roman" w:cs="Times New Roman"/>
          <w:szCs w:val="24"/>
        </w:rPr>
      </w:pPr>
      <w:r w:rsidRPr="00211BC3">
        <w:rPr>
          <w:rFonts w:ascii="Times New Roman" w:hAnsi="Times New Roman" w:cs="Times New Roman"/>
          <w:szCs w:val="24"/>
        </w:rPr>
        <w:t xml:space="preserve">4 Data processing </w:t>
      </w:r>
      <w:proofErr w:type="gramStart"/>
      <w:r w:rsidRPr="00211BC3">
        <w:rPr>
          <w:rFonts w:ascii="Times New Roman" w:hAnsi="Times New Roman" w:cs="Times New Roman"/>
          <w:szCs w:val="24"/>
        </w:rPr>
        <w:t>workflow</w:t>
      </w:r>
      <w:proofErr w:type="gramEnd"/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Retrieve monthly observations for the six tickers and retain source identifiers and retrieval dates.</w:t>
      </w:r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 xml:space="preserve">Align all series to calendar </w:t>
      </w:r>
      <w:r w:rsidRPr="00211BC3">
        <w:rPr>
          <w:rFonts w:ascii="Times New Roman" w:hAnsi="Times New Roman" w:cs="Times New Roman"/>
          <w:sz w:val="24"/>
          <w:szCs w:val="24"/>
        </w:rPr>
        <w:t>month and retain missing values rather than mechanically filling firm observations.</w:t>
      </w:r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Verify positive level values before applying natural logarithms.</w:t>
      </w:r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Construct rst, opg, and rvg as log first differences; create the one-month lag of rvg.</w:t>
      </w:r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lastRenderedPageBreak/>
        <w:t>Merge by firm and mo</w:t>
      </w:r>
      <w:r w:rsidRPr="00211BC3">
        <w:rPr>
          <w:rFonts w:ascii="Times New Roman" w:hAnsi="Times New Roman" w:cs="Times New Roman"/>
          <w:sz w:val="24"/>
          <w:szCs w:val="24"/>
        </w:rPr>
        <w:t>nth and retain the unbalanced structure.</w:t>
      </w:r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Confirm the final full-sample estimation count of 1,086 observations; the political-period descriptive split contains 510 observations for 2008M08–2016M05 and 576 for 2016M06–2024M06.</w:t>
      </w:r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Run panel unit-root tests on th</w:t>
      </w:r>
      <w:r w:rsidRPr="00211BC3">
        <w:rPr>
          <w:rFonts w:ascii="Times New Roman" w:hAnsi="Times New Roman" w:cs="Times New Roman"/>
          <w:sz w:val="24"/>
          <w:szCs w:val="24"/>
        </w:rPr>
        <w:t>e transformed variables before model estimation.</w:t>
      </w:r>
    </w:p>
    <w:p w:rsidR="00E11061" w:rsidRPr="00211BC3" w:rsidRDefault="00211BC3">
      <w:pPr>
        <w:pStyle w:val="1"/>
        <w:rPr>
          <w:rFonts w:ascii="Times New Roman" w:hAnsi="Times New Roman" w:cs="Times New Roman"/>
          <w:szCs w:val="24"/>
        </w:rPr>
      </w:pPr>
      <w:r w:rsidRPr="00211BC3">
        <w:rPr>
          <w:rFonts w:ascii="Times New Roman" w:hAnsi="Times New Roman" w:cs="Times New Roman"/>
          <w:szCs w:val="24"/>
        </w:rPr>
        <w:t>5 Statistical specifications</w:t>
      </w:r>
    </w:p>
    <w:p w:rsidR="00E11061" w:rsidRPr="00211BC3" w:rsidRDefault="00211BC3">
      <w:pPr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Baseline random-effects panel model</w:t>
      </w:r>
    </w:p>
    <w:p w:rsidR="00E11061" w:rsidRPr="00211BC3" w:rsidRDefault="00211BC3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rs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t=α+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β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op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β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rv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,t-1+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μ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ε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t</m:t>
          </m:r>
        </m:oMath>
      </m:oMathPara>
    </w:p>
    <w:p w:rsidR="00E11061" w:rsidRPr="00211BC3" w:rsidRDefault="00211BC3">
      <w:pPr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Single-threshold panel model</w:t>
      </w:r>
      <w:bookmarkStart w:id="0" w:name="_GoBack"/>
      <w:bookmarkEnd w:id="0"/>
    </w:p>
    <w:p w:rsidR="00E11061" w:rsidRPr="00211BC3" w:rsidRDefault="00211BC3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rs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t=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μ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β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'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tI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≤γ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β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'</m:t>
              </m:r>
            </m:sup>
          </m:sSup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tI</m:t>
          </m:r>
          <m:d>
            <m:d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&gt;γ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ε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t</m:t>
          </m:r>
        </m:oMath>
      </m:oMathPara>
    </w:p>
    <w:p w:rsidR="00E11061" w:rsidRPr="00211BC3" w:rsidRDefault="00211BC3">
      <w:pPr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T</w:t>
      </w:r>
      <w:r w:rsidRPr="00211BC3">
        <w:rPr>
          <w:rFonts w:ascii="Times New Roman" w:hAnsi="Times New Roman" w:cs="Times New Roman"/>
          <w:sz w:val="24"/>
          <w:szCs w:val="24"/>
        </w:rPr>
        <w:t>he threshold estimate γ̂ minimizes the within-transformed residual sum of squares over the admissible calendar-month grid. The null hypothesis is equality of the regime slopes. Statistical significance is assessed using the bootstrap likelihood-ratio proce</w:t>
      </w:r>
      <w:r w:rsidRPr="00211BC3">
        <w:rPr>
          <w:rFonts w:ascii="Times New Roman" w:hAnsi="Times New Roman" w:cs="Times New Roman"/>
          <w:sz w:val="24"/>
          <w:szCs w:val="24"/>
        </w:rPr>
        <w:t>dure described in the manuscript.</w:t>
      </w:r>
    </w:p>
    <w:p w:rsidR="00E11061" w:rsidRPr="00211BC3" w:rsidRDefault="00211BC3">
      <w:pPr>
        <w:pStyle w:val="1"/>
        <w:rPr>
          <w:rFonts w:ascii="Times New Roman" w:hAnsi="Times New Roman" w:cs="Times New Roman"/>
          <w:szCs w:val="24"/>
        </w:rPr>
      </w:pPr>
      <w:r w:rsidRPr="00211BC3">
        <w:rPr>
          <w:rFonts w:ascii="Times New Roman" w:hAnsi="Times New Roman" w:cs="Times New Roman"/>
          <w:szCs w:val="24"/>
        </w:rPr>
        <w:t>6 Estimation and verification sequence</w:t>
      </w:r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Estimate panel unit-root tests for rst, opg, and rvg.</w:t>
      </w:r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Estimate fixed- and random-effects candidates and apply the Hausman specification test.</w:t>
      </w:r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Estimate the selected full-sample panel m</w:t>
      </w:r>
      <w:r w:rsidRPr="00211BC3">
        <w:rPr>
          <w:rFonts w:ascii="Times New Roman" w:hAnsi="Times New Roman" w:cs="Times New Roman"/>
          <w:sz w:val="24"/>
          <w:szCs w:val="24"/>
        </w:rPr>
        <w:t>odel with rst as the dependent variable.</w:t>
      </w:r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Report the 2016 political-period split only as a descriptive comparison; it is not a formal interaction or coefficient-equality test.</w:t>
      </w:r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Search the time-threshold grid, record the conditional RSS-minimizing date, and c</w:t>
      </w:r>
      <w:r w:rsidRPr="00211BC3">
        <w:rPr>
          <w:rFonts w:ascii="Times New Roman" w:hAnsi="Times New Roman" w:cs="Times New Roman"/>
          <w:sz w:val="24"/>
          <w:szCs w:val="24"/>
        </w:rPr>
        <w:t>ompute the bootstrap LR statistic, p-value, and critical values.</w:t>
      </w:r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Treat the 2020M12 split as exploratory because the bootstrap test does not reject the no-threshold null.</w:t>
      </w:r>
    </w:p>
    <w:p w:rsidR="00E11061" w:rsidRPr="00211BC3" w:rsidRDefault="00211BC3">
      <w:pPr>
        <w:pStyle w:val="a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 xml:space="preserve">Verify that H1 is interpreted as a positive association, H2 as weak or marginal </w:t>
      </w:r>
      <w:r w:rsidRPr="00211BC3">
        <w:rPr>
          <w:rFonts w:ascii="Times New Roman" w:hAnsi="Times New Roman" w:cs="Times New Roman"/>
          <w:sz w:val="24"/>
          <w:szCs w:val="24"/>
        </w:rPr>
        <w:t>evidence, and H3 as unsupported by the reported threshold test.</w:t>
      </w:r>
    </w:p>
    <w:p w:rsidR="00E11061" w:rsidRPr="00211BC3" w:rsidRDefault="00211BC3">
      <w:pPr>
        <w:pStyle w:val="1"/>
        <w:rPr>
          <w:rFonts w:ascii="Times New Roman" w:hAnsi="Times New Roman" w:cs="Times New Roman"/>
          <w:szCs w:val="24"/>
        </w:rPr>
      </w:pPr>
      <w:r w:rsidRPr="00211BC3">
        <w:rPr>
          <w:rFonts w:ascii="Times New Roman" w:hAnsi="Times New Roman" w:cs="Times New Roman"/>
          <w:szCs w:val="24"/>
        </w:rPr>
        <w:t>7 Key reported verification targets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2592"/>
        <w:gridCol w:w="3888"/>
      </w:tblGrid>
      <w:tr w:rsidR="00E11061" w:rsidRPr="00211BC3">
        <w:tc>
          <w:tcPr>
            <w:tcW w:w="2880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b/>
                <w:sz w:val="24"/>
                <w:szCs w:val="24"/>
              </w:rPr>
              <w:t>Target</w:t>
            </w:r>
          </w:p>
        </w:tc>
        <w:tc>
          <w:tcPr>
            <w:tcW w:w="2592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b/>
                <w:sz w:val="24"/>
                <w:szCs w:val="24"/>
              </w:rPr>
              <w:t>Reported value</w:t>
            </w:r>
          </w:p>
        </w:tc>
        <w:tc>
          <w:tcPr>
            <w:tcW w:w="3888" w:type="dxa"/>
            <w:shd w:val="clear" w:color="auto" w:fill="D9EA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b/>
                <w:sz w:val="24"/>
                <w:szCs w:val="24"/>
              </w:rPr>
              <w:t>Interpretation</w:t>
            </w:r>
          </w:p>
        </w:tc>
      </w:tr>
      <w:tr w:rsidR="00E11061" w:rsidRPr="00211BC3"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Full-sample observations</w:t>
            </w:r>
          </w:p>
        </w:tc>
        <w:tc>
          <w:tcPr>
            <w:tcW w:w="2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1,086</w:t>
            </w:r>
          </w:p>
        </w:tc>
        <w:tc>
          <w:tcPr>
            <w:tcW w:w="38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Unbalanced monthly panel</w:t>
            </w:r>
          </w:p>
        </w:tc>
      </w:tr>
      <w:tr w:rsidR="00E11061" w:rsidRPr="00211BC3">
        <w:tc>
          <w:tcPr>
            <w:tcW w:w="2880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Oil-price growth coefficient</w:t>
            </w:r>
          </w:p>
        </w:tc>
        <w:tc>
          <w:tcPr>
            <w:tcW w:w="2592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0.216, p &lt; 0.001</w:t>
            </w:r>
          </w:p>
        </w:tc>
        <w:tc>
          <w:tcPr>
            <w:tcW w:w="3888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 xml:space="preserve">Positive </w:t>
            </w: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statistical association; no causal claim</w:t>
            </w:r>
          </w:p>
        </w:tc>
      </w:tr>
      <w:tr w:rsidR="00E11061" w:rsidRPr="00211BC3"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Lagged revenue-growth coefficient</w:t>
            </w:r>
          </w:p>
        </w:tc>
        <w:tc>
          <w:tcPr>
            <w:tcW w:w="2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0.021, p = 0.076</w:t>
            </w:r>
          </w:p>
        </w:tc>
        <w:tc>
          <w:tcPr>
            <w:tcW w:w="38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Weak or marginal evidence</w:t>
            </w:r>
          </w:p>
        </w:tc>
      </w:tr>
      <w:tr w:rsidR="00E11061" w:rsidRPr="00211BC3">
        <w:tc>
          <w:tcPr>
            <w:tcW w:w="2880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Threshold LR test</w:t>
            </w:r>
          </w:p>
        </w:tc>
        <w:tc>
          <w:tcPr>
            <w:tcW w:w="2592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10.576, bootstrap p = 0.267</w:t>
            </w:r>
          </w:p>
        </w:tc>
        <w:tc>
          <w:tcPr>
            <w:tcW w:w="3888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No statistically significant threshold effect</w:t>
            </w:r>
          </w:p>
        </w:tc>
      </w:tr>
      <w:tr w:rsidR="00E11061" w:rsidRPr="00211BC3">
        <w:tc>
          <w:tcPr>
            <w:tcW w:w="28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Conditional minimizing month</w:t>
            </w:r>
          </w:p>
        </w:tc>
        <w:tc>
          <w:tcPr>
            <w:tcW w:w="2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2020M12</w:t>
            </w:r>
          </w:p>
        </w:tc>
        <w:tc>
          <w:tcPr>
            <w:tcW w:w="38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Exploratory date, not a confirmed structural break</w:t>
            </w:r>
          </w:p>
        </w:tc>
      </w:tr>
      <w:tr w:rsidR="00E11061" w:rsidRPr="00211BC3">
        <w:tc>
          <w:tcPr>
            <w:tcW w:w="2880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>Bootstrap critical values</w:t>
            </w:r>
          </w:p>
        </w:tc>
        <w:tc>
          <w:tcPr>
            <w:tcW w:w="2592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t xml:space="preserve">10% 12.989; 5% </w:t>
            </w:r>
            <w:r w:rsidRPr="00211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13.851; 1% 17.529</w:t>
            </w:r>
          </w:p>
        </w:tc>
        <w:tc>
          <w:tcPr>
            <w:tcW w:w="3888" w:type="dxa"/>
            <w:shd w:val="clear" w:color="auto" w:fill="F5F8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E11061" w:rsidRPr="00211BC3" w:rsidRDefault="00211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LR statistic is below all reported </w:t>
            </w:r>
            <w:r w:rsidRPr="00211B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critical values</w:t>
            </w:r>
          </w:p>
        </w:tc>
      </w:tr>
    </w:tbl>
    <w:p w:rsidR="00E11061" w:rsidRPr="00211BC3" w:rsidRDefault="00E11061">
      <w:pPr>
        <w:rPr>
          <w:rFonts w:ascii="Times New Roman" w:hAnsi="Times New Roman" w:cs="Times New Roman"/>
          <w:sz w:val="24"/>
          <w:szCs w:val="24"/>
        </w:rPr>
      </w:pPr>
    </w:p>
    <w:p w:rsidR="00E11061" w:rsidRPr="00211BC3" w:rsidRDefault="00211BC3">
      <w:pPr>
        <w:pStyle w:val="1"/>
        <w:rPr>
          <w:rFonts w:ascii="Times New Roman" w:hAnsi="Times New Roman" w:cs="Times New Roman"/>
          <w:szCs w:val="24"/>
        </w:rPr>
      </w:pPr>
      <w:r w:rsidRPr="00211BC3">
        <w:rPr>
          <w:rFonts w:ascii="Times New Roman" w:hAnsi="Times New Roman" w:cs="Times New Roman"/>
          <w:szCs w:val="24"/>
        </w:rPr>
        <w:t>8 Availability and confidential verification</w:t>
      </w:r>
    </w:p>
    <w:p w:rsidR="00E11061" w:rsidRPr="00211BC3" w:rsidRDefault="00211BC3">
      <w:pPr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 xml:space="preserve">The datasets and supporting analysis files are </w:t>
      </w:r>
      <w:r w:rsidRPr="00211BC3">
        <w:rPr>
          <w:rFonts w:ascii="Times New Roman" w:hAnsi="Times New Roman" w:cs="Times New Roman"/>
          <w:sz w:val="24"/>
          <w:szCs w:val="24"/>
        </w:rPr>
        <w:t>supplied as supplementary materials for confidential peer review: data_sunpower.xlsx (study dataset), 20250123_outcome.xlsx (EViews estimation and diagnostic output), and new sunpower.wf1 (EViews workfile containing the source series, transformed variables</w:t>
      </w:r>
      <w:r w:rsidRPr="00211BC3">
        <w:rPr>
          <w:rFonts w:ascii="Times New Roman" w:hAnsi="Times New Roman" w:cs="Times New Roman"/>
          <w:sz w:val="24"/>
          <w:szCs w:val="24"/>
        </w:rPr>
        <w:t xml:space="preserve">, model objects, and estimation history). Stock-price and firm-revenue data were obtained under licence from the Taiwan Economic Journal (TEJ); monthly firm revenue is also available from Taiwan’s Market Observation Post System (MOPS), while WTI and Brent </w:t>
      </w:r>
      <w:r w:rsidRPr="00211BC3">
        <w:rPr>
          <w:rFonts w:ascii="Times New Roman" w:hAnsi="Times New Roman" w:cs="Times New Roman"/>
          <w:sz w:val="24"/>
          <w:szCs w:val="24"/>
        </w:rPr>
        <w:t>crude-oil price series were retrieved from Yahoo Finance. Because the files incorporate TEJ-licensed data, they are provided solely for confidential assessment by the editors and referees and must not be redistributed publicly. Supplementary File 1 provide</w:t>
      </w:r>
      <w:r w:rsidRPr="00211BC3">
        <w:rPr>
          <w:rFonts w:ascii="Times New Roman" w:hAnsi="Times New Roman" w:cs="Times New Roman"/>
          <w:sz w:val="24"/>
          <w:szCs w:val="24"/>
        </w:rPr>
        <w:t>s the data dictionary, firm and ticker list, transformations, source and sample information, and reproducibility workflow.</w:t>
      </w:r>
    </w:p>
    <w:p w:rsidR="00E11061" w:rsidRPr="00211BC3" w:rsidRDefault="00211BC3">
      <w:pPr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The EViews workfile new sunpower.wf1, the empirical output file 20250123_outcome.xlsx, and the documented model formulae, variable tr</w:t>
      </w:r>
      <w:r w:rsidRPr="00211BC3">
        <w:rPr>
          <w:rFonts w:ascii="Times New Roman" w:hAnsi="Times New Roman" w:cs="Times New Roman"/>
          <w:sz w:val="24"/>
          <w:szCs w:val="24"/>
        </w:rPr>
        <w:t>ansformations, estimation sequence, and bootstrap threshold workflow in Supplementary File 1 are supplied for confidential peer review and editorial verification.</w:t>
      </w:r>
    </w:p>
    <w:p w:rsidR="00E11061" w:rsidRPr="00211BC3" w:rsidRDefault="00211BC3">
      <w:pPr>
        <w:pStyle w:val="1"/>
        <w:rPr>
          <w:rFonts w:ascii="Times New Roman" w:hAnsi="Times New Roman" w:cs="Times New Roman"/>
          <w:szCs w:val="24"/>
        </w:rPr>
      </w:pPr>
      <w:r w:rsidRPr="00211BC3">
        <w:rPr>
          <w:rFonts w:ascii="Times New Roman" w:hAnsi="Times New Roman" w:cs="Times New Roman"/>
          <w:szCs w:val="24"/>
        </w:rPr>
        <w:t xml:space="preserve">9 Reproduction </w:t>
      </w:r>
      <w:proofErr w:type="gramStart"/>
      <w:r w:rsidRPr="00211BC3">
        <w:rPr>
          <w:rFonts w:ascii="Times New Roman" w:hAnsi="Times New Roman" w:cs="Times New Roman"/>
          <w:szCs w:val="24"/>
        </w:rPr>
        <w:t>checklist</w:t>
      </w:r>
      <w:proofErr w:type="gramEnd"/>
    </w:p>
    <w:p w:rsidR="00E11061" w:rsidRPr="00211BC3" w:rsidRDefault="00211BC3">
      <w:pPr>
        <w:pStyle w:val="a0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Confirm ticker identities, date ranges, and source fields.</w:t>
      </w:r>
    </w:p>
    <w:p w:rsidR="00E11061" w:rsidRPr="00211BC3" w:rsidRDefault="00211BC3">
      <w:pPr>
        <w:pStyle w:val="a0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Confirm t</w:t>
      </w:r>
      <w:r w:rsidRPr="00211BC3">
        <w:rPr>
          <w:rFonts w:ascii="Times New Roman" w:hAnsi="Times New Roman" w:cs="Times New Roman"/>
          <w:sz w:val="24"/>
          <w:szCs w:val="24"/>
        </w:rPr>
        <w:t>hat transformations are log first differences and revenue growth is lagged one month.</w:t>
      </w:r>
    </w:p>
    <w:p w:rsidR="00E11061" w:rsidRPr="00211BC3" w:rsidRDefault="00211BC3">
      <w:pPr>
        <w:pStyle w:val="a0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Confirm that missing firm-month observations remain missing and the panel remains unbalanced.</w:t>
      </w:r>
    </w:p>
    <w:p w:rsidR="00E11061" w:rsidRPr="00211BC3" w:rsidRDefault="00211BC3">
      <w:pPr>
        <w:pStyle w:val="a0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Confirm the sample counts and all reported coefficients, p-values, LR statis</w:t>
      </w:r>
      <w:r w:rsidRPr="00211BC3">
        <w:rPr>
          <w:rFonts w:ascii="Times New Roman" w:hAnsi="Times New Roman" w:cs="Times New Roman"/>
          <w:sz w:val="24"/>
          <w:szCs w:val="24"/>
        </w:rPr>
        <w:t>tics, and critical values.</w:t>
      </w:r>
    </w:p>
    <w:p w:rsidR="00E11061" w:rsidRPr="00211BC3" w:rsidRDefault="00211BC3">
      <w:pPr>
        <w:pStyle w:val="a0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Confirm that figures and tables are generated from the same final estimation dataset.</w:t>
      </w:r>
    </w:p>
    <w:p w:rsidR="00E11061" w:rsidRPr="00211BC3" w:rsidRDefault="00211BC3">
      <w:pPr>
        <w:pStyle w:val="a0"/>
        <w:rPr>
          <w:rFonts w:ascii="Times New Roman" w:hAnsi="Times New Roman" w:cs="Times New Roman"/>
          <w:sz w:val="24"/>
          <w:szCs w:val="24"/>
        </w:rPr>
      </w:pPr>
      <w:r w:rsidRPr="00211BC3">
        <w:rPr>
          <w:rFonts w:ascii="Times New Roman" w:hAnsi="Times New Roman" w:cs="Times New Roman"/>
          <w:sz w:val="24"/>
          <w:szCs w:val="24"/>
        </w:rPr>
        <w:t>Confirm that no threshold date is described as statistically significant unless the bootstrap test rejects linearity.</w:t>
      </w:r>
    </w:p>
    <w:sectPr w:rsidR="00E11061" w:rsidRPr="00211BC3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1BC3"/>
    <w:rsid w:val="0029639D"/>
    <w:rsid w:val="00326F90"/>
    <w:rsid w:val="00AA1D8D"/>
    <w:rsid w:val="00B47730"/>
    <w:rsid w:val="00CB0664"/>
    <w:rsid w:val="00E110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C985A9D-4137-4993-94E6-5FE3E317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8EF8B4-CF84-4BAE-AC41-B1C14A052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2026-09-24T07:12:00Z</dcterms:created>
  <dcterms:modified xsi:type="dcterms:W3CDTF">2026-09-24T07:12:00Z</dcterms:modified>
  <cp:category/>
</cp:coreProperties>
</file>