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3A7E8">
      <w:pPr>
        <w:keepNext/>
        <w:spacing w:before="0" w:after="120" w:line="240" w:lineRule="auto"/>
        <w:jc w:val="left"/>
      </w:pPr>
      <w:r>
        <w:rPr>
          <w:rFonts w:ascii="Times New Roman" w:hAnsi="Times New Roman"/>
          <w:b/>
          <w:color w:val="000000"/>
          <w:sz w:val="24"/>
        </w:rPr>
        <w:t>Supplementary Fig. S1. Physiological responses across the TDZ concentration screen.</w:t>
      </w:r>
    </w:p>
    <w:p w14:paraId="1E2357F6">
      <w:pPr>
        <w:spacing w:before="0" w:after="0" w:line="240" w:lineRule="auto"/>
        <w:jc w:val="center"/>
      </w:pPr>
      <w:r>
        <w:drawing>
          <wp:inline distT="0" distB="0" distL="114300" distR="114300">
            <wp:extent cx="6348095" cy="2882265"/>
            <wp:effectExtent l="0" t="0" r="1905" b="13335"/>
            <wp:docPr id="1" name="Picture 1" descr="Supplementary Fig. S1. Physiological responses across the TDZ concentratio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pplementary Fig. S1. Physiological responses across the TDZ concentration screen"/>
                    <pic:cNvPicPr>
                      <a:picLocks noChangeAspect="1"/>
                    </pic:cNvPicPr>
                  </pic:nvPicPr>
                  <pic:blipFill>
                    <a:blip r:embed="rId4"/>
                    <a:srcRect l="1854" t="37000" r="846" b="31800"/>
                    <a:stretch>
                      <a:fillRect/>
                    </a:stretch>
                  </pic:blipFill>
                  <pic:spPr>
                    <a:xfrm>
                      <a:off x="0" y="0"/>
                      <a:ext cx="6348095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1C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 Regular" w:hAnsi="Times New Roman Regular" w:cs="Times New Roman Regular"/>
          <w:color w:val="auto"/>
          <w:sz w:val="24"/>
          <w:szCs w:val="24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A–C, Firmness, soluble solids and titratable acidity in CK and TDZ treatments T1–T5, corresponding to 200, 400, 600, 800 and 1,000 mg L</w:t>
      </w:r>
      <w:r>
        <w:rPr>
          <w:rFonts w:ascii="Times New Roman Regular" w:hAnsi="Times New Roman Regular" w:cs="Times New Roman Regular"/>
          <w:color w:val="auto"/>
          <w:sz w:val="24"/>
          <w:szCs w:val="24"/>
          <w:vertAlign w:val="superscript"/>
        </w:rPr>
        <w:t>−1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TDZ, respectively. T3 (600 mg L</w:t>
      </w:r>
      <w:r>
        <w:rPr>
          <w:rFonts w:ascii="Times New Roman Regular" w:hAnsi="Times New Roman Regular" w:cs="Times New Roman Regular"/>
          <w:color w:val="auto"/>
          <w:sz w:val="24"/>
          <w:szCs w:val="24"/>
          <w:vertAlign w:val="superscript"/>
        </w:rPr>
        <w:t>−1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), selected for RNA sequencing, is highlighted in red. Small symbols represent individual biological replicates, and larger symbols with error bars indicate means ± s.d. Biological replicate numbers were </w:t>
      </w:r>
      <w:r>
        <w:rPr>
          <w:rFonts w:ascii="Times New Roman Regular" w:hAnsi="Times New Roman Regular" w:cs="Times New Roman Regular"/>
          <w:i/>
          <w:iCs/>
          <w:color w:val="auto"/>
          <w:sz w:val="24"/>
          <w:szCs w:val="24"/>
        </w:rPr>
        <w:t>n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≥ 4 per group, with firmness averaged from two technical measurements per replicate; the shared 0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DAH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baseline is shown once. No CK measurements were available at 40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DAH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. Axes reflect the actual storage intervals, with lines connecting cross-sectional means.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The dashed line indicates the eating-ripe firmness threshold (7.21 N), and the shaded region denotes the post-20-DAH interval.</w:t>
      </w:r>
    </w:p>
    <w:p w14:paraId="1C47E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 Regular" w:hAnsi="Times New Roman Regular" w:cs="Times New Roman Regular"/>
          <w:color w:val="auto"/>
          <w:sz w:val="24"/>
          <w:szCs w:val="24"/>
        </w:rPr>
      </w:pPr>
    </w:p>
    <w:p w14:paraId="701B2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</w:pPr>
      <w:r>
        <w:rPr>
          <w:rFonts w:ascii="Times New Roman" w:hAnsi="Times New Roman"/>
          <w:b/>
          <w:color w:val="000000"/>
          <w:sz w:val="24"/>
        </w:rPr>
        <w:t>Supplementary Fig. S2. Sequencing quality and analysis concordance.</w:t>
      </w:r>
    </w:p>
    <w:p w14:paraId="6520DDA2">
      <w:pPr>
        <w:spacing w:before="0" w:after="0" w:line="240" w:lineRule="auto"/>
        <w:jc w:val="center"/>
      </w:pPr>
      <w:r>
        <w:drawing>
          <wp:inline distT="0" distB="0" distL="114300" distR="114300">
            <wp:extent cx="5599430" cy="3480435"/>
            <wp:effectExtent l="0" t="0" r="13970" b="24765"/>
            <wp:docPr id="2" name="Picture 2" descr="Supplementary Fig. S2. Sequencing quality and analysis concord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upplementary Fig. S2. Sequencing quality and analysis concordance"/>
                    <pic:cNvPicPr>
                      <a:picLocks noChangeAspect="1"/>
                    </pic:cNvPicPr>
                  </pic:nvPicPr>
                  <pic:blipFill>
                    <a:blip r:embed="rId5"/>
                    <a:srcRect l="8212" t="6857" r="11589" b="57796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F4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A, Q30, unique alignment rate and read-pair metrics for the 36 RNA-seq libraries. B, Pearson correlations between genome-wide FPKM profiles. C, Concordance of log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vertAlign w:val="subscript"/>
          <w:lang w:val="en-US" w:eastAsia="zh-CN"/>
        </w:rPr>
        <w:t>2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fold-change estimates between the provider analysis and independent count-based DESeq2 reanalysis across matched TDZ–CK contrasts. Rectangular bins show gene density, coloured by log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vertAlign w:val="subscript"/>
          <w:lang w:val="en-US" w:eastAsia="zh-CN"/>
        </w:rPr>
        <w:t>10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(gene count + 1). Each comparison includes genes shared between the two analyses with finite effect estimates. The diagonal indicates perfect agreement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/>
        </w:rPr>
        <w:t>.</w:t>
      </w:r>
    </w:p>
    <w:p w14:paraId="5ADD2FBD">
      <w:pPr>
        <w:keepNext/>
        <w:pageBreakBefore/>
        <w:spacing w:before="0" w:after="120" w:line="240" w:lineRule="auto"/>
        <w:jc w:val="left"/>
      </w:pPr>
      <w:r>
        <w:rPr>
          <w:rFonts w:ascii="Times New Roman" w:hAnsi="Times New Roman"/>
          <w:b/>
          <w:color w:val="000000"/>
          <w:sz w:val="24"/>
        </w:rPr>
        <w:t>Supplementary Fig. S3. Transcriptional change across adjacent storage intervals.</w:t>
      </w:r>
    </w:p>
    <w:p w14:paraId="39217018">
      <w:pPr>
        <w:spacing w:before="0" w:after="0" w:line="240" w:lineRule="auto"/>
        <w:jc w:val="center"/>
      </w:pPr>
      <w:r>
        <w:drawing>
          <wp:inline distT="0" distB="0" distL="114300" distR="114300">
            <wp:extent cx="5686425" cy="2740025"/>
            <wp:effectExtent l="0" t="0" r="3175" b="3175"/>
            <wp:docPr id="3" name="Picture 3" descr="Supplementary Fig. S3. Transcriptional change across adjacent storage interv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upplementary Fig. S3. Transcriptional change across adjacent storage intervals"/>
                    <pic:cNvPicPr>
                      <a:picLocks noChangeAspect="1"/>
                    </pic:cNvPicPr>
                  </pic:nvPicPr>
                  <pic:blipFill>
                    <a:blip r:embed="rId6"/>
                    <a:srcRect l="6046" t="3905" r="6046" b="6613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12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 Regular" w:hAnsi="Times New Roman Regular" w:cs="Times New Roman Regular"/>
          <w:color w:val="auto"/>
          <w:sz w:val="24"/>
          <w:szCs w:val="24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Up- and downregulated DEG counts across successive storage intervals within CK and TDZ. Each contrast compares the later time point with the preceding time point, using thresholds of FDR &lt; 0.01 and |log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vertAlign w:val="subscript"/>
          <w:lang w:val="en-US" w:eastAsia="zh-CN"/>
        </w:rPr>
        <w:t>2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fold change| ≥ 1. Sampling intervals are displayed at equal spacing.</w:t>
      </w:r>
    </w:p>
    <w:p w14:paraId="4C631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 Regular" w:hAnsi="Times New Roman Regular" w:cs="Times New Roman Regular"/>
          <w:color w:val="auto"/>
          <w:sz w:val="24"/>
          <w:szCs w:val="24"/>
        </w:rPr>
      </w:pPr>
    </w:p>
    <w:p w14:paraId="3F416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</w:pPr>
      <w:r>
        <w:rPr>
          <w:rFonts w:ascii="Times New Roman" w:hAnsi="Times New Roman"/>
          <w:b/>
          <w:color w:val="000000"/>
          <w:sz w:val="24"/>
        </w:rPr>
        <w:t>Supplementary Fig. S4. GSEA identified time-dependent functional responses.</w:t>
      </w:r>
    </w:p>
    <w:p w14:paraId="255C2451">
      <w:pPr>
        <w:spacing w:before="0" w:after="0" w:line="240" w:lineRule="auto"/>
        <w:jc w:val="center"/>
      </w:pPr>
      <w:r>
        <w:drawing>
          <wp:inline distT="0" distB="0" distL="114300" distR="114300">
            <wp:extent cx="5612765" cy="3499485"/>
            <wp:effectExtent l="0" t="0" r="635" b="5715"/>
            <wp:docPr id="4" name="Picture 4" descr="Supplementary Fig. S4. GSEA identified time-dependent functional respon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upplementary Fig. S4. GSEA identified time-dependent functional responses"/>
                    <pic:cNvPicPr>
                      <a:picLocks noChangeAspect="1"/>
                    </pic:cNvPicPr>
                  </pic:nvPicPr>
                  <pic:blipFill>
                    <a:blip r:embed="rId7"/>
                    <a:srcRect l="6046" t="3250" r="8626" b="59122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A7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 Regular" w:hAnsi="Times New Roman Regular" w:cs="Times New Roman Regular"/>
          <w:color w:val="auto"/>
          <w:sz w:val="24"/>
          <w:szCs w:val="24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Fourteen KEGG gene sets across matched TDZ–CK contrasts at 4–20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DAH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. Gene sets were ranked by the number of contrasts with </w:t>
      </w:r>
      <w:r>
        <w:rPr>
          <w:rFonts w:hint="default" w:ascii="Times New Roman Regular" w:hAnsi="Times New Roman Regular" w:cs="Times New Roman Regular"/>
          <w:i/>
          <w:iCs/>
          <w:color w:val="auto"/>
          <w:sz w:val="24"/>
          <w:szCs w:val="24"/>
        </w:rPr>
        <w:t xml:space="preserve">q 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&lt; 0.05, followed by minimum </w:t>
      </w:r>
      <w:r>
        <w:rPr>
          <w:rFonts w:ascii="Times New Roman Regular" w:hAnsi="Times New Roman Regular" w:cs="Times New Roman Regular"/>
          <w:i/>
          <w:iCs/>
          <w:color w:val="auto"/>
          <w:sz w:val="24"/>
          <w:szCs w:val="24"/>
        </w:rPr>
        <w:t>q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and maximum absolute NES. Colour denotes NES, and point area denotes −log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vertAlign w:val="subscript"/>
          <w:lang w:val="en-US" w:eastAsia="zh-CN"/>
        </w:rPr>
        <w:t>10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(</w:t>
      </w:r>
      <w:r>
        <w:rPr>
          <w:rFonts w:ascii="Times New Roman Regular" w:hAnsi="Times New Roman Regular" w:cs="Times New Roman Regular"/>
          <w:i/>
          <w:iCs/>
          <w:color w:val="auto"/>
          <w:sz w:val="24"/>
          <w:szCs w:val="24"/>
        </w:rPr>
        <w:t>q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). Full and reduced opacity indicate </w:t>
      </w:r>
      <w:r>
        <w:rPr>
          <w:rFonts w:hint="default" w:ascii="Times New Roman Regular" w:hAnsi="Times New Roman Regular" w:cs="Times New Roman Regular"/>
          <w:i/>
          <w:iCs/>
          <w:color w:val="auto"/>
          <w:sz w:val="24"/>
          <w:szCs w:val="24"/>
        </w:rPr>
        <w:t>q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&lt; 0.05 and </w:t>
      </w:r>
      <w:r>
        <w:rPr>
          <w:rFonts w:hint="default" w:ascii="Times New Roman Regular" w:hAnsi="Times New Roman Regular" w:cs="Times New Roman Regular"/>
          <w:i/>
          <w:iCs/>
          <w:color w:val="auto"/>
          <w:sz w:val="24"/>
          <w:szCs w:val="24"/>
        </w:rPr>
        <w:t>q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 xml:space="preserve"> ≥ 0.05, respectively. Colour scales and point sizes were mapped to the underlying values without truncation.</w:t>
      </w:r>
    </w:p>
    <w:p w14:paraId="3DA2D871">
      <w:pPr>
        <w:spacing w:before="0" w:after="0" w:line="240" w:lineRule="auto"/>
        <w:jc w:val="center"/>
      </w:pPr>
    </w:p>
    <w:p w14:paraId="380C8BF7">
      <w:pPr>
        <w:keepNext/>
        <w:pageBreakBefore/>
        <w:spacing w:before="0" w:after="120" w:line="240" w:lineRule="auto"/>
        <w:jc w:val="left"/>
      </w:pPr>
      <w:r>
        <w:rPr>
          <w:rFonts w:ascii="Times New Roman" w:hAnsi="Times New Roman"/>
          <w:b/>
          <w:color w:val="000000"/>
          <w:sz w:val="24"/>
        </w:rPr>
        <w:t>Supplementary Fig. S5. Expression-filter coverage in the WGCNA analysis.</w:t>
      </w:r>
    </w:p>
    <w:p w14:paraId="543E5D85">
      <w:pPr>
        <w:spacing w:before="0" w:after="0" w:line="240" w:lineRule="auto"/>
        <w:jc w:val="center"/>
      </w:pPr>
      <w:bookmarkStart w:id="0" w:name="_GoBack"/>
      <w:r>
        <w:drawing>
          <wp:inline distT="0" distB="0" distL="114300" distR="114300">
            <wp:extent cx="5962015" cy="1656080"/>
            <wp:effectExtent l="0" t="0" r="6985" b="20320"/>
            <wp:docPr id="5" name="Picture 5" descr="Supplementary Fig. S5. Expression-filter coverage in the WGCNA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upplementary Fig. S5. Expression-filter coverage in the WGCNA analysis"/>
                    <pic:cNvPicPr>
                      <a:picLocks noChangeAspect="1"/>
                    </pic:cNvPicPr>
                  </pic:nvPicPr>
                  <pic:blipFill>
                    <a:blip r:embed="rId8"/>
                    <a:srcRect t="5259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16560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2A7F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/>
        </w:rPr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Gene retention under the strict filter (FPKM &gt; 1 in all 36 libraries) and relaxed filter (FPKM &gt; 1 in at least three libraries). Percentages are calculated relative to the indicated gene sets. The strict filter retained eleven of twelve candidate genes, whereas the relaxed filter retained all twelve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/>
        </w:rPr>
        <w:t>.</w:t>
      </w:r>
    </w:p>
    <w:p w14:paraId="572AA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" w:hAnsi="Times New Roman"/>
          <w:b/>
          <w:color w:val="000000"/>
          <w:sz w:val="24"/>
        </w:rPr>
      </w:pPr>
    </w:p>
    <w:p w14:paraId="4E162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</w:pPr>
      <w:r>
        <w:rPr>
          <w:rFonts w:ascii="Times New Roman" w:hAnsi="Times New Roman"/>
          <w:b/>
          <w:color w:val="000000"/>
          <w:sz w:val="24"/>
        </w:rPr>
        <w:t>Supplementary Fig. S6. Original network dendrograms and blockwise TOM.</w:t>
      </w:r>
    </w:p>
    <w:p w14:paraId="683E44C7">
      <w:pPr>
        <w:spacing w:before="0" w:after="0" w:line="240" w:lineRule="auto"/>
        <w:jc w:val="center"/>
      </w:pPr>
      <w:r>
        <w:drawing>
          <wp:inline distT="0" distB="0" distL="114300" distR="114300">
            <wp:extent cx="5765800" cy="5352415"/>
            <wp:effectExtent l="0" t="0" r="0" b="6985"/>
            <wp:docPr id="6" name="Picture 6" descr="Supplementary Fig. S6. Original network dendrograms and blockwise 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upplementary Fig. S6. Original network dendrograms and blockwise TOM"/>
                    <pic:cNvPicPr>
                      <a:picLocks noChangeAspect="1"/>
                    </pic:cNvPicPr>
                  </pic:nvPicPr>
                  <pic:blipFill>
                    <a:blip r:embed="rId9"/>
                    <a:srcRect t="2787" b="26420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535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A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</w:pPr>
      <w:r>
        <w:rPr>
          <w:rFonts w:ascii="Times New Roman Regular" w:hAnsi="Times New Roman Regular" w:cs="Times New Roman Regular"/>
          <w:color w:val="auto"/>
          <w:sz w:val="24"/>
          <w:szCs w:val="24"/>
        </w:rPr>
        <w:t>A, Four original blockwise WGCNA dendrograms with module-colour tracks in leaf order. Blocks 1–4 contain 5,615, 5,260, 4,193 and 3,149 genes, respectively. B, Blockwise signed TOM for 18,217 filtered genes using a soft-thresholding power of 20 and the original within-block leaf order. Within-block TOM values were aggregated by two-dimensional arithmetic means into a 3,200 × 3,200 display matrix without gene sampling. The fourth-root colour transformation improves visibility, while the legend reports raw TOM similarity. Grey off-diagonal regions indicate uncomputed between-block TOM.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A8F"/>
    <w:rsid w:val="000002A4"/>
    <w:rsid w:val="00044CA4"/>
    <w:rsid w:val="00090052"/>
    <w:rsid w:val="000947D3"/>
    <w:rsid w:val="000D3DBF"/>
    <w:rsid w:val="000E0881"/>
    <w:rsid w:val="0018176D"/>
    <w:rsid w:val="001D638D"/>
    <w:rsid w:val="0024395C"/>
    <w:rsid w:val="00276D17"/>
    <w:rsid w:val="00286379"/>
    <w:rsid w:val="002B47B2"/>
    <w:rsid w:val="002C17CF"/>
    <w:rsid w:val="003158A2"/>
    <w:rsid w:val="003210FF"/>
    <w:rsid w:val="00394023"/>
    <w:rsid w:val="003A4B31"/>
    <w:rsid w:val="004A0376"/>
    <w:rsid w:val="0054509F"/>
    <w:rsid w:val="00563B74"/>
    <w:rsid w:val="0056480A"/>
    <w:rsid w:val="00571080"/>
    <w:rsid w:val="005953EA"/>
    <w:rsid w:val="005B7AB1"/>
    <w:rsid w:val="005F072F"/>
    <w:rsid w:val="005F64DD"/>
    <w:rsid w:val="006111B7"/>
    <w:rsid w:val="0061572E"/>
    <w:rsid w:val="00634181"/>
    <w:rsid w:val="006404AC"/>
    <w:rsid w:val="006820A4"/>
    <w:rsid w:val="006950CB"/>
    <w:rsid w:val="006E0ABA"/>
    <w:rsid w:val="00715BDA"/>
    <w:rsid w:val="007727E8"/>
    <w:rsid w:val="00781783"/>
    <w:rsid w:val="0079161C"/>
    <w:rsid w:val="00797E7D"/>
    <w:rsid w:val="007C0AB8"/>
    <w:rsid w:val="007D3A16"/>
    <w:rsid w:val="0085312F"/>
    <w:rsid w:val="0088389B"/>
    <w:rsid w:val="008916FA"/>
    <w:rsid w:val="008D4E7B"/>
    <w:rsid w:val="008D5841"/>
    <w:rsid w:val="008F2D03"/>
    <w:rsid w:val="009267AE"/>
    <w:rsid w:val="00970F80"/>
    <w:rsid w:val="009F18A8"/>
    <w:rsid w:val="00A018E7"/>
    <w:rsid w:val="00A058E2"/>
    <w:rsid w:val="00A64E83"/>
    <w:rsid w:val="00A81F78"/>
    <w:rsid w:val="00AB7BC0"/>
    <w:rsid w:val="00B223E7"/>
    <w:rsid w:val="00B454B0"/>
    <w:rsid w:val="00B61E5D"/>
    <w:rsid w:val="00B86E27"/>
    <w:rsid w:val="00BC709B"/>
    <w:rsid w:val="00BF64E4"/>
    <w:rsid w:val="00C135AD"/>
    <w:rsid w:val="00C260CB"/>
    <w:rsid w:val="00C35FD1"/>
    <w:rsid w:val="00D67A8F"/>
    <w:rsid w:val="00D74DE9"/>
    <w:rsid w:val="00DB4DEF"/>
    <w:rsid w:val="00DE0551"/>
    <w:rsid w:val="00DE4BEE"/>
    <w:rsid w:val="00DE5448"/>
    <w:rsid w:val="00E129A2"/>
    <w:rsid w:val="00E247F5"/>
    <w:rsid w:val="00E52ECD"/>
    <w:rsid w:val="00E6708F"/>
    <w:rsid w:val="00F02BFB"/>
    <w:rsid w:val="00F066B2"/>
    <w:rsid w:val="00F24881"/>
    <w:rsid w:val="00F668A1"/>
    <w:rsid w:val="00F70630"/>
    <w:rsid w:val="00F8229A"/>
    <w:rsid w:val="127D2A31"/>
    <w:rsid w:val="3EDF1AE2"/>
    <w:rsid w:val="77EF9FF3"/>
    <w:rsid w:val="7DDD3346"/>
    <w:rsid w:val="7FA57255"/>
    <w:rsid w:val="9BBDA647"/>
    <w:rsid w:val="AF1FB07C"/>
    <w:rsid w:val="C6E6FBD9"/>
    <w:rsid w:val="FF59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uiPriority w:val="99"/>
    <w:rPr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616</Words>
  <Characters>3512</Characters>
  <Lines>29</Lines>
  <Paragraphs>8</Paragraphs>
  <TotalTime>3</TotalTime>
  <ScaleCrop>false</ScaleCrop>
  <LinksUpToDate>false</LinksUpToDate>
  <CharactersWithSpaces>4120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2025-11-28T02:46:00Z</dcterms:created>
  <dc:creator>huiyun song</dc:creator>
  <cp:lastModifiedBy>咖喱GAYGAY！</cp:lastModifiedBy>
  <dcterms:modified xsi:type="dcterms:W3CDTF">2026-09-15T22:54:59Z</dcterms:modified>
  <dc:title>Supplementary figures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3C2A60A374F9B44261ACA36A0490F539_42</vt:lpwstr>
  </property>
</Properties>
</file>