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6C9D2">
      <w:pPr>
        <w:widowControl w:val="0"/>
        <w:spacing w:after="160" w:line="276" w:lineRule="auto"/>
        <w:jc w:val="center"/>
        <w:rPr>
          <w:sz w:val="40"/>
          <w:szCs w:val="40"/>
        </w:rPr>
      </w:pPr>
      <w:r>
        <w:rPr>
          <w:rFonts w:eastAsia="等线"/>
          <w:b/>
          <w:bCs/>
          <w:kern w:val="2"/>
          <w:sz w:val="40"/>
          <w:szCs w:val="40"/>
          <w:lang w:eastAsia="zh-CN" w:bidi="ar"/>
        </w:rPr>
        <w:t>Supporting information</w:t>
      </w:r>
      <w:r>
        <w:rPr>
          <w:rFonts w:hint="eastAsia" w:eastAsia="等线"/>
          <w:b/>
          <w:bCs/>
          <w:kern w:val="2"/>
          <w:sz w:val="40"/>
          <w:szCs w:val="40"/>
          <w:lang w:eastAsia="zh-CN" w:bidi="ar"/>
        </w:rPr>
        <w:t xml:space="preserve"> for Cellulose</w:t>
      </w:r>
    </w:p>
    <w:p w14:paraId="7EF96BE1">
      <w:pPr>
        <w:pStyle w:val="5"/>
        <w:widowControl w:val="0"/>
        <w:spacing w:before="120"/>
        <w:jc w:val="center"/>
        <w:rPr>
          <w:b/>
          <w:bCs/>
          <w:kern w:val="2"/>
          <w:sz w:val="32"/>
          <w:szCs w:val="32"/>
          <w:lang w:eastAsia="zh-CN" w:bidi="ar"/>
        </w:rPr>
      </w:pPr>
      <w:r>
        <w:rPr>
          <w:b/>
          <w:bCs/>
          <w:kern w:val="2"/>
          <w:sz w:val="32"/>
          <w:szCs w:val="32"/>
          <w:lang w:eastAsia="zh-CN" w:bidi="ar"/>
        </w:rPr>
        <w:t>Biomass L-Lysine Modified PVDF-TrFE Composite Triboelectric Nanogenerator for High-Efficiency Mechanical Energy Harvesting and Self-Powered Intelligent Sensing</w:t>
      </w:r>
    </w:p>
    <w:p w14:paraId="41AC9AD6">
      <w:pPr>
        <w:pStyle w:val="15"/>
        <w:rPr>
          <w:sz w:val="21"/>
          <w:szCs w:val="21"/>
          <w:vertAlign w:val="superscript"/>
        </w:rPr>
      </w:pPr>
      <w:r>
        <w:rPr>
          <w:sz w:val="21"/>
          <w:szCs w:val="21"/>
        </w:rPr>
        <w:t>Wei Li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vertAlign w:val="superscript"/>
        </w:rPr>
        <w:t>a</w:t>
      </w:r>
      <w:r>
        <w:rPr>
          <w:sz w:val="21"/>
          <w:szCs w:val="21"/>
          <w:vertAlign w:val="superscript"/>
        </w:rPr>
        <w:t>,</w:t>
      </w:r>
      <w:r>
        <w:rPr>
          <w:rFonts w:hint="eastAsia"/>
          <w:sz w:val="21"/>
          <w:szCs w:val="21"/>
          <w:vertAlign w:val="superscript"/>
        </w:rPr>
        <w:t>b</w:t>
      </w:r>
      <w:r>
        <w:rPr>
          <w:sz w:val="21"/>
          <w:szCs w:val="21"/>
          <w:vertAlign w:val="superscript"/>
        </w:rPr>
        <w:t xml:space="preserve"> *</w:t>
      </w:r>
      <w:r>
        <w:rPr>
          <w:rFonts w:hint="eastAsia"/>
          <w:sz w:val="21"/>
          <w:szCs w:val="21"/>
          <w:vertAlign w:val="baseline"/>
          <w:lang w:val="en-US" w:eastAsia="zh-CN"/>
        </w:rPr>
        <w:t>,</w:t>
      </w:r>
      <w:r>
        <w:rPr>
          <w:rFonts w:hint="eastAsia"/>
          <w:sz w:val="21"/>
          <w:szCs w:val="21"/>
          <w:vertAlign w:val="superscript"/>
          <w:lang w:val="en-US" w:eastAsia="zh-CN"/>
        </w:rPr>
        <w:t xml:space="preserve"> </w:t>
      </w:r>
      <w:r>
        <w:rPr>
          <w:sz w:val="21"/>
          <w:szCs w:val="21"/>
        </w:rPr>
        <w:t>Mouyue Zhu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vertAlign w:val="superscript"/>
        </w:rPr>
        <w:t>a</w:t>
      </w:r>
      <w:r>
        <w:rPr>
          <w:sz w:val="21"/>
          <w:szCs w:val="21"/>
        </w:rPr>
        <w:t>, Ziliang Xie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vertAlign w:val="superscript"/>
        </w:rPr>
        <w:t>a</w:t>
      </w:r>
      <w:r>
        <w:rPr>
          <w:sz w:val="21"/>
          <w:szCs w:val="21"/>
        </w:rPr>
        <w:t>,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Hongji Guan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vertAlign w:val="superscript"/>
        </w:rPr>
        <w:t>a</w:t>
      </w:r>
      <w:r>
        <w:rPr>
          <w:sz w:val="21"/>
          <w:szCs w:val="21"/>
        </w:rPr>
        <w:t>, Qiyuan Zong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vertAlign w:val="superscript"/>
        </w:rPr>
        <w:t>a</w:t>
      </w:r>
      <w:r>
        <w:rPr>
          <w:sz w:val="21"/>
          <w:szCs w:val="21"/>
        </w:rPr>
        <w:t>, Kexin Chen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vertAlign w:val="superscript"/>
        </w:rPr>
        <w:t>a</w:t>
      </w:r>
      <w:r>
        <w:rPr>
          <w:sz w:val="21"/>
          <w:szCs w:val="21"/>
        </w:rPr>
        <w:t>, Shenyu Qiu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vertAlign w:val="superscript"/>
        </w:rPr>
        <w:t>a</w:t>
      </w:r>
      <w:r>
        <w:rPr>
          <w:sz w:val="21"/>
          <w:szCs w:val="21"/>
        </w:rPr>
        <w:t>, Xuan Peng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vertAlign w:val="superscript"/>
        </w:rPr>
        <w:t>a</w:t>
      </w:r>
      <w:r>
        <w:rPr>
          <w:sz w:val="21"/>
          <w:szCs w:val="21"/>
          <w:vertAlign w:val="superscript"/>
        </w:rPr>
        <w:t>,</w:t>
      </w:r>
      <w:r>
        <w:rPr>
          <w:rFonts w:hint="eastAsia"/>
          <w:sz w:val="21"/>
          <w:szCs w:val="21"/>
          <w:vertAlign w:val="superscript"/>
        </w:rPr>
        <w:t>b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and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>Wenchao Zhai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vertAlign w:val="superscript"/>
        </w:rPr>
        <w:t>a</w:t>
      </w:r>
      <w:r>
        <w:rPr>
          <w:sz w:val="21"/>
          <w:szCs w:val="21"/>
          <w:vertAlign w:val="superscript"/>
        </w:rPr>
        <w:t>,</w:t>
      </w:r>
      <w:r>
        <w:rPr>
          <w:rFonts w:hint="eastAsia"/>
          <w:sz w:val="21"/>
          <w:szCs w:val="21"/>
          <w:vertAlign w:val="superscript"/>
        </w:rPr>
        <w:t>b</w:t>
      </w:r>
      <w:r>
        <w:rPr>
          <w:sz w:val="21"/>
          <w:szCs w:val="21"/>
          <w:vertAlign w:val="superscript"/>
        </w:rPr>
        <w:t xml:space="preserve"> </w:t>
      </w:r>
      <w:r>
        <w:rPr>
          <w:rFonts w:hint="eastAsia"/>
          <w:sz w:val="21"/>
          <w:szCs w:val="21"/>
        </w:rPr>
        <w:t xml:space="preserve"> </w:t>
      </w:r>
    </w:p>
    <w:p w14:paraId="0AE65F49">
      <w:pPr>
        <w:pStyle w:val="16"/>
        <w:rPr>
          <w:b/>
          <w:bCs/>
          <w:sz w:val="21"/>
          <w:szCs w:val="21"/>
        </w:rPr>
      </w:pPr>
      <w:r>
        <w:rPr>
          <w:rFonts w:hint="eastAsia"/>
          <w:sz w:val="21"/>
          <w:szCs w:val="21"/>
          <w:vertAlign w:val="superscript"/>
        </w:rPr>
        <w:t>a</w:t>
      </w:r>
      <w:r>
        <w:rPr>
          <w:rFonts w:hint="eastAsia"/>
          <w:color w:val="1A2029"/>
          <w:sz w:val="21"/>
          <w:szCs w:val="21"/>
          <w:shd w:val="clear" w:color="auto" w:fill="FFFFFF"/>
        </w:rPr>
        <w:t xml:space="preserve"> </w:t>
      </w:r>
      <w:r>
        <w:rPr>
          <w:sz w:val="21"/>
          <w:szCs w:val="21"/>
        </w:rPr>
        <w:t xml:space="preserve">School of Science, </w:t>
      </w:r>
      <w:r>
        <w:rPr>
          <w:rFonts w:hint="eastAsia"/>
          <w:sz w:val="21"/>
          <w:szCs w:val="21"/>
        </w:rPr>
        <w:t>Jiangxi University of Water Resources and Electric Power</w:t>
      </w:r>
      <w:r>
        <w:rPr>
          <w:sz w:val="21"/>
          <w:szCs w:val="21"/>
        </w:rPr>
        <w:t>, Nanchang 330099,</w:t>
      </w:r>
      <w:r>
        <w:rPr>
          <w:rFonts w:hint="eastAsia"/>
          <w:sz w:val="21"/>
          <w:szCs w:val="21"/>
        </w:rPr>
        <w:t xml:space="preserve"> </w:t>
      </w:r>
      <w:r>
        <w:rPr>
          <w:color w:val="1A2029"/>
          <w:sz w:val="21"/>
          <w:szCs w:val="21"/>
          <w:shd w:val="clear" w:color="auto" w:fill="FFFFFF"/>
        </w:rPr>
        <w:t>People’s Republic of China</w:t>
      </w:r>
    </w:p>
    <w:p w14:paraId="42E22ABE">
      <w:pPr>
        <w:pStyle w:val="16"/>
        <w:rPr>
          <w:color w:val="1A2029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vertAlign w:val="superscript"/>
        </w:rPr>
        <w:t>b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Nanchang Key Laboratory of Photoelectric Conversion and Energy Storage Materials, Nanchang 330099, </w:t>
      </w:r>
      <w:r>
        <w:rPr>
          <w:color w:val="1A2029"/>
          <w:sz w:val="21"/>
          <w:szCs w:val="21"/>
          <w:shd w:val="clear" w:color="auto" w:fill="FFFFFF"/>
        </w:rPr>
        <w:t>People’s Republic of China</w:t>
      </w:r>
    </w:p>
    <w:p w14:paraId="798E8FD7">
      <w:pPr>
        <w:pStyle w:val="18"/>
        <w:rPr>
          <w:color w:val="1A2029"/>
          <w:shd w:val="clear" w:color="auto" w:fill="FFFFFF"/>
        </w:rPr>
      </w:pPr>
      <w:r>
        <w:rPr>
          <w:color w:val="1A2029"/>
          <w:shd w:val="clear" w:color="auto" w:fill="FFFFFF"/>
        </w:rPr>
        <w:t>*</w:t>
      </w:r>
      <w:r>
        <w:rPr>
          <w:rFonts w:hint="eastAsia"/>
          <w:color w:val="1A2029"/>
          <w:shd w:val="clear" w:color="auto" w:fill="FFFFFF"/>
        </w:rPr>
        <w:t xml:space="preserve"> </w:t>
      </w:r>
      <w:r>
        <w:rPr>
          <w:color w:val="1A2029"/>
          <w:shd w:val="clear" w:color="auto" w:fill="FFFFFF"/>
        </w:rPr>
        <w:t>Corresponding author</w:t>
      </w:r>
      <w:r>
        <w:rPr>
          <w:rFonts w:hint="eastAsia"/>
          <w:color w:val="1A2029"/>
          <w:shd w:val="clear" w:color="auto" w:fill="FFFFFF"/>
        </w:rPr>
        <w:t>.</w:t>
      </w:r>
      <w:r>
        <w:rPr>
          <w:color w:val="1A2029"/>
          <w:shd w:val="clear" w:color="auto" w:fill="FFFFFF"/>
        </w:rPr>
        <w:t xml:space="preserve"> E-mail</w:t>
      </w:r>
      <w:r>
        <w:rPr>
          <w:rFonts w:hint="eastAsia"/>
          <w:color w:val="1A2029"/>
          <w:shd w:val="clear" w:color="auto" w:fill="FFFFFF"/>
        </w:rPr>
        <w:t xml:space="preserve"> address</w:t>
      </w:r>
      <w:r>
        <w:rPr>
          <w:color w:val="1A2029"/>
          <w:shd w:val="clear" w:color="auto" w:fill="FFFFFF"/>
        </w:rPr>
        <w:t xml:space="preserve">: </w:t>
      </w:r>
      <w:r>
        <w:fldChar w:fldCharType="begin"/>
      </w:r>
      <w:r>
        <w:instrText xml:space="preserve"> HYPERLINK "mailto:liweidting@nit.edu.cn" </w:instrText>
      </w:r>
      <w:r>
        <w:fldChar w:fldCharType="separate"/>
      </w:r>
      <w:r>
        <w:rPr>
          <w:rStyle w:val="10"/>
          <w:sz w:val="18"/>
          <w:szCs w:val="18"/>
          <w:shd w:val="clear" w:color="auto" w:fill="FFFFFF"/>
        </w:rPr>
        <w:t>liweidting@</w:t>
      </w:r>
      <w:r>
        <w:rPr>
          <w:rStyle w:val="10"/>
          <w:rFonts w:hint="eastAsia"/>
          <w:sz w:val="18"/>
          <w:szCs w:val="18"/>
          <w:shd w:val="clear" w:color="auto" w:fill="FFFFFF"/>
        </w:rPr>
        <w:t>juwp</w:t>
      </w:r>
      <w:r>
        <w:rPr>
          <w:rStyle w:val="10"/>
          <w:sz w:val="18"/>
          <w:szCs w:val="18"/>
          <w:shd w:val="clear" w:color="auto" w:fill="FFFFFF"/>
        </w:rPr>
        <w:t>.edu.cn</w:t>
      </w:r>
      <w:r>
        <w:rPr>
          <w:rStyle w:val="10"/>
          <w:sz w:val="18"/>
          <w:szCs w:val="18"/>
          <w:shd w:val="clear" w:color="auto" w:fill="FFFFFF"/>
        </w:rPr>
        <w:fldChar w:fldCharType="end"/>
      </w:r>
      <w:r>
        <w:rPr>
          <w:rFonts w:hint="eastAsia"/>
          <w:shd w:val="clear" w:color="auto" w:fill="FFFFFF"/>
        </w:rPr>
        <w:t xml:space="preserve"> (Wei Li)</w:t>
      </w:r>
      <w:r>
        <w:rPr>
          <w:color w:val="1A2029"/>
          <w:shd w:val="clear" w:color="auto" w:fill="FFFFFF"/>
        </w:rPr>
        <w:t>.</w:t>
      </w:r>
    </w:p>
    <w:p w14:paraId="6D311C9F">
      <w:pPr>
        <w:pStyle w:val="19"/>
        <w:rPr>
          <w:lang w:eastAsia="zh-CN"/>
        </w:rPr>
      </w:pPr>
    </w:p>
    <w:p w14:paraId="1023E0CC">
      <w:pPr>
        <w:widowControl w:val="0"/>
        <w:spacing w:after="160" w:line="276" w:lineRule="auto"/>
      </w:pPr>
      <w:r>
        <w:rPr>
          <w:rFonts w:hint="eastAsia" w:ascii="等线" w:hAnsi="等线" w:eastAsia="等线"/>
          <w:kern w:val="2"/>
          <w:sz w:val="22"/>
          <w:szCs w:val="24"/>
          <w:lang w:eastAsia="zh-CN" w:bidi="ar"/>
        </w:rPr>
        <w:drawing>
          <wp:inline distT="0" distB="0" distL="114300" distR="114300">
            <wp:extent cx="5273040" cy="46024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6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3AE47">
      <w:pPr>
        <w:pStyle w:val="2"/>
        <w:widowControl/>
        <w:jc w:val="both"/>
        <w:rPr>
          <w:rFonts w:ascii="Calibri" w:hAnsi="Calibri" w:eastAsia="宋体" w:cs="Calibri"/>
          <w:szCs w:val="20"/>
        </w:rPr>
      </w:pPr>
      <w:r>
        <w:rPr>
          <w:rFonts w:ascii="Calibri" w:hAnsi="Calibri" w:eastAsia="宋体" w:cs="Calibri"/>
          <w:b/>
          <w:bCs/>
          <w:szCs w:val="20"/>
        </w:rPr>
        <w:t>Fig. S</w:t>
      </w:r>
      <w:r>
        <w:rPr>
          <w:rFonts w:ascii="Calibri" w:hAnsi="Calibri" w:eastAsia="宋体" w:cs="Calibri"/>
          <w:b/>
          <w:bCs/>
          <w:szCs w:val="20"/>
        </w:rPr>
        <w:fldChar w:fldCharType="begin"/>
      </w:r>
      <w:r>
        <w:rPr>
          <w:rFonts w:ascii="Calibri" w:hAnsi="Calibri" w:eastAsia="宋体" w:cs="Calibri"/>
          <w:b/>
          <w:bCs/>
          <w:szCs w:val="20"/>
        </w:rPr>
        <w:instrText xml:space="preserve"> SEQ Figure_S \* ARABIC </w:instrText>
      </w:r>
      <w:r>
        <w:rPr>
          <w:rFonts w:ascii="Calibri" w:hAnsi="Calibri" w:eastAsia="宋体" w:cs="Calibri"/>
          <w:b/>
          <w:bCs/>
          <w:szCs w:val="20"/>
        </w:rPr>
        <w:fldChar w:fldCharType="separate"/>
      </w:r>
      <w:r>
        <w:rPr>
          <w:rFonts w:ascii="Calibri" w:hAnsi="Calibri" w:eastAsia="宋体" w:cs="Calibri"/>
          <w:b/>
          <w:bCs/>
          <w:szCs w:val="20"/>
        </w:rPr>
        <w:t>1</w:t>
      </w:r>
      <w:r>
        <w:rPr>
          <w:rFonts w:ascii="Calibri" w:hAnsi="Calibri" w:eastAsia="宋体" w:cs="Calibri"/>
          <w:b/>
          <w:bCs/>
          <w:szCs w:val="20"/>
        </w:rPr>
        <w:fldChar w:fldCharType="end"/>
      </w:r>
      <w:r>
        <w:rPr>
          <w:rFonts w:ascii="Calibri" w:hAnsi="Calibri" w:eastAsia="宋体" w:cs="Calibri"/>
          <w:b/>
          <w:bCs/>
          <w:szCs w:val="20"/>
        </w:rPr>
        <w:t xml:space="preserve"> </w:t>
      </w:r>
      <w:r>
        <w:rPr>
          <w:rFonts w:ascii="Calibri" w:hAnsi="Calibri" w:eastAsia="宋体" w:cs="Calibri"/>
          <w:szCs w:val="20"/>
        </w:rPr>
        <w:t xml:space="preserve">EDS elemental mapping of the L-lysine/PVDF-TrFE composite film. </w:t>
      </w:r>
      <w:r>
        <w:rPr>
          <w:rFonts w:ascii="Calibri" w:hAnsi="Calibri" w:eastAsia="宋体" w:cs="Calibri"/>
          <w:b/>
          <w:bCs/>
          <w:szCs w:val="20"/>
        </w:rPr>
        <w:t>a</w:t>
      </w:r>
      <w:r>
        <w:rPr>
          <w:rFonts w:ascii="Calibri" w:hAnsi="Calibri" w:eastAsia="宋体" w:cs="Calibri"/>
          <w:szCs w:val="20"/>
        </w:rPr>
        <w:t xml:space="preserve"> Fluorine Kα</w:t>
      </w:r>
      <w:r>
        <w:rPr>
          <w:rFonts w:ascii="Calibri" w:hAnsi="Calibri" w:eastAsia="宋体" w:cs="Calibri"/>
          <w:szCs w:val="20"/>
          <w:vertAlign w:val="subscript"/>
        </w:rPr>
        <w:t>1,2</w:t>
      </w:r>
      <w:r>
        <w:rPr>
          <w:rFonts w:ascii="Calibri" w:hAnsi="Calibri" w:eastAsia="宋体" w:cs="Calibri"/>
          <w:szCs w:val="20"/>
        </w:rPr>
        <w:t xml:space="preserve"> elemental mapping. </w:t>
      </w:r>
      <w:r>
        <w:rPr>
          <w:rFonts w:ascii="Calibri" w:hAnsi="Calibri" w:eastAsia="宋体" w:cs="Calibri"/>
          <w:b/>
          <w:bCs/>
          <w:szCs w:val="20"/>
        </w:rPr>
        <w:t>b</w:t>
      </w:r>
      <w:r>
        <w:rPr>
          <w:rFonts w:ascii="Calibri" w:hAnsi="Calibri" w:eastAsia="宋体" w:cs="Calibri"/>
          <w:szCs w:val="20"/>
        </w:rPr>
        <w:t xml:space="preserve"> Carbon Kα</w:t>
      </w:r>
      <w:r>
        <w:rPr>
          <w:rFonts w:ascii="Calibri" w:hAnsi="Calibri" w:eastAsia="宋体" w:cs="Calibri"/>
          <w:szCs w:val="20"/>
          <w:vertAlign w:val="subscript"/>
        </w:rPr>
        <w:t>1,2</w:t>
      </w:r>
      <w:r>
        <w:rPr>
          <w:rFonts w:ascii="Calibri" w:hAnsi="Calibri" w:eastAsia="宋体" w:cs="Calibri"/>
          <w:szCs w:val="20"/>
        </w:rPr>
        <w:t xml:space="preserve"> elemental mapping.</w:t>
      </w:r>
      <w:r>
        <w:rPr>
          <w:rFonts w:ascii="Calibri" w:hAnsi="Calibri" w:eastAsia="宋体" w:cs="Calibri"/>
          <w:b/>
          <w:bCs/>
          <w:szCs w:val="20"/>
        </w:rPr>
        <w:t xml:space="preserve"> c</w:t>
      </w:r>
      <w:r>
        <w:rPr>
          <w:rFonts w:ascii="Calibri" w:hAnsi="Calibri" w:eastAsia="宋体" w:cs="Calibri"/>
          <w:szCs w:val="20"/>
        </w:rPr>
        <w:t xml:space="preserve"> Oxygen Kα</w:t>
      </w:r>
      <w:r>
        <w:rPr>
          <w:rFonts w:ascii="Calibri" w:hAnsi="Calibri" w:eastAsia="宋体" w:cs="Calibri"/>
          <w:szCs w:val="20"/>
          <w:vertAlign w:val="subscript"/>
        </w:rPr>
        <w:t>1,2</w:t>
      </w:r>
      <w:r>
        <w:rPr>
          <w:rFonts w:ascii="Calibri" w:hAnsi="Calibri" w:eastAsia="宋体" w:cs="Calibri"/>
          <w:szCs w:val="20"/>
        </w:rPr>
        <w:t xml:space="preserve"> elemental mapping. </w:t>
      </w:r>
      <w:r>
        <w:rPr>
          <w:rFonts w:ascii="Calibri" w:hAnsi="Calibri" w:eastAsia="宋体" w:cs="Calibri"/>
          <w:b/>
          <w:bCs/>
          <w:szCs w:val="20"/>
        </w:rPr>
        <w:t>d</w:t>
      </w:r>
      <w:r>
        <w:rPr>
          <w:rFonts w:ascii="Calibri" w:hAnsi="Calibri" w:eastAsia="宋体" w:cs="Calibri"/>
          <w:szCs w:val="20"/>
        </w:rPr>
        <w:t xml:space="preserve"> Nitrogen Kα</w:t>
      </w:r>
      <w:r>
        <w:rPr>
          <w:rFonts w:ascii="Calibri" w:hAnsi="Calibri" w:eastAsia="宋体" w:cs="Calibri"/>
          <w:szCs w:val="20"/>
          <w:vertAlign w:val="subscript"/>
        </w:rPr>
        <w:t>1,2</w:t>
      </w:r>
      <w:r>
        <w:rPr>
          <w:rFonts w:ascii="Calibri" w:hAnsi="Calibri" w:eastAsia="宋体" w:cs="Calibri"/>
          <w:szCs w:val="20"/>
        </w:rPr>
        <w:t xml:space="preserve"> elemental mapping. The scale bars in all panels correspond to 50μm.</w:t>
      </w:r>
    </w:p>
    <w:p w14:paraId="2FF1AE2A">
      <w:pPr>
        <w:widowControl w:val="0"/>
        <w:spacing w:after="160"/>
        <w:ind w:firstLine="480" w:firstLineChars="200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kern w:val="2"/>
          <w:szCs w:val="24"/>
          <w:shd w:val="clear" w:color="auto" w:fill="FFFFFF"/>
          <w:lang w:eastAsia="zh-CN" w:bidi="ar"/>
        </w:rPr>
        <w:t>Elemental spatial distribution of the L-lysine/PVDF-TrFE composite film was characterized via energy-dispersive X-ray spectroscopy (EDS) elemental mapping, as shown in Fig. S1. The fluorine signal (Fig. S1a) originates exclusively from the PVDF-TrFE polymer matrix. Homogeneous fluorine distribution over the imaged area confirms a continuous polymer framework with no evident macroscopic phase separation or localized filler aggregation. The carbon signal (Fig.</w:t>
      </w:r>
      <w:r>
        <w:rPr>
          <w:rFonts w:hint="eastAsia"/>
          <w:color w:val="000000"/>
          <w:kern w:val="2"/>
          <w:szCs w:val="24"/>
          <w:shd w:val="clear" w:color="auto" w:fill="FFFFFF"/>
          <w:lang w:eastAsia="zh-CN" w:bidi="ar"/>
        </w:rPr>
        <w:t> 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S1b) arises both from the PVDF-TrFE carbon backbone and carbon-containing moieties of doped L-lysine; uniform carbon distribution further validates overall composite homogeneity.</w:t>
      </w:r>
    </w:p>
    <w:p w14:paraId="65B348F6">
      <w:pPr>
        <w:widowControl w:val="0"/>
        <w:spacing w:after="160"/>
        <w:ind w:firstLine="480" w:firstLineChars="200"/>
        <w:jc w:val="both"/>
        <w:rPr>
          <w:color w:val="000000"/>
          <w:kern w:val="2"/>
          <w:szCs w:val="24"/>
          <w:shd w:val="clear" w:color="auto" w:fill="FFFFFF"/>
          <w:lang w:eastAsia="zh-CN" w:bidi="ar"/>
        </w:rPr>
      </w:pPr>
      <w:r>
        <w:rPr>
          <w:color w:val="000000"/>
          <w:kern w:val="2"/>
          <w:szCs w:val="24"/>
          <w:shd w:val="clear" w:color="auto" w:fill="FFFFFF"/>
          <w:lang w:eastAsia="zh-CN" w:bidi="ar"/>
        </w:rPr>
        <w:t>The oxygen signal (Fig.</w:t>
      </w:r>
      <w:r>
        <w:rPr>
          <w:rFonts w:hint="eastAsia"/>
          <w:color w:val="000000"/>
          <w:kern w:val="2"/>
          <w:szCs w:val="24"/>
          <w:shd w:val="clear" w:color="auto" w:fill="FFFFFF"/>
          <w:lang w:eastAsia="zh-CN" w:bidi="ar"/>
        </w:rPr>
        <w:t> 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S1c) corresponds to carboxyl (-COOH) groups of L-lysine, while the nitrogen signal (Fig.</w:t>
      </w:r>
      <w:r>
        <w:rPr>
          <w:rFonts w:hint="eastAsia"/>
          <w:color w:val="000000"/>
          <w:kern w:val="2"/>
          <w:szCs w:val="24"/>
          <w:shd w:val="clear" w:color="auto" w:fill="FFFFFF"/>
          <w:lang w:eastAsia="zh-CN" w:bidi="ar"/>
        </w:rPr>
        <w:t> 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S1d) originates from amino (-NH₂) groups intrinsic to L-lysine. Both O and N elements show spatially uniform, dispersed signals across the scanned region, without observable local enrichment or signal-depleted domains. Combined with the homogeneous F and C distribution from the polymer matrix, these mapping results demonstrate microscale uniform dispersion of L-lysine within the PVDF-TrFE host matrix, free from severe agglomeration or surface segregation. Such well-distributed microstructure enables full exploitation of intermolecular interactions between L-lysine and PVDF-TrFE molecular chains, which underpins the optimized dielectric, ferroelectric, and triboelectric performance of the composite film.</w:t>
      </w:r>
    </w:p>
    <w:p w14:paraId="76618E6F">
      <w:pPr>
        <w:widowControl w:val="0"/>
        <w:spacing w:after="160"/>
        <w:ind w:firstLine="480" w:firstLineChars="200"/>
        <w:jc w:val="both"/>
        <w:rPr>
          <w:color w:val="000000"/>
          <w:kern w:val="2"/>
          <w:szCs w:val="24"/>
          <w:shd w:val="clear" w:color="auto" w:fill="FFFFFF"/>
          <w:lang w:eastAsia="zh-CN" w:bidi="ar"/>
        </w:rPr>
      </w:pPr>
    </w:p>
    <w:p w14:paraId="26C111AA">
      <w:pPr>
        <w:widowControl w:val="0"/>
        <w:spacing w:after="160"/>
        <w:ind w:firstLine="480" w:firstLineChars="200"/>
        <w:jc w:val="both"/>
        <w:rPr>
          <w:color w:val="000000"/>
          <w:kern w:val="2"/>
          <w:szCs w:val="24"/>
          <w:shd w:val="clear" w:color="auto" w:fill="FFFFFF"/>
          <w:lang w:eastAsia="zh-CN" w:bidi="ar"/>
        </w:rPr>
      </w:pPr>
    </w:p>
    <w:p w14:paraId="77967A06">
      <w:pPr>
        <w:widowControl w:val="0"/>
        <w:spacing w:after="160"/>
        <w:ind w:firstLine="480" w:firstLineChars="200"/>
        <w:jc w:val="both"/>
        <w:rPr>
          <w:color w:val="000000"/>
          <w:kern w:val="2"/>
          <w:szCs w:val="24"/>
          <w:shd w:val="clear" w:color="auto" w:fill="FFFFFF"/>
          <w:lang w:eastAsia="zh-CN" w:bidi="ar"/>
        </w:rPr>
      </w:pPr>
    </w:p>
    <w:p w14:paraId="657378CC">
      <w:pPr>
        <w:widowControl w:val="0"/>
        <w:spacing w:after="160"/>
        <w:ind w:firstLine="480" w:firstLineChars="200"/>
        <w:jc w:val="both"/>
        <w:rPr>
          <w:color w:val="000000"/>
          <w:kern w:val="2"/>
          <w:szCs w:val="24"/>
          <w:shd w:val="clear" w:color="auto" w:fill="FFFFFF"/>
          <w:lang w:eastAsia="zh-CN" w:bidi="ar"/>
        </w:rPr>
      </w:pPr>
    </w:p>
    <w:p w14:paraId="090EC181">
      <w:pPr>
        <w:widowControl w:val="0"/>
        <w:spacing w:after="160"/>
        <w:ind w:firstLine="480" w:firstLineChars="200"/>
        <w:jc w:val="both"/>
        <w:rPr>
          <w:color w:val="000000"/>
          <w:kern w:val="2"/>
          <w:szCs w:val="24"/>
          <w:shd w:val="clear" w:color="auto" w:fill="FFFFFF"/>
          <w:lang w:eastAsia="zh-CN" w:bidi="ar"/>
        </w:rPr>
      </w:pPr>
    </w:p>
    <w:p w14:paraId="68A427E0">
      <w:pPr>
        <w:widowControl w:val="0"/>
        <w:spacing w:after="160"/>
        <w:ind w:firstLine="480" w:firstLineChars="200"/>
        <w:jc w:val="both"/>
        <w:rPr>
          <w:color w:val="000000"/>
          <w:kern w:val="2"/>
          <w:szCs w:val="24"/>
          <w:shd w:val="clear" w:color="auto" w:fill="FFFFFF"/>
          <w:lang w:eastAsia="zh-CN" w:bidi="ar"/>
        </w:rPr>
      </w:pPr>
    </w:p>
    <w:p w14:paraId="2A02FF0D">
      <w:pPr>
        <w:widowControl w:val="0"/>
        <w:spacing w:after="160"/>
        <w:jc w:val="both"/>
      </w:pPr>
      <w:bookmarkStart w:id="0" w:name="_GoBack"/>
      <w:bookmarkEnd w:id="0"/>
      <w:r>
        <w:rPr>
          <w:rFonts w:hint="eastAsia" w:ascii="等线" w:hAnsi="等线" w:eastAsia="等线"/>
          <w:kern w:val="2"/>
          <w:sz w:val="22"/>
          <w:szCs w:val="24"/>
          <w:lang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-290195</wp:posOffset>
            </wp:positionH>
            <wp:positionV relativeFrom="paragraph">
              <wp:posOffset>139065</wp:posOffset>
            </wp:positionV>
            <wp:extent cx="5273040" cy="416052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FF6EF6">
      <w:pPr>
        <w:pStyle w:val="2"/>
        <w:widowControl/>
        <w:jc w:val="both"/>
        <w:rPr>
          <w:rFonts w:ascii="Calibri" w:hAnsi="Calibri" w:eastAsia="宋体" w:cs="Calibri"/>
          <w:szCs w:val="20"/>
        </w:rPr>
      </w:pPr>
      <w:r>
        <w:rPr>
          <w:rFonts w:ascii="Calibri" w:hAnsi="Calibri" w:eastAsia="宋体" w:cs="Calibri"/>
          <w:b/>
          <w:bCs/>
          <w:szCs w:val="20"/>
        </w:rPr>
        <w:t>Fig. S</w:t>
      </w:r>
      <w:r>
        <w:rPr>
          <w:rFonts w:ascii="Calibri" w:hAnsi="Calibri" w:eastAsia="宋体" w:cs="Calibri"/>
          <w:b/>
          <w:bCs/>
          <w:szCs w:val="20"/>
        </w:rPr>
        <w:fldChar w:fldCharType="begin"/>
      </w:r>
      <w:r>
        <w:rPr>
          <w:rFonts w:ascii="Calibri" w:hAnsi="Calibri" w:eastAsia="宋体" w:cs="Calibri"/>
          <w:b/>
          <w:bCs/>
          <w:szCs w:val="20"/>
        </w:rPr>
        <w:instrText xml:space="preserve"> SEQ Figure_S \* ARABIC </w:instrText>
      </w:r>
      <w:r>
        <w:rPr>
          <w:rFonts w:ascii="Calibri" w:hAnsi="Calibri" w:eastAsia="宋体" w:cs="Calibri"/>
          <w:b/>
          <w:bCs/>
          <w:szCs w:val="20"/>
        </w:rPr>
        <w:fldChar w:fldCharType="separate"/>
      </w:r>
      <w:r>
        <w:rPr>
          <w:rFonts w:ascii="Calibri" w:hAnsi="Calibri" w:eastAsia="宋体" w:cs="Calibri"/>
          <w:b/>
          <w:bCs/>
          <w:szCs w:val="20"/>
        </w:rPr>
        <w:t>2</w:t>
      </w:r>
      <w:r>
        <w:rPr>
          <w:rFonts w:ascii="Calibri" w:hAnsi="Calibri" w:eastAsia="宋体" w:cs="Calibri"/>
          <w:b/>
          <w:bCs/>
          <w:szCs w:val="20"/>
        </w:rPr>
        <w:fldChar w:fldCharType="end"/>
      </w:r>
      <w:r>
        <w:rPr>
          <w:rFonts w:ascii="Calibri" w:hAnsi="Calibri" w:eastAsia="宋体" w:cs="Calibri"/>
          <w:szCs w:val="20"/>
        </w:rPr>
        <w:t xml:space="preserve"> Digital photographs and deep-learning classification metrics.</w:t>
      </w:r>
      <w:r>
        <w:rPr>
          <w:rFonts w:ascii="Calibri" w:hAnsi="Calibri" w:eastAsia="宋体" w:cs="Calibri"/>
          <w:b/>
          <w:bCs/>
          <w:szCs w:val="20"/>
        </w:rPr>
        <w:t xml:space="preserve"> a</w:t>
      </w:r>
      <w:r>
        <w:rPr>
          <w:rFonts w:ascii="Calibri" w:hAnsi="Calibri" w:eastAsia="宋体" w:cs="Calibri"/>
          <w:szCs w:val="20"/>
        </w:rPr>
        <w:t xml:space="preserve"> Optical photograph of free-standing PVDF-TrFE/L-lysine composite film. </w:t>
      </w:r>
      <w:r>
        <w:rPr>
          <w:rFonts w:ascii="Calibri" w:hAnsi="Calibri" w:eastAsia="宋体" w:cs="Calibri"/>
          <w:b/>
          <w:bCs/>
          <w:szCs w:val="20"/>
        </w:rPr>
        <w:t>b</w:t>
      </w:r>
      <w:r>
        <w:rPr>
          <w:rFonts w:ascii="Calibri" w:hAnsi="Calibri" w:eastAsia="宋体" w:cs="Calibri"/>
          <w:szCs w:val="20"/>
        </w:rPr>
        <w:t xml:space="preserve"> Photograph of a commercial thermo-hygrometer powered by rectified PL-TENG output. </w:t>
      </w:r>
      <w:r>
        <w:rPr>
          <w:rFonts w:ascii="Calibri" w:hAnsi="Calibri" w:eastAsia="宋体" w:cs="Calibri"/>
          <w:b/>
          <w:bCs/>
          <w:szCs w:val="20"/>
        </w:rPr>
        <w:t>c</w:t>
      </w:r>
      <w:r>
        <w:rPr>
          <w:rFonts w:ascii="Calibri" w:hAnsi="Calibri" w:eastAsia="宋体" w:cs="Calibri"/>
          <w:szCs w:val="20"/>
        </w:rPr>
        <w:t xml:space="preserve"> Photograph demonstrating simultaneous illumination of 324 light-emitting diodes (LEDs) driven by PL-TENG. </w:t>
      </w:r>
      <w:r>
        <w:rPr>
          <w:rFonts w:ascii="Calibri" w:hAnsi="Calibri" w:eastAsia="宋体" w:cs="Calibri"/>
          <w:b/>
          <w:bCs/>
          <w:szCs w:val="20"/>
        </w:rPr>
        <w:t xml:space="preserve">d </w:t>
      </w:r>
      <w:r>
        <w:rPr>
          <w:rFonts w:ascii="Calibri" w:hAnsi="Calibri" w:eastAsia="宋体" w:cs="Calibri"/>
          <w:szCs w:val="20"/>
        </w:rPr>
        <w:t>Classification report (precision, recall, F1-score, support counts) for the CNN-LSTM hybrid model on the geometric-object test dataset, including overall accuracy, macro-average, and weighted-average statistics (total test samples = 100).</w:t>
      </w:r>
    </w:p>
    <w:p w14:paraId="1550BA06">
      <w:pPr>
        <w:widowControl w:val="0"/>
        <w:spacing w:after="160"/>
        <w:ind w:firstLine="480" w:firstLineChars="200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kern w:val="2"/>
          <w:szCs w:val="24"/>
          <w:shd w:val="clear" w:color="auto" w:fill="FFFFFF"/>
          <w:lang w:eastAsia="zh-CN" w:bidi="ar"/>
        </w:rPr>
        <w:t>Fig.</w:t>
      </w:r>
      <w:r>
        <w:rPr>
          <w:rFonts w:hint="eastAsia"/>
          <w:color w:val="000000"/>
          <w:kern w:val="2"/>
          <w:szCs w:val="24"/>
          <w:shd w:val="clear" w:color="auto" w:fill="FFFFFF"/>
          <w:lang w:eastAsia="zh-CN" w:bidi="ar"/>
        </w:rPr>
        <w:t> 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S2d summarizes quantitative classification performance of the CNN</w:t>
      </w:r>
      <w:r>
        <w:rPr>
          <w:rFonts w:hint="eastAsia"/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LSTM hybrid network for five geometric-object categories (cone, cube, cuboid, cylinder, sphere) evaluated on 100 test-set samples. The sphere class yields perfect precision, recall, and F1-score (1.0000), indicating zero false-positive and false-negative predictions. The cylinder class achieves a precision of 1.0000 with a recall of 0.8636, revealing that a small subset of cylinder samples are misassigned to alternative categories. By contrast, the cuboid class obtains perfect recall (1.0000) but reduced precision (0.8261), meaning several non</w:t>
      </w:r>
      <w:r>
        <w:rPr>
          <w:rFonts w:hint="eastAsia"/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cuboid inputs are incorrectly predicted as cuboid. Cone and cube exhibit balanced intermediate performance with F1-scores of 0.8750 and 0.8889, respectively, constituting the major sources of minor classification error.</w:t>
      </w:r>
    </w:p>
    <w:p w14:paraId="54FD25CF">
      <w:pPr>
        <w:widowControl w:val="0"/>
        <w:spacing w:after="160"/>
        <w:ind w:firstLine="480" w:firstLineChars="200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kern w:val="2"/>
          <w:szCs w:val="24"/>
          <w:shd w:val="clear" w:color="auto" w:fill="FFFFFF"/>
          <w:lang w:eastAsia="zh-CN" w:bidi="ar"/>
        </w:rPr>
        <w:t xml:space="preserve">The overall test-set accuracy reaches 0.9200. Macro-average precision, </w:t>
      </w:r>
      <w:r>
        <w:rPr>
          <w:rFonts w:hint="eastAsia" w:ascii="等线" w:hAnsi="等线" w:eastAsia="等线"/>
          <w:kern w:val="2"/>
          <w:sz w:val="22"/>
          <w:szCs w:val="24"/>
          <w:lang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-321310</wp:posOffset>
            </wp:positionH>
            <wp:positionV relativeFrom="paragraph">
              <wp:posOffset>1678305</wp:posOffset>
            </wp:positionV>
            <wp:extent cx="5273040" cy="5737860"/>
            <wp:effectExtent l="0" t="0" r="0" b="762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73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recall, and F1-score are 0.9193, 0.9253, and 0.9191; weighted-average values are 0.9266, 0.9200, and 0.9201. The high, well-balanced average metrics verify that the CNN-LSTM hybrid architecture can effectively extract spatial-amplitude and long-range temporal features from single-channel triboelectric time-series, enabling reliable multi-category tactile-signal recognition with limited inter-class performance deviation.</w:t>
      </w:r>
    </w:p>
    <w:p w14:paraId="0EA067CB">
      <w:pPr>
        <w:widowControl w:val="0"/>
        <w:spacing w:after="160"/>
        <w:ind w:firstLine="480" w:firstLineChars="200"/>
        <w:jc w:val="center"/>
      </w:pPr>
    </w:p>
    <w:p w14:paraId="3ABA984F">
      <w:pPr>
        <w:pStyle w:val="2"/>
        <w:widowControl/>
        <w:jc w:val="both"/>
        <w:rPr>
          <w:rFonts w:ascii="Calibri" w:hAnsi="Calibri" w:eastAsia="宋体" w:cs="Calibri"/>
          <w:szCs w:val="20"/>
        </w:rPr>
      </w:pPr>
      <w:r>
        <w:rPr>
          <w:rFonts w:ascii="Calibri" w:hAnsi="Calibri" w:eastAsia="宋体" w:cs="Calibri"/>
          <w:b/>
          <w:bCs/>
          <w:szCs w:val="20"/>
        </w:rPr>
        <w:t>Fig. S</w:t>
      </w:r>
      <w:r>
        <w:rPr>
          <w:rFonts w:ascii="Calibri" w:hAnsi="Calibri" w:eastAsia="宋体" w:cs="Calibri"/>
          <w:b/>
          <w:bCs/>
          <w:szCs w:val="20"/>
        </w:rPr>
        <w:fldChar w:fldCharType="begin"/>
      </w:r>
      <w:r>
        <w:rPr>
          <w:rFonts w:ascii="Calibri" w:hAnsi="Calibri" w:eastAsia="宋体" w:cs="Calibri"/>
          <w:b/>
          <w:bCs/>
          <w:szCs w:val="20"/>
        </w:rPr>
        <w:instrText xml:space="preserve"> SEQ Figure_S \* ARABIC </w:instrText>
      </w:r>
      <w:r>
        <w:rPr>
          <w:rFonts w:ascii="Calibri" w:hAnsi="Calibri" w:eastAsia="宋体" w:cs="Calibri"/>
          <w:b/>
          <w:bCs/>
          <w:szCs w:val="20"/>
        </w:rPr>
        <w:fldChar w:fldCharType="separate"/>
      </w:r>
      <w:r>
        <w:rPr>
          <w:rFonts w:ascii="Calibri" w:hAnsi="Calibri" w:eastAsia="宋体" w:cs="Calibri"/>
          <w:b/>
          <w:bCs/>
          <w:szCs w:val="20"/>
        </w:rPr>
        <w:t>3</w:t>
      </w:r>
      <w:r>
        <w:rPr>
          <w:rFonts w:ascii="Calibri" w:hAnsi="Calibri" w:eastAsia="宋体" w:cs="Calibri"/>
          <w:b/>
          <w:bCs/>
          <w:szCs w:val="20"/>
        </w:rPr>
        <w:fldChar w:fldCharType="end"/>
      </w:r>
      <w:r>
        <w:rPr>
          <w:rFonts w:ascii="Calibri" w:hAnsi="Calibri" w:eastAsia="宋体" w:cs="Calibri"/>
          <w:b/>
          <w:bCs/>
          <w:szCs w:val="20"/>
        </w:rPr>
        <w:t xml:space="preserve"> </w:t>
      </w:r>
      <w:r>
        <w:rPr>
          <w:rFonts w:ascii="Calibri" w:hAnsi="Calibri" w:eastAsia="宋体" w:cs="Calibri"/>
          <w:szCs w:val="20"/>
        </w:rPr>
        <w:t>Web</w:t>
      </w:r>
      <w:r>
        <w:rPr>
          <w:rFonts w:ascii="Cambria Math" w:hAnsi="Cambria Math" w:eastAsia="宋体" w:cs="Cambria Math"/>
          <w:szCs w:val="20"/>
        </w:rPr>
        <w:noBreakHyphen/>
      </w:r>
      <w:r>
        <w:rPr>
          <w:rFonts w:ascii="Calibri" w:hAnsi="Calibri" w:eastAsia="宋体" w:cs="Calibri"/>
          <w:szCs w:val="20"/>
        </w:rPr>
        <w:t>based graphical user</w:t>
      </w:r>
      <w:r>
        <w:rPr>
          <w:rFonts w:ascii="Cambria Math" w:hAnsi="Cambria Math" w:eastAsia="宋体" w:cs="Cambria Math"/>
          <w:szCs w:val="20"/>
        </w:rPr>
        <w:noBreakHyphen/>
      </w:r>
      <w:r>
        <w:rPr>
          <w:rFonts w:ascii="Calibri" w:hAnsi="Calibri" w:eastAsia="宋体" w:cs="Calibri"/>
          <w:szCs w:val="20"/>
        </w:rPr>
        <w:t>interface (GUI) screenshots of the self</w:t>
      </w:r>
      <w:r>
        <w:rPr>
          <w:rFonts w:ascii="Cambria Math" w:hAnsi="Cambria Math" w:eastAsia="宋体" w:cs="Cambria Math"/>
          <w:szCs w:val="20"/>
        </w:rPr>
        <w:noBreakHyphen/>
      </w:r>
      <w:r>
        <w:rPr>
          <w:rFonts w:ascii="Calibri" w:hAnsi="Calibri" w:eastAsia="宋体" w:cs="Calibri"/>
          <w:szCs w:val="20"/>
        </w:rPr>
        <w:t>powered reading</w:t>
      </w:r>
      <w:r>
        <w:rPr>
          <w:rFonts w:ascii="Cambria Math" w:hAnsi="Cambria Math" w:eastAsia="宋体" w:cs="Cambria Math"/>
          <w:szCs w:val="20"/>
        </w:rPr>
        <w:noBreakHyphen/>
      </w:r>
      <w:r>
        <w:rPr>
          <w:rFonts w:ascii="Calibri" w:hAnsi="Calibri" w:eastAsia="宋体" w:cs="Calibri"/>
          <w:szCs w:val="20"/>
        </w:rPr>
        <w:t>timing system.</w:t>
      </w:r>
      <w:r>
        <w:rPr>
          <w:rFonts w:ascii="Calibri" w:hAnsi="Calibri" w:eastAsia="宋体" w:cs="Calibri"/>
          <w:b/>
          <w:bCs/>
          <w:szCs w:val="20"/>
        </w:rPr>
        <w:t xml:space="preserve"> a</w:t>
      </w:r>
      <w:r>
        <w:rPr>
          <w:rFonts w:ascii="Calibri" w:hAnsi="Calibri" w:eastAsia="宋体" w:cs="Calibri"/>
          <w:szCs w:val="20"/>
        </w:rPr>
        <w:t xml:space="preserve"> Initial interface state prior to page</w:t>
      </w:r>
      <w:r>
        <w:rPr>
          <w:rFonts w:ascii="Cambria Math" w:hAnsi="Cambria Math" w:eastAsia="宋体" w:cs="Cambria Math"/>
          <w:szCs w:val="20"/>
        </w:rPr>
        <w:noBreakHyphen/>
      </w:r>
      <w:r>
        <w:rPr>
          <w:rFonts w:ascii="Calibri" w:hAnsi="Calibri" w:eastAsia="宋体" w:cs="Calibri"/>
          <w:szCs w:val="20"/>
        </w:rPr>
        <w:t xml:space="preserve">turning events (Current Page = 0, timer = 00:00.000). </w:t>
      </w:r>
      <w:r>
        <w:rPr>
          <w:rFonts w:ascii="Calibri" w:hAnsi="Calibri" w:eastAsia="宋体" w:cs="Calibri"/>
          <w:b/>
          <w:bCs/>
          <w:szCs w:val="20"/>
        </w:rPr>
        <w:t>b</w:t>
      </w:r>
      <w:r>
        <w:rPr>
          <w:rFonts w:ascii="Calibri" w:hAnsi="Calibri" w:eastAsia="宋体" w:cs="Calibri"/>
          <w:szCs w:val="20"/>
        </w:rPr>
        <w:t xml:space="preserve"> Updated interface state after three successive page</w:t>
      </w:r>
      <w:r>
        <w:rPr>
          <w:rFonts w:ascii="Cambria Math" w:hAnsi="Cambria Math" w:eastAsia="宋体" w:cs="Cambria Math"/>
          <w:szCs w:val="20"/>
        </w:rPr>
        <w:noBreakHyphen/>
      </w:r>
      <w:r>
        <w:rPr>
          <w:rFonts w:ascii="Calibri" w:hAnsi="Calibri" w:eastAsia="宋体" w:cs="Calibri"/>
          <w:szCs w:val="20"/>
        </w:rPr>
        <w:t>turning trigger events (Current Page = 6, accumulated reading time = 00:23.078).</w:t>
      </w:r>
    </w:p>
    <w:p w14:paraId="2371E611">
      <w:pPr>
        <w:widowControl w:val="0"/>
        <w:spacing w:after="160"/>
        <w:ind w:firstLine="480" w:firstLineChars="200"/>
        <w:jc w:val="both"/>
      </w:pPr>
      <w:r>
        <w:rPr>
          <w:color w:val="000000"/>
          <w:kern w:val="2"/>
          <w:szCs w:val="24"/>
          <w:shd w:val="clear" w:color="auto" w:fill="FFFFFF"/>
          <w:lang w:eastAsia="zh-CN" w:bidi="ar"/>
        </w:rPr>
        <w:t>Fig. S3 presents representative screenshots of the host web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GUI for the PL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TENG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based reading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timing system. In the initial standby state (Fig. S3a), the page counter is reset to zero and the timer starts from 00:00.000. After three valid page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turning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induced triboelectric trigger events exceeding the preset 3.6 V voltage threshold, the system increments the recorded page number by two for each trigger. Consequently, the page counter updates to “Current Page = 6”, while the timer accumulates real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world reading duration (Fig. S3b). These screenshots visually validate the hardware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software logic: threshold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based event detection, page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count increment, and timing accumulation for real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time reading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behavior logging.</w:t>
      </w:r>
    </w:p>
    <w:p w14:paraId="6393EC12">
      <w:pPr>
        <w:pStyle w:val="5"/>
        <w:keepNext/>
        <w:spacing w:before="240" w:after="180"/>
        <w:jc w:val="both"/>
      </w:pPr>
      <w:r>
        <w:rPr>
          <w:rFonts w:ascii="Arial" w:hAnsi="Arial" w:eastAsia="等线"/>
          <w:b/>
          <w:sz w:val="32"/>
          <w:lang w:eastAsia="zh-CN" w:bidi="ar"/>
        </w:rPr>
        <w:t>Supplementary Video:</w:t>
      </w:r>
    </w:p>
    <w:p w14:paraId="3CD45CD6">
      <w:pPr>
        <w:widowControl w:val="0"/>
        <w:spacing w:after="160" w:line="276" w:lineRule="auto"/>
        <w:jc w:val="both"/>
        <w:rPr>
          <w:rFonts w:eastAsia="Segoe UI"/>
          <w:color w:val="000000"/>
          <w:szCs w:val="24"/>
          <w:shd w:val="clear" w:color="auto" w:fill="FFFFFF"/>
        </w:rPr>
      </w:pPr>
      <w:r>
        <w:rPr>
          <w:kern w:val="2"/>
          <w:szCs w:val="24"/>
          <w:lang w:eastAsia="zh-CN" w:bidi="ar"/>
        </w:rPr>
        <w:t xml:space="preserve"> Video V1: </w:t>
      </w:r>
      <w:r>
        <w:rPr>
          <w:rFonts w:eastAsia="Segoe UI"/>
          <w:color w:val="000000"/>
          <w:kern w:val="2"/>
          <w:szCs w:val="24"/>
          <w:shd w:val="clear" w:color="auto" w:fill="FFFFFF"/>
          <w:lang w:eastAsia="zh-CN" w:bidi="ar"/>
        </w:rPr>
        <w:t>Operational demonstration of the self</w:t>
      </w:r>
      <w:r>
        <w:rPr>
          <w:rFonts w:eastAsia="Segoe UI"/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rFonts w:eastAsia="Segoe UI"/>
          <w:color w:val="000000"/>
          <w:kern w:val="2"/>
          <w:szCs w:val="24"/>
          <w:shd w:val="clear" w:color="auto" w:fill="FFFFFF"/>
          <w:lang w:eastAsia="zh-CN" w:bidi="ar"/>
        </w:rPr>
        <w:t>powered reading</w:t>
      </w:r>
      <w:r>
        <w:rPr>
          <w:rFonts w:eastAsia="Segoe UI"/>
          <w:color w:val="000000"/>
          <w:kern w:val="2"/>
          <w:szCs w:val="24"/>
          <w:shd w:val="clear" w:color="auto" w:fill="FFFFFF"/>
          <w:lang w:eastAsia="zh-CN" w:bidi="ar"/>
        </w:rPr>
        <w:noBreakHyphen/>
      </w:r>
      <w:r>
        <w:rPr>
          <w:rFonts w:eastAsia="Segoe UI"/>
          <w:color w:val="000000"/>
          <w:kern w:val="2"/>
          <w:szCs w:val="24"/>
          <w:shd w:val="clear" w:color="auto" w:fill="FFFFFF"/>
          <w:lang w:eastAsia="zh-CN" w:bidi="ar"/>
        </w:rPr>
        <w:t>timing system.</w:t>
      </w:r>
    </w:p>
    <w:p w14:paraId="5066EA2F">
      <w:pPr>
        <w:widowControl w:val="0"/>
        <w:spacing w:after="160"/>
        <w:ind w:firstLine="480" w:firstLineChars="200"/>
        <w:jc w:val="both"/>
        <w:rPr>
          <w:rFonts w:hint="eastAsia"/>
          <w:color w:val="000000"/>
          <w:szCs w:val="24"/>
          <w:shd w:val="clear" w:color="auto" w:fill="FFFFFF"/>
          <w:lang w:eastAsia="zh-CN"/>
        </w:rPr>
      </w:pPr>
      <w:r>
        <w:rPr>
          <w:color w:val="000000"/>
          <w:kern w:val="2"/>
          <w:szCs w:val="24"/>
          <w:shd w:val="clear" w:color="auto" w:fill="FFFFFF"/>
          <w:lang w:eastAsia="zh-CN" w:bidi="ar"/>
        </w:rPr>
        <w:t>Video description: Real-time demonstration showing the PL-TENG sensor responding to manual page-turning gestures. Each valid mechanical contact-separation event generates a triboelectric voltage signal exceeding the 3.6</w:t>
      </w:r>
      <w:r>
        <w:rPr>
          <w:rFonts w:hint="eastAsia"/>
          <w:color w:val="000000"/>
          <w:kern w:val="2"/>
          <w:szCs w:val="24"/>
          <w:shd w:val="clear" w:color="auto" w:fill="FFFFFF"/>
          <w:lang w:eastAsia="zh-CN" w:bidi="ar"/>
        </w:rPr>
        <w:t> </w:t>
      </w:r>
      <w:r>
        <w:rPr>
          <w:color w:val="000000"/>
          <w:kern w:val="2"/>
          <w:szCs w:val="24"/>
          <w:shd w:val="clear" w:color="auto" w:fill="FFFFFF"/>
          <w:lang w:eastAsia="zh-CN" w:bidi="ar"/>
        </w:rPr>
        <w:t>V threshold, which triggers automatic page-number increment and timer reset within the web-based user interface.</w:t>
      </w:r>
    </w:p>
    <w:sectPr>
      <w:footerReference r:id="rId5" w:type="default"/>
      <w:pgSz w:w="11907" w:h="16840"/>
      <w:pgMar w:top="1418" w:right="1418" w:bottom="1134" w:left="2552" w:header="720" w:footer="720" w:gutter="0"/>
      <w:lnNumType w:countBy="1" w:restart="continuous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F97A2">
    <w:pPr>
      <w:pStyle w:val="3"/>
      <w:jc w:val="right"/>
    </w:pPr>
    <w:r>
      <w:rPr>
        <w:rStyle w:val="8"/>
      </w:rPr>
      <w:fldChar w:fldCharType="begin"/>
    </w:r>
    <w:r>
      <w:rPr>
        <w:rStyle w:val="8"/>
      </w:rPr>
      <w:instrText xml:space="preserve"> PAGE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425"/>
  <w:drawingGridHorizontalSpacing w:val="120"/>
  <w:drawingGridVerticalSpacing w:val="120"/>
  <w:displayHorizontalDrawingGridEvery w:val="0"/>
  <w:displayVerticalDrawingGridEvery w:val="2"/>
  <w:doNotUseMarginsForDrawingGridOrigin w:val="1"/>
  <w:drawingGridHorizontalOrigin w:val="1800"/>
  <w:drawingGridVerticalOrigin w:val="144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14A60"/>
    <w:rsid w:val="000D702B"/>
    <w:rsid w:val="00121243"/>
    <w:rsid w:val="001508A6"/>
    <w:rsid w:val="003958DB"/>
    <w:rsid w:val="004B0A4A"/>
    <w:rsid w:val="005F2EC2"/>
    <w:rsid w:val="00783002"/>
    <w:rsid w:val="009F1567"/>
    <w:rsid w:val="00AD159B"/>
    <w:rsid w:val="00C831C6"/>
    <w:rsid w:val="00CE4270"/>
    <w:rsid w:val="00DC0006"/>
    <w:rsid w:val="00F01C8E"/>
    <w:rsid w:val="0C314A60"/>
    <w:rsid w:val="1AB23B8D"/>
    <w:rsid w:val="601D3075"/>
    <w:rsid w:val="708A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 w:eastAsia="宋体" w:cs="Times New Roman"/>
      <w:sz w:val="24"/>
      <w:lang w:val="en-US" w:eastAsia="de-DE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widowControl w:val="0"/>
      <w:spacing w:after="160" w:line="276" w:lineRule="auto"/>
    </w:pPr>
    <w:rPr>
      <w:rFonts w:ascii="Arial" w:hAnsi="Arial" w:eastAsia="黑体"/>
      <w:kern w:val="2"/>
      <w:sz w:val="20"/>
      <w:szCs w:val="24"/>
      <w:lang w:eastAsia="zh-CN"/>
    </w:rPr>
  </w:style>
  <w:style w:type="paragraph" w:styleId="3">
    <w:name w:val="footer"/>
    <w:basedOn w:val="1"/>
    <w:uiPriority w:val="0"/>
    <w:pPr>
      <w:tabs>
        <w:tab w:val="center" w:pos="4536"/>
        <w:tab w:val="right" w:pos="9072"/>
      </w:tabs>
    </w:pPr>
  </w:style>
  <w:style w:type="paragraph" w:styleId="4">
    <w:name w:val="header"/>
    <w:basedOn w:val="1"/>
    <w:qFormat/>
    <w:uiPriority w:val="0"/>
    <w:pPr>
      <w:tabs>
        <w:tab w:val="center" w:pos="4536"/>
        <w:tab w:val="right" w:pos="9072"/>
      </w:tabs>
    </w:pPr>
  </w:style>
  <w:style w:type="paragraph" w:styleId="5">
    <w:name w:val="Normal (Web)"/>
    <w:basedOn w:val="1"/>
    <w:qFormat/>
    <w:uiPriority w:val="0"/>
  </w:style>
  <w:style w:type="character" w:styleId="8">
    <w:name w:val="page number"/>
    <w:basedOn w:val="7"/>
    <w:qFormat/>
    <w:uiPriority w:val="0"/>
  </w:style>
  <w:style w:type="character" w:styleId="9">
    <w:name w:val="line number"/>
    <w:basedOn w:val="7"/>
    <w:qFormat/>
    <w:uiPriority w:val="0"/>
  </w:style>
  <w:style w:type="character" w:styleId="10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abbreviations"/>
    <w:basedOn w:val="12"/>
    <w:next w:val="1"/>
    <w:qFormat/>
    <w:uiPriority w:val="0"/>
    <w:pPr>
      <w:tabs>
        <w:tab w:val="left" w:pos="3402"/>
      </w:tabs>
      <w:ind w:left="3402" w:hanging="3402"/>
    </w:pPr>
  </w:style>
  <w:style w:type="paragraph" w:customStyle="1" w:styleId="12">
    <w:name w:val="abstract"/>
    <w:basedOn w:val="1"/>
    <w:next w:val="13"/>
    <w:uiPriority w:val="0"/>
    <w:pPr>
      <w:spacing w:before="120"/>
    </w:pPr>
    <w:rPr>
      <w:sz w:val="20"/>
    </w:rPr>
  </w:style>
  <w:style w:type="paragraph" w:customStyle="1" w:styleId="13">
    <w:name w:val="keywords"/>
    <w:basedOn w:val="1"/>
    <w:next w:val="1"/>
    <w:qFormat/>
    <w:uiPriority w:val="0"/>
    <w:pPr>
      <w:spacing w:before="120"/>
    </w:pPr>
    <w:rPr>
      <w:i/>
    </w:rPr>
  </w:style>
  <w:style w:type="paragraph" w:customStyle="1" w:styleId="14">
    <w:name w:val="标题1"/>
    <w:basedOn w:val="1"/>
    <w:next w:val="15"/>
    <w:qFormat/>
    <w:uiPriority w:val="0"/>
    <w:rPr>
      <w:rFonts w:ascii="Arial" w:hAnsi="Arial"/>
      <w:b/>
      <w:sz w:val="36"/>
    </w:rPr>
  </w:style>
  <w:style w:type="paragraph" w:customStyle="1" w:styleId="15">
    <w:name w:val="author"/>
    <w:basedOn w:val="1"/>
    <w:next w:val="16"/>
    <w:qFormat/>
    <w:uiPriority w:val="0"/>
    <w:pPr>
      <w:spacing w:before="120"/>
    </w:pPr>
  </w:style>
  <w:style w:type="paragraph" w:customStyle="1" w:styleId="16">
    <w:name w:val="affiliation"/>
    <w:basedOn w:val="1"/>
    <w:next w:val="17"/>
    <w:uiPriority w:val="0"/>
    <w:pPr>
      <w:spacing w:before="120" w:line="240" w:lineRule="auto"/>
    </w:pPr>
    <w:rPr>
      <w:i/>
    </w:rPr>
  </w:style>
  <w:style w:type="paragraph" w:customStyle="1" w:styleId="17">
    <w:name w:val="phone"/>
    <w:basedOn w:val="18"/>
    <w:next w:val="20"/>
    <w:uiPriority w:val="0"/>
  </w:style>
  <w:style w:type="paragraph" w:customStyle="1" w:styleId="18">
    <w:name w:val="email"/>
    <w:basedOn w:val="1"/>
    <w:next w:val="19"/>
    <w:qFormat/>
    <w:uiPriority w:val="0"/>
    <w:pPr>
      <w:spacing w:before="120" w:line="240" w:lineRule="auto"/>
    </w:pPr>
    <w:rPr>
      <w:sz w:val="20"/>
    </w:rPr>
  </w:style>
  <w:style w:type="paragraph" w:customStyle="1" w:styleId="19">
    <w:name w:val="url"/>
    <w:basedOn w:val="18"/>
    <w:next w:val="1"/>
    <w:qFormat/>
    <w:uiPriority w:val="0"/>
  </w:style>
  <w:style w:type="paragraph" w:customStyle="1" w:styleId="20">
    <w:name w:val="fax"/>
    <w:basedOn w:val="18"/>
    <w:next w:val="18"/>
    <w:qFormat/>
    <w:uiPriority w:val="0"/>
  </w:style>
  <w:style w:type="paragraph" w:customStyle="1" w:styleId="21">
    <w:name w:val="heading1"/>
    <w:basedOn w:val="1"/>
    <w:next w:val="1"/>
    <w:qFormat/>
    <w:uiPriority w:val="0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22">
    <w:name w:val="heading2"/>
    <w:basedOn w:val="1"/>
    <w:next w:val="1"/>
    <w:qFormat/>
    <w:uiPriority w:val="0"/>
    <w:pPr>
      <w:keepNext/>
      <w:spacing w:before="240" w:after="180"/>
    </w:pPr>
    <w:rPr>
      <w:rFonts w:ascii="Arial" w:hAnsi="Arial"/>
      <w:b/>
    </w:rPr>
  </w:style>
  <w:style w:type="paragraph" w:customStyle="1" w:styleId="23">
    <w:name w:val="heading3"/>
    <w:basedOn w:val="1"/>
    <w:next w:val="1"/>
    <w:qFormat/>
    <w:uiPriority w:val="0"/>
    <w:pPr>
      <w:keepNext/>
      <w:spacing w:before="240" w:after="180"/>
    </w:pPr>
    <w:rPr>
      <w:rFonts w:ascii="Arial" w:hAnsi="Arial"/>
      <w:i/>
    </w:rPr>
  </w:style>
  <w:style w:type="paragraph" w:customStyle="1" w:styleId="24">
    <w:name w:val="run-in"/>
    <w:basedOn w:val="1"/>
    <w:next w:val="1"/>
    <w:qFormat/>
    <w:uiPriority w:val="0"/>
    <w:pPr>
      <w:keepNext/>
      <w:spacing w:before="120"/>
    </w:pPr>
    <w:rPr>
      <w:b/>
    </w:rPr>
  </w:style>
  <w:style w:type="paragraph" w:customStyle="1" w:styleId="25">
    <w:name w:val="figurecitation"/>
    <w:basedOn w:val="1"/>
    <w:qFormat/>
    <w:uiPriority w:val="0"/>
    <w:pPr>
      <w:pBdr>
        <w:top w:val="single" w:color="auto" w:sz="8" w:space="1"/>
        <w:left w:val="single" w:color="auto" w:sz="8" w:space="4"/>
        <w:bottom w:val="single" w:color="auto" w:sz="8" w:space="1"/>
        <w:right w:val="single" w:color="auto" w:sz="8" w:space="4"/>
      </w:pBdr>
    </w:pPr>
    <w:rPr>
      <w:rFonts w:ascii="Arial" w:hAnsi="Arial"/>
      <w:b/>
      <w:sz w:val="36"/>
    </w:rPr>
  </w:style>
  <w:style w:type="paragraph" w:customStyle="1" w:styleId="26">
    <w:name w:val="acknowledgements"/>
    <w:basedOn w:val="12"/>
    <w:next w:val="1"/>
    <w:qFormat/>
    <w:uiPriority w:val="0"/>
    <w:pPr>
      <w:spacing w:before="240"/>
    </w:pPr>
  </w:style>
  <w:style w:type="paragraph" w:customStyle="1" w:styleId="27">
    <w:name w:val="extraaddress"/>
    <w:basedOn w:val="18"/>
    <w:qFormat/>
    <w:uiPriority w:val="0"/>
  </w:style>
  <w:style w:type="paragraph" w:customStyle="1" w:styleId="28">
    <w:name w:val="reference"/>
    <w:basedOn w:val="1"/>
    <w:qFormat/>
    <w:uiPriority w:val="0"/>
    <w:rPr>
      <w:sz w:val="20"/>
    </w:rPr>
  </w:style>
  <w:style w:type="paragraph" w:customStyle="1" w:styleId="29">
    <w:name w:val="equation"/>
    <w:basedOn w:val="1"/>
    <w:next w:val="1"/>
    <w:qFormat/>
    <w:uiPriority w:val="0"/>
    <w:pPr>
      <w:spacing w:before="120" w:after="120"/>
      <w:jc w:val="center"/>
    </w:pPr>
  </w:style>
  <w:style w:type="paragraph" w:customStyle="1" w:styleId="30">
    <w:name w:val="articlenote"/>
    <w:basedOn w:val="1"/>
    <w:next w:val="1"/>
    <w:qFormat/>
    <w:uiPriority w:val="0"/>
    <w:pPr>
      <w:spacing w:line="240" w:lineRule="auto"/>
    </w:pPr>
    <w:rPr>
      <w:sz w:val="22"/>
    </w:rPr>
  </w:style>
  <w:style w:type="paragraph" w:customStyle="1" w:styleId="31">
    <w:name w:val="figlegend"/>
    <w:basedOn w:val="1"/>
    <w:next w:val="1"/>
    <w:qFormat/>
    <w:uiPriority w:val="0"/>
    <w:pPr>
      <w:spacing w:before="120"/>
    </w:pPr>
    <w:rPr>
      <w:sz w:val="20"/>
    </w:rPr>
  </w:style>
  <w:style w:type="paragraph" w:customStyle="1" w:styleId="32">
    <w:name w:val="tablelegend"/>
    <w:basedOn w:val="1"/>
    <w:next w:val="1"/>
    <w:qFormat/>
    <w:uiPriority w:val="0"/>
    <w:pPr>
      <w:spacing w:before="120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0740;&#31350;&#29983;&#36164;&#26009;\&#23454;&#39564;&#25968;&#25454;\&#35874;\&#36182;&#27688;&#37240;\sv-journ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sv-journ</Template>
  <Pages>5</Pages>
  <Words>741</Words>
  <Characters>5119</Characters>
  <Lines>91</Lines>
  <Paragraphs>21</Paragraphs>
  <TotalTime>0</TotalTime>
  <ScaleCrop>false</ScaleCrop>
  <LinksUpToDate>false</LinksUpToDate>
  <CharactersWithSpaces>5844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2026-09-16T02:09:00Z</dcterms:created>
  <dc:creator>无忧</dc:creator>
  <dc:description>Springer Heidelberg 2005</dc:description>
  <cp:lastModifiedBy>李未</cp:lastModifiedBy>
  <cp:lastPrinted>2026-09-16T03:24:00Z</cp:lastPrinted>
  <dcterms:modified xsi:type="dcterms:W3CDTF">2026-09-17T00:54:56Z</dcterms:modified>
  <dc:title>Author template for journal articles</dc:title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8BE26332830A4D74B0D9BE5368604804_11</vt:lpwstr>
  </property>
  <property fmtid="{D5CDD505-2E9C-101B-9397-08002B2CF9AE}" pid="3" name="KSOTemplateDocerSaveRecord">
    <vt:lpwstr>eyJoZGlkIjoiYzFjM2UxODc3Nzg2NzI3ZTRiZTZkMDAxMWUxOTRhNmQiLCJ1c2VySWQiOiI2MjExMDkwNzcifQ==</vt:lpwstr>
  </property>
  <property fmtid="{D5CDD505-2E9C-101B-9397-08002B2CF9AE}" pid="4" name="KSOProductBuildVer">
    <vt:lpwstr>2052-12.1.0.28505</vt:lpwstr>
  </property>
</Properties>
</file>