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5580" w:rsidRPr="00B90E4B" w:rsidRDefault="00CB5580" w:rsidP="00CB5580">
      <w:pPr>
        <w:pStyle w:val="Caption"/>
        <w:keepNext/>
        <w:spacing w:before="120" w:after="120"/>
        <w:rPr>
          <w:rFonts w:ascii="Times New Roman" w:hAnsi="Times New Roman" w:cs="Times New Roman"/>
          <w:i w:val="0"/>
          <w:color w:val="auto"/>
          <w:sz w:val="24"/>
          <w:szCs w:val="24"/>
          <w:lang w:val="en-US"/>
        </w:rPr>
      </w:pPr>
      <w:bookmarkStart w:id="0" w:name="_Toc106265349"/>
      <w:r w:rsidRPr="00B90E4B">
        <w:rPr>
          <w:rFonts w:ascii="Times New Roman" w:hAnsi="Times New Roman" w:cs="Times New Roman"/>
          <w:b/>
          <w:i w:val="0"/>
          <w:color w:val="auto"/>
          <w:sz w:val="24"/>
          <w:szCs w:val="24"/>
          <w:lang w:val="en-US"/>
        </w:rPr>
        <w:t xml:space="preserve">Table </w:t>
      </w:r>
      <w:r w:rsidRPr="00B90E4B">
        <w:rPr>
          <w:rFonts w:ascii="Times New Roman" w:hAnsi="Times New Roman" w:cs="Times New Roman"/>
          <w:b/>
          <w:i w:val="0"/>
          <w:color w:val="auto"/>
          <w:sz w:val="24"/>
          <w:szCs w:val="24"/>
          <w:lang w:val="en-US"/>
        </w:rPr>
        <w:fldChar w:fldCharType="begin"/>
      </w:r>
      <w:r w:rsidRPr="00B90E4B">
        <w:rPr>
          <w:rFonts w:ascii="Times New Roman" w:hAnsi="Times New Roman" w:cs="Times New Roman"/>
          <w:b/>
          <w:i w:val="0"/>
          <w:color w:val="auto"/>
          <w:sz w:val="24"/>
          <w:szCs w:val="24"/>
          <w:lang w:val="en-US"/>
        </w:rPr>
        <w:instrText xml:space="preserve"> SEQ Table \* ARABIC </w:instrText>
      </w:r>
      <w:r w:rsidRPr="00B90E4B">
        <w:rPr>
          <w:rFonts w:ascii="Times New Roman" w:hAnsi="Times New Roman" w:cs="Times New Roman"/>
          <w:b/>
          <w:i w:val="0"/>
          <w:color w:val="auto"/>
          <w:sz w:val="24"/>
          <w:szCs w:val="24"/>
          <w:lang w:val="en-US"/>
        </w:rPr>
        <w:fldChar w:fldCharType="separate"/>
      </w:r>
      <w:r w:rsidRPr="00B90E4B">
        <w:rPr>
          <w:rFonts w:ascii="Times New Roman" w:hAnsi="Times New Roman" w:cs="Times New Roman"/>
          <w:b/>
          <w:i w:val="0"/>
          <w:noProof/>
          <w:color w:val="auto"/>
          <w:sz w:val="24"/>
          <w:szCs w:val="24"/>
          <w:lang w:val="en-US"/>
        </w:rPr>
        <w:t>2</w:t>
      </w:r>
      <w:r w:rsidRPr="00B90E4B">
        <w:rPr>
          <w:rFonts w:ascii="Times New Roman" w:hAnsi="Times New Roman" w:cs="Times New Roman"/>
          <w:b/>
          <w:i w:val="0"/>
          <w:color w:val="auto"/>
          <w:sz w:val="24"/>
          <w:szCs w:val="24"/>
          <w:lang w:val="en-US"/>
        </w:rPr>
        <w:fldChar w:fldCharType="end"/>
      </w:r>
      <w:r w:rsidRPr="00B90E4B">
        <w:rPr>
          <w:rFonts w:ascii="Times New Roman" w:hAnsi="Times New Roman" w:cs="Times New Roman"/>
          <w:i w:val="0"/>
          <w:color w:val="auto"/>
          <w:sz w:val="24"/>
          <w:szCs w:val="24"/>
          <w:lang w:val="en-US"/>
        </w:rPr>
        <w:t xml:space="preserve"> Ethnobotanical indicators analyzed through the dataset</w:t>
      </w:r>
      <w:bookmarkEnd w:id="0"/>
    </w:p>
    <w:tbl>
      <w:tblPr>
        <w:tblStyle w:val="TableauListe6Couleur3"/>
        <w:tblW w:w="10406" w:type="dxa"/>
        <w:jc w:val="center"/>
        <w:tblLook w:val="04A0" w:firstRow="1" w:lastRow="0" w:firstColumn="1" w:lastColumn="0" w:noHBand="0" w:noVBand="1"/>
      </w:tblPr>
      <w:tblGrid>
        <w:gridCol w:w="1796"/>
        <w:gridCol w:w="2599"/>
        <w:gridCol w:w="1417"/>
        <w:gridCol w:w="4594"/>
      </w:tblGrid>
      <w:tr w:rsidR="00CB5580" w:rsidRPr="00B90E4B" w:rsidTr="0063525D">
        <w:trPr>
          <w:cnfStyle w:val="100000000000" w:firstRow="1" w:lastRow="0" w:firstColumn="0" w:lastColumn="0" w:oddVBand="0" w:evenVBand="0" w:oddHBand="0" w:evenHBand="0" w:firstRowFirstColumn="0" w:firstRowLastColumn="0" w:lastRowFirstColumn="0" w:lastRowLastColumn="0"/>
          <w:trHeight w:val="178"/>
          <w:tblHeader/>
          <w:jc w:val="center"/>
        </w:trPr>
        <w:tc>
          <w:tcPr>
            <w:cnfStyle w:val="001000000000" w:firstRow="0" w:lastRow="0" w:firstColumn="1" w:lastColumn="0" w:oddVBand="0" w:evenVBand="0" w:oddHBand="0" w:evenHBand="0" w:firstRowFirstColumn="0" w:firstRowLastColumn="0" w:lastRowFirstColumn="0" w:lastRowLastColumn="0"/>
            <w:tcW w:w="1796" w:type="dxa"/>
            <w:shd w:val="clear" w:color="auto" w:fill="auto"/>
            <w:hideMark/>
          </w:tcPr>
          <w:p w:rsidR="00CB5580" w:rsidRPr="00B90E4B" w:rsidRDefault="00CB5580" w:rsidP="0063525D">
            <w:pPr>
              <w:spacing w:after="60"/>
              <w:rPr>
                <w:rFonts w:eastAsia="Times New Roman"/>
                <w:color w:val="auto"/>
                <w:lang w:val="en-US" w:eastAsia="fr-FR"/>
              </w:rPr>
            </w:pPr>
            <w:r w:rsidRPr="00B90E4B">
              <w:rPr>
                <w:rFonts w:eastAsia="Times New Roman"/>
                <w:b w:val="0"/>
                <w:color w:val="auto"/>
                <w:lang w:val="en-US" w:eastAsia="fr-FR"/>
              </w:rPr>
              <w:t>Questions</w:t>
            </w:r>
          </w:p>
        </w:tc>
        <w:tc>
          <w:tcPr>
            <w:tcW w:w="2599" w:type="dxa"/>
            <w:shd w:val="clear" w:color="auto" w:fill="auto"/>
            <w:hideMark/>
          </w:tcPr>
          <w:p w:rsidR="00CB5580" w:rsidRPr="00B90E4B" w:rsidRDefault="00CB5580" w:rsidP="0063525D">
            <w:pPr>
              <w:spacing w:after="60"/>
              <w:cnfStyle w:val="100000000000" w:firstRow="1" w:lastRow="0" w:firstColumn="0" w:lastColumn="0" w:oddVBand="0" w:evenVBand="0" w:oddHBand="0" w:evenHBand="0" w:firstRowFirstColumn="0" w:firstRowLastColumn="0" w:lastRowFirstColumn="0" w:lastRowLastColumn="0"/>
              <w:rPr>
                <w:rFonts w:eastAsia="Times New Roman"/>
                <w:color w:val="auto"/>
                <w:lang w:val="en-US" w:eastAsia="fr-FR"/>
              </w:rPr>
            </w:pPr>
            <w:r w:rsidRPr="00B90E4B">
              <w:rPr>
                <w:rFonts w:eastAsia="Times New Roman"/>
                <w:b w:val="0"/>
                <w:color w:val="auto"/>
                <w:lang w:val="en-US" w:eastAsia="fr-FR"/>
              </w:rPr>
              <w:t>Item’s groups</w:t>
            </w:r>
          </w:p>
        </w:tc>
        <w:tc>
          <w:tcPr>
            <w:tcW w:w="1417" w:type="dxa"/>
            <w:shd w:val="clear" w:color="auto" w:fill="auto"/>
            <w:hideMark/>
          </w:tcPr>
          <w:p w:rsidR="00CB5580" w:rsidRPr="00B90E4B" w:rsidRDefault="00CB5580" w:rsidP="0063525D">
            <w:pPr>
              <w:spacing w:after="60"/>
              <w:cnfStyle w:val="100000000000" w:firstRow="1" w:lastRow="0" w:firstColumn="0" w:lastColumn="0" w:oddVBand="0" w:evenVBand="0" w:oddHBand="0" w:evenHBand="0" w:firstRowFirstColumn="0" w:firstRowLastColumn="0" w:lastRowFirstColumn="0" w:lastRowLastColumn="0"/>
              <w:rPr>
                <w:rFonts w:eastAsia="Times New Roman"/>
                <w:color w:val="auto"/>
                <w:lang w:val="en-US" w:eastAsia="fr-FR"/>
              </w:rPr>
            </w:pPr>
            <w:r w:rsidRPr="00B90E4B">
              <w:rPr>
                <w:rFonts w:eastAsia="Times New Roman"/>
                <w:b w:val="0"/>
                <w:color w:val="auto"/>
                <w:lang w:val="en-US" w:eastAsia="fr-FR"/>
              </w:rPr>
              <w:t>Indexes</w:t>
            </w:r>
          </w:p>
        </w:tc>
        <w:tc>
          <w:tcPr>
            <w:tcW w:w="4594" w:type="dxa"/>
            <w:shd w:val="clear" w:color="auto" w:fill="auto"/>
            <w:hideMark/>
          </w:tcPr>
          <w:p w:rsidR="00CB5580" w:rsidRPr="00B90E4B" w:rsidRDefault="00CB5580" w:rsidP="0063525D">
            <w:pPr>
              <w:spacing w:after="60"/>
              <w:cnfStyle w:val="100000000000" w:firstRow="1" w:lastRow="0" w:firstColumn="0" w:lastColumn="0" w:oddVBand="0" w:evenVBand="0" w:oddHBand="0" w:evenHBand="0" w:firstRowFirstColumn="0" w:firstRowLastColumn="0" w:lastRowFirstColumn="0" w:lastRowLastColumn="0"/>
              <w:rPr>
                <w:rFonts w:eastAsia="Times New Roman"/>
                <w:color w:val="auto"/>
                <w:lang w:val="en-US" w:eastAsia="fr-FR"/>
              </w:rPr>
            </w:pPr>
            <w:r w:rsidRPr="00B90E4B">
              <w:rPr>
                <w:rFonts w:eastAsia="Times New Roman"/>
                <w:b w:val="0"/>
                <w:color w:val="auto"/>
                <w:lang w:val="en-US" w:eastAsia="fr-FR"/>
              </w:rPr>
              <w:t>Formulas</w:t>
            </w:r>
          </w:p>
        </w:tc>
      </w:tr>
      <w:tr w:rsidR="00CB5580" w:rsidRPr="000E1D60" w:rsidTr="0063525D">
        <w:trPr>
          <w:cnfStyle w:val="000000100000" w:firstRow="0" w:lastRow="0" w:firstColumn="0" w:lastColumn="0" w:oddVBand="0" w:evenVBand="0" w:oddHBand="1" w:evenHBand="0" w:firstRowFirstColumn="0" w:firstRowLastColumn="0" w:lastRowFirstColumn="0" w:lastRowLastColumn="0"/>
          <w:trHeight w:val="41"/>
          <w:jc w:val="center"/>
        </w:trPr>
        <w:tc>
          <w:tcPr>
            <w:cnfStyle w:val="001000000000" w:firstRow="0" w:lastRow="0" w:firstColumn="1" w:lastColumn="0" w:oddVBand="0" w:evenVBand="0" w:oddHBand="0" w:evenHBand="0" w:firstRowFirstColumn="0" w:firstRowLastColumn="0" w:lastRowFirstColumn="0" w:lastRowLastColumn="0"/>
            <w:tcW w:w="1796" w:type="dxa"/>
            <w:vMerge w:val="restart"/>
            <w:shd w:val="clear" w:color="auto" w:fill="auto"/>
            <w:hideMark/>
          </w:tcPr>
          <w:p w:rsidR="00CB5580" w:rsidRPr="00B90E4B" w:rsidRDefault="00CB5580" w:rsidP="0063525D">
            <w:pPr>
              <w:spacing w:after="60"/>
              <w:rPr>
                <w:rFonts w:eastAsia="Times New Roman"/>
                <w:color w:val="auto"/>
                <w:lang w:val="en-US" w:eastAsia="fr-FR"/>
              </w:rPr>
            </w:pPr>
            <w:r w:rsidRPr="00B90E4B">
              <w:rPr>
                <w:rFonts w:eastAsia="Times New Roman"/>
                <w:b w:val="0"/>
                <w:color w:val="auto"/>
                <w:lang w:val="en-US" w:eastAsia="fr-FR"/>
              </w:rPr>
              <w:t>Use categories</w:t>
            </w:r>
          </w:p>
        </w:tc>
        <w:tc>
          <w:tcPr>
            <w:tcW w:w="2599" w:type="dxa"/>
            <w:vMerge w:val="restart"/>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r w:rsidRPr="00B90E4B">
              <w:rPr>
                <w:rFonts w:eastAsia="Times New Roman"/>
                <w:color w:val="auto"/>
                <w:lang w:val="en-US" w:eastAsia="fr-FR"/>
              </w:rPr>
              <w:t>Medicinal, food, handicraft, construction, fodder, dye, magic, fuel, veterinary, cosmetic</w:t>
            </w:r>
          </w:p>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c>
          <w:tcPr>
            <w:tcW w:w="1417" w:type="dxa"/>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r w:rsidRPr="00B90E4B">
              <w:rPr>
                <w:rFonts w:eastAsia="Times New Roman"/>
                <w:color w:val="auto"/>
                <w:lang w:val="en-US" w:eastAsia="fr-FR"/>
              </w:rPr>
              <w:t>Use value</w:t>
            </w:r>
          </w:p>
        </w:tc>
        <w:tc>
          <w:tcPr>
            <w:tcW w:w="4594" w:type="dxa"/>
            <w:vMerge w:val="restart"/>
            <w:shd w:val="clear" w:color="auto" w:fill="auto"/>
            <w:hideMark/>
          </w:tcPr>
          <w:p w:rsidR="00CB5580" w:rsidRPr="00B90E4B" w:rsidRDefault="00CB5580" w:rsidP="0063525D">
            <w:p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color w:val="auto"/>
                <w:lang w:val="en-US"/>
              </w:rPr>
            </w:pPr>
            <m:oMathPara>
              <m:oMathParaPr>
                <m:jc m:val="left"/>
              </m:oMathParaPr>
              <m:oMath>
                <m:r>
                  <w:rPr>
                    <w:rFonts w:ascii="Cambria Math" w:hAnsi="Cambria Math"/>
                    <w:color w:val="auto"/>
                    <w:lang w:val="en-US"/>
                  </w:rPr>
                  <m:t>UVs</m:t>
                </m:r>
                <m:r>
                  <m:rPr>
                    <m:sty m:val="p"/>
                  </m:rPr>
                  <w:rPr>
                    <w:rFonts w:ascii="Cambria Math" w:hAnsi="Cambria Math"/>
                    <w:color w:val="auto"/>
                    <w:lang w:val="en-US"/>
                  </w:rPr>
                  <m:t>=</m:t>
                </m:r>
                <m:nary>
                  <m:naryPr>
                    <m:chr m:val="∑"/>
                    <m:limLoc m:val="undOvr"/>
                    <m:subHide m:val="1"/>
                    <m:supHide m:val="1"/>
                    <m:ctrlPr>
                      <w:rPr>
                        <w:rFonts w:ascii="Cambria Math" w:hAnsi="Cambria Math"/>
                        <w:color w:val="auto"/>
                        <w:lang w:val="en-US"/>
                      </w:rPr>
                    </m:ctrlPr>
                  </m:naryPr>
                  <m:sub/>
                  <m:sup/>
                  <m:e>
                    <m:sSub>
                      <m:sSubPr>
                        <m:ctrlPr>
                          <w:rPr>
                            <w:rFonts w:ascii="Cambria Math" w:hAnsi="Cambria Math"/>
                            <w:i/>
                            <w:color w:val="auto"/>
                            <w:lang w:val="en-US"/>
                          </w:rPr>
                        </m:ctrlPr>
                      </m:sSubPr>
                      <m:e>
                        <m:r>
                          <w:rPr>
                            <w:rFonts w:ascii="Cambria Math" w:hAnsi="Cambria Math"/>
                            <w:color w:val="auto"/>
                            <w:lang w:val="en-US"/>
                          </w:rPr>
                          <m:t>UV</m:t>
                        </m:r>
                      </m:e>
                      <m:sub>
                        <m:r>
                          <w:rPr>
                            <w:rFonts w:ascii="Cambria Math" w:hAnsi="Cambria Math"/>
                            <w:color w:val="auto"/>
                            <w:lang w:val="en-US"/>
                          </w:rPr>
                          <m:t>is</m:t>
                        </m:r>
                      </m:sub>
                    </m:sSub>
                    <m:r>
                      <m:rPr>
                        <m:sty m:val="p"/>
                      </m:rPr>
                      <w:rPr>
                        <w:rFonts w:ascii="Cambria Math" w:hAnsi="Cambria Math"/>
                        <w:color w:val="auto"/>
                        <w:lang w:val="en-US"/>
                      </w:rPr>
                      <m:t xml:space="preserve"> x</m:t>
                    </m:r>
                    <m:r>
                      <w:rPr>
                        <w:rFonts w:ascii="Cambria Math" w:hAnsi="Cambria Math"/>
                        <w:color w:val="auto"/>
                        <w:lang w:val="en-US"/>
                      </w:rPr>
                      <m:t xml:space="preserve"> </m:t>
                    </m:r>
                    <m:f>
                      <m:fPr>
                        <m:type m:val="skw"/>
                        <m:ctrlPr>
                          <w:rPr>
                            <w:rFonts w:ascii="Cambria Math" w:hAnsi="Cambria Math"/>
                            <w:i/>
                            <w:color w:val="auto"/>
                            <w:lang w:val="en-US"/>
                          </w:rPr>
                        </m:ctrlPr>
                      </m:fPr>
                      <m:num>
                        <m:r>
                          <w:rPr>
                            <w:rFonts w:ascii="Cambria Math" w:hAnsi="Cambria Math"/>
                            <w:color w:val="auto"/>
                            <w:lang w:val="en-US"/>
                          </w:rPr>
                          <m:t>1</m:t>
                        </m:r>
                      </m:num>
                      <m:den>
                        <m:sSub>
                          <m:sSubPr>
                            <m:ctrlPr>
                              <w:rPr>
                                <w:rFonts w:ascii="Cambria Math" w:hAnsi="Cambria Math"/>
                                <w:i/>
                                <w:color w:val="auto"/>
                                <w:lang w:val="en-US"/>
                              </w:rPr>
                            </m:ctrlPr>
                          </m:sSubPr>
                          <m:e>
                            <m:r>
                              <w:rPr>
                                <w:rFonts w:ascii="Cambria Math" w:hAnsi="Cambria Math"/>
                                <w:color w:val="auto"/>
                                <w:lang w:val="en-US"/>
                              </w:rPr>
                              <m:t>N</m:t>
                            </m:r>
                          </m:e>
                          <m:sub>
                            <m:r>
                              <w:rPr>
                                <w:rFonts w:ascii="Cambria Math" w:hAnsi="Cambria Math"/>
                                <w:color w:val="auto"/>
                                <w:lang w:val="en-US"/>
                              </w:rPr>
                              <m:t>s</m:t>
                            </m:r>
                          </m:sub>
                        </m:sSub>
                      </m:den>
                    </m:f>
                  </m:e>
                </m:nary>
              </m:oMath>
            </m:oMathPara>
          </w:p>
          <w:p w:rsidR="00CB5580" w:rsidRPr="00B90E4B" w:rsidRDefault="00CB5580" w:rsidP="0063525D">
            <w:pPr>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color w:val="auto"/>
                <w:lang w:val="en-US"/>
              </w:rPr>
            </w:pPr>
            <w:r w:rsidRPr="00B90E4B">
              <w:rPr>
                <w:i/>
                <w:color w:val="auto"/>
                <w:lang w:val="en-US"/>
              </w:rPr>
              <w:t>UVis</w:t>
            </w:r>
            <w:r w:rsidRPr="00B90E4B">
              <w:rPr>
                <w:color w:val="auto"/>
                <w:lang w:val="en-US"/>
              </w:rPr>
              <w:t xml:space="preserve">: the use value of the species </w:t>
            </w:r>
            <w:r w:rsidRPr="00B90E4B">
              <w:rPr>
                <w:i/>
                <w:color w:val="auto"/>
                <w:lang w:val="en-US"/>
              </w:rPr>
              <w:t>s</w:t>
            </w:r>
            <w:r w:rsidRPr="00B90E4B">
              <w:rPr>
                <w:color w:val="auto"/>
                <w:lang w:val="en-US"/>
              </w:rPr>
              <w:t xml:space="preserve"> for an informant </w:t>
            </w:r>
            <w:r w:rsidRPr="00B90E4B">
              <w:rPr>
                <w:i/>
                <w:color w:val="auto"/>
                <w:lang w:val="en-US"/>
              </w:rPr>
              <w:t>i</w:t>
            </w:r>
            <w:r w:rsidRPr="00B90E4B">
              <w:rPr>
                <w:color w:val="auto"/>
                <w:lang w:val="en-US"/>
              </w:rPr>
              <w:t xml:space="preserve"> and </w:t>
            </w:r>
            <w:r w:rsidRPr="00B90E4B">
              <w:rPr>
                <w:i/>
                <w:color w:val="auto"/>
                <w:lang w:val="en-US"/>
              </w:rPr>
              <w:t>Ns</w:t>
            </w:r>
            <w:r w:rsidRPr="00B90E4B">
              <w:rPr>
                <w:color w:val="auto"/>
                <w:lang w:val="en-US"/>
              </w:rPr>
              <w:t xml:space="preserve"> the total number of persons interviewed for the species </w:t>
            </w:r>
            <w:r w:rsidRPr="00B90E4B">
              <w:rPr>
                <w:i/>
                <w:color w:val="auto"/>
                <w:lang w:val="en-US"/>
              </w:rPr>
              <w:t>s</w:t>
            </w:r>
            <w:r w:rsidRPr="00B90E4B">
              <w:rPr>
                <w:color w:val="auto"/>
                <w:lang w:val="en-US"/>
              </w:rPr>
              <w:t>.</w:t>
            </w:r>
          </w:p>
          <w:p w:rsidR="00CB5580" w:rsidRPr="00B90E4B" w:rsidRDefault="00CB5580" w:rsidP="0063525D">
            <w:p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color w:val="auto"/>
                <w:lang w:val="en-US"/>
              </w:rPr>
            </w:pPr>
            <m:oMathPara>
              <m:oMathParaPr>
                <m:jc m:val="left"/>
              </m:oMathParaPr>
              <m:oMath>
                <m:sSub>
                  <m:sSubPr>
                    <m:ctrlPr>
                      <w:rPr>
                        <w:rFonts w:ascii="Cambria Math" w:hAnsi="Cambria Math"/>
                        <w:i/>
                        <w:color w:val="auto"/>
                        <w:lang w:val="en-US"/>
                      </w:rPr>
                    </m:ctrlPr>
                  </m:sSubPr>
                  <m:e>
                    <m:r>
                      <w:rPr>
                        <w:rFonts w:ascii="Cambria Math" w:hAnsi="Cambria Math"/>
                        <w:color w:val="auto"/>
                        <w:lang w:val="en-US"/>
                      </w:rPr>
                      <m:t>UV</m:t>
                    </m:r>
                  </m:e>
                  <m:sub>
                    <m:r>
                      <w:rPr>
                        <w:rFonts w:ascii="Cambria Math" w:hAnsi="Cambria Math"/>
                        <w:color w:val="auto"/>
                        <w:lang w:val="en-US"/>
                      </w:rPr>
                      <m:t>is</m:t>
                    </m:r>
                  </m:sub>
                </m:sSub>
                <m:r>
                  <m:rPr>
                    <m:sty m:val="p"/>
                  </m:rPr>
                  <w:rPr>
                    <w:rFonts w:ascii="Cambria Math" w:hAnsi="Cambria Math"/>
                    <w:color w:val="auto"/>
                    <w:lang w:val="en-US"/>
                  </w:rPr>
                  <m:t>=</m:t>
                </m:r>
                <m:nary>
                  <m:naryPr>
                    <m:chr m:val="∑"/>
                    <m:limLoc m:val="undOvr"/>
                    <m:subHide m:val="1"/>
                    <m:supHide m:val="1"/>
                    <m:ctrlPr>
                      <w:rPr>
                        <w:rFonts w:ascii="Cambria Math" w:hAnsi="Cambria Math"/>
                        <w:color w:val="auto"/>
                        <w:lang w:val="en-US"/>
                      </w:rPr>
                    </m:ctrlPr>
                  </m:naryPr>
                  <m:sub/>
                  <m:sup/>
                  <m:e>
                    <m:sSub>
                      <m:sSubPr>
                        <m:ctrlPr>
                          <w:rPr>
                            <w:rFonts w:ascii="Cambria Math" w:hAnsi="Cambria Math"/>
                            <w:i/>
                            <w:color w:val="auto"/>
                            <w:lang w:val="en-US"/>
                          </w:rPr>
                        </m:ctrlPr>
                      </m:sSubPr>
                      <m:e>
                        <m:r>
                          <w:rPr>
                            <w:rFonts w:ascii="Cambria Math" w:hAnsi="Cambria Math"/>
                            <w:color w:val="auto"/>
                            <w:lang w:val="en-US"/>
                          </w:rPr>
                          <m:t>U</m:t>
                        </m:r>
                      </m:e>
                      <m:sub>
                        <m:r>
                          <w:rPr>
                            <w:rFonts w:ascii="Cambria Math" w:hAnsi="Cambria Math"/>
                            <w:color w:val="auto"/>
                            <w:lang w:val="en-US"/>
                          </w:rPr>
                          <m:t>is</m:t>
                        </m:r>
                      </m:sub>
                    </m:sSub>
                    <m:r>
                      <m:rPr>
                        <m:sty m:val="p"/>
                      </m:rPr>
                      <w:rPr>
                        <w:rFonts w:ascii="Cambria Math" w:hAnsi="Cambria Math"/>
                        <w:color w:val="auto"/>
                        <w:lang w:val="en-US"/>
                      </w:rPr>
                      <m:t xml:space="preserve"> x</m:t>
                    </m:r>
                    <m:r>
                      <w:rPr>
                        <w:rFonts w:ascii="Cambria Math" w:hAnsi="Cambria Math"/>
                        <w:color w:val="auto"/>
                        <w:lang w:val="en-US"/>
                      </w:rPr>
                      <m:t xml:space="preserve"> </m:t>
                    </m:r>
                    <m:f>
                      <m:fPr>
                        <m:type m:val="skw"/>
                        <m:ctrlPr>
                          <w:rPr>
                            <w:rFonts w:ascii="Cambria Math" w:hAnsi="Cambria Math"/>
                            <w:i/>
                            <w:color w:val="auto"/>
                            <w:lang w:val="en-US"/>
                          </w:rPr>
                        </m:ctrlPr>
                      </m:fPr>
                      <m:num>
                        <m:r>
                          <w:rPr>
                            <w:rFonts w:ascii="Cambria Math" w:hAnsi="Cambria Math"/>
                            <w:color w:val="auto"/>
                            <w:lang w:val="en-US"/>
                          </w:rPr>
                          <m:t>1</m:t>
                        </m:r>
                      </m:num>
                      <m:den>
                        <m:sSub>
                          <m:sSubPr>
                            <m:ctrlPr>
                              <w:rPr>
                                <w:rFonts w:ascii="Cambria Math" w:hAnsi="Cambria Math"/>
                                <w:i/>
                                <w:color w:val="auto"/>
                                <w:lang w:val="en-US"/>
                              </w:rPr>
                            </m:ctrlPr>
                          </m:sSubPr>
                          <m:e>
                            <m:r>
                              <w:rPr>
                                <w:rFonts w:ascii="Cambria Math" w:hAnsi="Cambria Math"/>
                                <w:color w:val="auto"/>
                                <w:lang w:val="en-US"/>
                              </w:rPr>
                              <m:t>N</m:t>
                            </m:r>
                          </m:e>
                          <m:sub>
                            <m:r>
                              <w:rPr>
                                <w:rFonts w:ascii="Cambria Math" w:hAnsi="Cambria Math"/>
                                <w:color w:val="auto"/>
                                <w:lang w:val="en-US"/>
                              </w:rPr>
                              <m:t>s</m:t>
                            </m:r>
                          </m:sub>
                        </m:sSub>
                      </m:den>
                    </m:f>
                  </m:e>
                </m:nary>
              </m:oMath>
            </m:oMathPara>
          </w:p>
          <w:p w:rsidR="00CB5580" w:rsidRPr="00B90E4B" w:rsidRDefault="00CB5580" w:rsidP="0063525D">
            <w:pPr>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r w:rsidRPr="00B90E4B">
              <w:rPr>
                <w:i/>
                <w:color w:val="auto"/>
                <w:lang w:val="en-US"/>
              </w:rPr>
              <w:t>Ui</w:t>
            </w:r>
            <w:r w:rsidRPr="00B90E4B">
              <w:rPr>
                <w:color w:val="auto"/>
                <w:lang w:val="en-US"/>
              </w:rPr>
              <w:t xml:space="preserve">: the number of uses mentioned by each informant for species, n: the total number of informants. </w:t>
            </w:r>
            <w:r>
              <w:rPr>
                <w:lang w:val="en-US"/>
              </w:rPr>
              <w:fldChar w:fldCharType="begin"/>
            </w:r>
            <w:r>
              <w:rPr>
                <w:color w:val="auto"/>
                <w:lang w:val="en-US"/>
              </w:rPr>
              <w:instrText xml:space="preserve"> ADDIN ZOTERO_ITEM CSL_CITATION {"citationID":"IiOX3suX","properties":{"formattedCitation":"[48]","plainCitation":"[48]","noteIndex":0},"citationItems":[{"id":2628,"uris":["http://zotero.org/users/local/eD9hFYmH/items/NMLT27AP"],"itemData":{"id":2628,"type":"article-journal","abstract":"We use quantitative ethnobotanical data to compare the usefulness of six floristically distinct forest types to mestizo people at Tambopata, southeast Peru. We aim to evaluate which forest types are most useful, and why. Ethnobotanical data were collected with informants in inventory plots and analyzed using a new technique that uses a two-tier calculation process to derive an \"informant indexed\" estimate of each species' use value. Use values are estimated based on the degree of consistency between repeated interviews of each informant and between different informants. We show that (1) in 6.1 ha, 94% of woody stems are \"useful\" to mestizos. (2) Based on percentages of useful plants per plot, there is little difference between each forest type. (3) Simply calculating the percent of useful plants is misleading, however, because most species have minor uses, and only a few are exceptionally useful. (4) Using the informant indexing technique, we demonstrate significant differences between each forest type's utility. Mature forests of present and former floodplains are more useful than other forest types, mostly due to their importance as sources of construction materials and food. (5) Lower floodplain is more useful medicinally, swamp more important commercially, and terra firme sandy more important technologically; they are not easily substituted for some of these uses. (6) On average, 80% of the value of forest plant products to mestizos is subsistence value; only 20% is commercial. We conclude that (1) to maintain cultural autonomy, Amazonian people may need access to all local forest types, and (2) present and former floodplain forests in western Amazonia should be a conservation priority. We make these broad conclusions on the basis of evidence of: (1) ethnoecological similarities among mestizo cultures in Peruvian Amazonia; (2) the similarity of family-level floristic composition at Tambopata and elsewhere in western Amazonia; (3) rapid floodplain deforestation; and (4) floodplain resource overextraction. Conservationists should focus on helping communities gain control of floodplain resources.","container-title":"Conservation Biology","ISSN":"0888-8892","issue":"1","note":"publisher: [Wiley, Society for Conservation Biology]","page":"225-248","source":"JSTOR","title":"Quantitative ethnobotany and Amazonian conservation","volume":"8","author":[{"family":"Phillips","given":"O."},{"family":"Gentry","given":"A. H."},{"family":"Reynel","given":"C."},{"family":"Wilkin","given":"P."},{"family":"B.","given":"C. Galvez-Durand"}],"issued":{"date-parts":[["1994"]]}}}],"schema":"https://github.com/citation-style-language/schema/raw/master/csl-citation.json"} </w:instrText>
            </w:r>
            <w:r>
              <w:rPr>
                <w:lang w:val="en-US"/>
              </w:rPr>
              <w:fldChar w:fldCharType="separate"/>
            </w:r>
            <w:r w:rsidRPr="00356AF8">
              <w:rPr>
                <w:lang w:val="en-US"/>
              </w:rPr>
              <w:t>[48]</w:t>
            </w:r>
            <w:r>
              <w:rPr>
                <w:lang w:val="en-US"/>
              </w:rPr>
              <w:fldChar w:fldCharType="end"/>
            </w:r>
          </w:p>
        </w:tc>
      </w:tr>
      <w:tr w:rsidR="00CB5580" w:rsidRPr="000E1D60" w:rsidTr="0063525D">
        <w:trPr>
          <w:trHeight w:val="160"/>
          <w:jc w:val="center"/>
        </w:trPr>
        <w:tc>
          <w:tcPr>
            <w:cnfStyle w:val="001000000000" w:firstRow="0" w:lastRow="0" w:firstColumn="1" w:lastColumn="0" w:oddVBand="0" w:evenVBand="0" w:oddHBand="0" w:evenHBand="0" w:firstRowFirstColumn="0" w:firstRowLastColumn="0" w:lastRowFirstColumn="0" w:lastRowLastColumn="0"/>
            <w:tcW w:w="1796" w:type="dxa"/>
            <w:vMerge/>
            <w:shd w:val="clear" w:color="auto" w:fill="auto"/>
            <w:hideMark/>
          </w:tcPr>
          <w:p w:rsidR="00CB5580" w:rsidRPr="00B90E4B" w:rsidRDefault="00CB5580" w:rsidP="0063525D">
            <w:pPr>
              <w:spacing w:after="60"/>
              <w:rPr>
                <w:rFonts w:eastAsia="Times New Roman"/>
                <w:color w:val="auto"/>
                <w:lang w:val="en-US" w:eastAsia="fr-FR"/>
              </w:rPr>
            </w:pPr>
          </w:p>
        </w:tc>
        <w:tc>
          <w:tcPr>
            <w:tcW w:w="2599" w:type="dxa"/>
            <w:vMerge/>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c>
          <w:tcPr>
            <w:tcW w:w="1417" w:type="dxa"/>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c>
          <w:tcPr>
            <w:tcW w:w="4594" w:type="dxa"/>
            <w:vMerge/>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r>
      <w:tr w:rsidR="00CB5580" w:rsidRPr="000E1D60" w:rsidTr="0063525D">
        <w:trPr>
          <w:cnfStyle w:val="000000100000" w:firstRow="0" w:lastRow="0" w:firstColumn="0" w:lastColumn="0" w:oddVBand="0" w:evenVBand="0" w:oddHBand="1" w:evenHBand="0" w:firstRowFirstColumn="0" w:firstRowLastColumn="0" w:lastRowFirstColumn="0" w:lastRowLastColumn="0"/>
          <w:trHeight w:val="160"/>
          <w:jc w:val="center"/>
        </w:trPr>
        <w:tc>
          <w:tcPr>
            <w:cnfStyle w:val="001000000000" w:firstRow="0" w:lastRow="0" w:firstColumn="1" w:lastColumn="0" w:oddVBand="0" w:evenVBand="0" w:oddHBand="0" w:evenHBand="0" w:firstRowFirstColumn="0" w:firstRowLastColumn="0" w:lastRowFirstColumn="0" w:lastRowLastColumn="0"/>
            <w:tcW w:w="1796" w:type="dxa"/>
            <w:vMerge/>
            <w:shd w:val="clear" w:color="auto" w:fill="auto"/>
            <w:hideMark/>
          </w:tcPr>
          <w:p w:rsidR="00CB5580" w:rsidRPr="00B90E4B" w:rsidRDefault="00CB5580" w:rsidP="0063525D">
            <w:pPr>
              <w:spacing w:after="60"/>
              <w:rPr>
                <w:rFonts w:eastAsia="Times New Roman"/>
                <w:color w:val="auto"/>
                <w:lang w:val="en-US" w:eastAsia="fr-FR"/>
              </w:rPr>
            </w:pPr>
          </w:p>
        </w:tc>
        <w:tc>
          <w:tcPr>
            <w:tcW w:w="2599" w:type="dxa"/>
            <w:vMerge/>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c>
          <w:tcPr>
            <w:tcW w:w="1417" w:type="dxa"/>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c>
          <w:tcPr>
            <w:tcW w:w="4594" w:type="dxa"/>
            <w:vMerge/>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r>
      <w:tr w:rsidR="00CB5580" w:rsidRPr="000E1D60" w:rsidTr="0063525D">
        <w:trPr>
          <w:trHeight w:val="160"/>
          <w:jc w:val="center"/>
        </w:trPr>
        <w:tc>
          <w:tcPr>
            <w:cnfStyle w:val="001000000000" w:firstRow="0" w:lastRow="0" w:firstColumn="1" w:lastColumn="0" w:oddVBand="0" w:evenVBand="0" w:oddHBand="0" w:evenHBand="0" w:firstRowFirstColumn="0" w:firstRowLastColumn="0" w:lastRowFirstColumn="0" w:lastRowLastColumn="0"/>
            <w:tcW w:w="1796" w:type="dxa"/>
            <w:vMerge/>
            <w:shd w:val="clear" w:color="auto" w:fill="auto"/>
            <w:hideMark/>
          </w:tcPr>
          <w:p w:rsidR="00CB5580" w:rsidRPr="00B90E4B" w:rsidRDefault="00CB5580" w:rsidP="0063525D">
            <w:pPr>
              <w:spacing w:after="60"/>
              <w:rPr>
                <w:rFonts w:eastAsia="Times New Roman"/>
                <w:color w:val="auto"/>
                <w:lang w:val="en-US" w:eastAsia="fr-FR"/>
              </w:rPr>
            </w:pPr>
          </w:p>
        </w:tc>
        <w:tc>
          <w:tcPr>
            <w:tcW w:w="2599" w:type="dxa"/>
            <w:vMerge/>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c>
          <w:tcPr>
            <w:tcW w:w="1417" w:type="dxa"/>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c>
          <w:tcPr>
            <w:tcW w:w="4594" w:type="dxa"/>
            <w:vMerge/>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r>
      <w:tr w:rsidR="00CB5580" w:rsidRPr="000E1D60" w:rsidTr="0063525D">
        <w:trPr>
          <w:cnfStyle w:val="000000100000" w:firstRow="0" w:lastRow="0" w:firstColumn="0" w:lastColumn="0" w:oddVBand="0" w:evenVBand="0" w:oddHBand="1" w:evenHBand="0" w:firstRowFirstColumn="0" w:firstRowLastColumn="0" w:lastRowFirstColumn="0" w:lastRowLastColumn="0"/>
          <w:trHeight w:val="160"/>
          <w:jc w:val="center"/>
        </w:trPr>
        <w:tc>
          <w:tcPr>
            <w:cnfStyle w:val="001000000000" w:firstRow="0" w:lastRow="0" w:firstColumn="1" w:lastColumn="0" w:oddVBand="0" w:evenVBand="0" w:oddHBand="0" w:evenHBand="0" w:firstRowFirstColumn="0" w:firstRowLastColumn="0" w:lastRowFirstColumn="0" w:lastRowLastColumn="0"/>
            <w:tcW w:w="1796" w:type="dxa"/>
            <w:vMerge/>
            <w:shd w:val="clear" w:color="auto" w:fill="auto"/>
            <w:hideMark/>
          </w:tcPr>
          <w:p w:rsidR="00CB5580" w:rsidRPr="00B90E4B" w:rsidRDefault="00CB5580" w:rsidP="0063525D">
            <w:pPr>
              <w:spacing w:after="60"/>
              <w:rPr>
                <w:rFonts w:eastAsia="Times New Roman"/>
                <w:color w:val="auto"/>
                <w:lang w:val="en-US" w:eastAsia="fr-FR"/>
              </w:rPr>
            </w:pPr>
          </w:p>
        </w:tc>
        <w:tc>
          <w:tcPr>
            <w:tcW w:w="2599" w:type="dxa"/>
            <w:vMerge/>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c>
          <w:tcPr>
            <w:tcW w:w="1417" w:type="dxa"/>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c>
          <w:tcPr>
            <w:tcW w:w="4594" w:type="dxa"/>
            <w:vMerge/>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r>
      <w:tr w:rsidR="00CB5580" w:rsidRPr="000E1D60" w:rsidTr="0063525D">
        <w:trPr>
          <w:trHeight w:val="160"/>
          <w:jc w:val="center"/>
        </w:trPr>
        <w:tc>
          <w:tcPr>
            <w:cnfStyle w:val="001000000000" w:firstRow="0" w:lastRow="0" w:firstColumn="1" w:lastColumn="0" w:oddVBand="0" w:evenVBand="0" w:oddHBand="0" w:evenHBand="0" w:firstRowFirstColumn="0" w:firstRowLastColumn="0" w:lastRowFirstColumn="0" w:lastRowLastColumn="0"/>
            <w:tcW w:w="1796" w:type="dxa"/>
            <w:vMerge/>
            <w:shd w:val="clear" w:color="auto" w:fill="auto"/>
            <w:hideMark/>
          </w:tcPr>
          <w:p w:rsidR="00CB5580" w:rsidRPr="00B90E4B" w:rsidRDefault="00CB5580" w:rsidP="0063525D">
            <w:pPr>
              <w:spacing w:after="60"/>
              <w:rPr>
                <w:rFonts w:eastAsia="Times New Roman"/>
                <w:color w:val="auto"/>
                <w:lang w:val="en-US" w:eastAsia="fr-FR"/>
              </w:rPr>
            </w:pPr>
          </w:p>
        </w:tc>
        <w:tc>
          <w:tcPr>
            <w:tcW w:w="2599" w:type="dxa"/>
            <w:vMerge/>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c>
          <w:tcPr>
            <w:tcW w:w="1417" w:type="dxa"/>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c>
          <w:tcPr>
            <w:tcW w:w="4594" w:type="dxa"/>
            <w:vMerge/>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r>
      <w:tr w:rsidR="00CB5580" w:rsidRPr="000E1D60" w:rsidTr="0063525D">
        <w:trPr>
          <w:cnfStyle w:val="000000100000" w:firstRow="0" w:lastRow="0" w:firstColumn="0" w:lastColumn="0" w:oddVBand="0" w:evenVBand="0" w:oddHBand="1" w:evenHBand="0" w:firstRowFirstColumn="0" w:firstRowLastColumn="0" w:lastRowFirstColumn="0" w:lastRowLastColumn="0"/>
          <w:trHeight w:val="160"/>
          <w:jc w:val="center"/>
        </w:trPr>
        <w:tc>
          <w:tcPr>
            <w:cnfStyle w:val="001000000000" w:firstRow="0" w:lastRow="0" w:firstColumn="1" w:lastColumn="0" w:oddVBand="0" w:evenVBand="0" w:oddHBand="0" w:evenHBand="0" w:firstRowFirstColumn="0" w:firstRowLastColumn="0" w:lastRowFirstColumn="0" w:lastRowLastColumn="0"/>
            <w:tcW w:w="1796" w:type="dxa"/>
            <w:vMerge/>
            <w:shd w:val="clear" w:color="auto" w:fill="auto"/>
            <w:hideMark/>
          </w:tcPr>
          <w:p w:rsidR="00CB5580" w:rsidRPr="00B90E4B" w:rsidRDefault="00CB5580" w:rsidP="0063525D">
            <w:pPr>
              <w:spacing w:after="60"/>
              <w:rPr>
                <w:rFonts w:eastAsia="Times New Roman"/>
                <w:color w:val="auto"/>
                <w:lang w:val="en-US" w:eastAsia="fr-FR"/>
              </w:rPr>
            </w:pPr>
          </w:p>
        </w:tc>
        <w:tc>
          <w:tcPr>
            <w:tcW w:w="2599" w:type="dxa"/>
            <w:vMerge/>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c>
          <w:tcPr>
            <w:tcW w:w="1417" w:type="dxa"/>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c>
          <w:tcPr>
            <w:tcW w:w="4594" w:type="dxa"/>
            <w:vMerge/>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r>
      <w:tr w:rsidR="00CB5580" w:rsidRPr="000E1D60" w:rsidTr="0063525D">
        <w:trPr>
          <w:trHeight w:val="160"/>
          <w:jc w:val="center"/>
        </w:trPr>
        <w:tc>
          <w:tcPr>
            <w:cnfStyle w:val="001000000000" w:firstRow="0" w:lastRow="0" w:firstColumn="1" w:lastColumn="0" w:oddVBand="0" w:evenVBand="0" w:oddHBand="0" w:evenHBand="0" w:firstRowFirstColumn="0" w:firstRowLastColumn="0" w:lastRowFirstColumn="0" w:lastRowLastColumn="0"/>
            <w:tcW w:w="1796" w:type="dxa"/>
            <w:vMerge/>
            <w:shd w:val="clear" w:color="auto" w:fill="auto"/>
            <w:hideMark/>
          </w:tcPr>
          <w:p w:rsidR="00CB5580" w:rsidRPr="00B90E4B" w:rsidRDefault="00CB5580" w:rsidP="0063525D">
            <w:pPr>
              <w:spacing w:after="60"/>
              <w:rPr>
                <w:rFonts w:eastAsia="Times New Roman"/>
                <w:color w:val="auto"/>
                <w:lang w:val="en-US" w:eastAsia="fr-FR"/>
              </w:rPr>
            </w:pPr>
          </w:p>
        </w:tc>
        <w:tc>
          <w:tcPr>
            <w:tcW w:w="2599" w:type="dxa"/>
            <w:vMerge/>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c>
          <w:tcPr>
            <w:tcW w:w="1417" w:type="dxa"/>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c>
          <w:tcPr>
            <w:tcW w:w="4594" w:type="dxa"/>
            <w:vMerge/>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r>
      <w:tr w:rsidR="00CB5580" w:rsidRPr="000E1D60" w:rsidTr="0063525D">
        <w:trPr>
          <w:cnfStyle w:val="000000100000" w:firstRow="0" w:lastRow="0" w:firstColumn="0" w:lastColumn="0" w:oddVBand="0" w:evenVBand="0" w:oddHBand="1" w:evenHBand="0" w:firstRowFirstColumn="0" w:firstRowLastColumn="0" w:lastRowFirstColumn="0" w:lastRowLastColumn="0"/>
          <w:trHeight w:val="160"/>
          <w:jc w:val="center"/>
        </w:trPr>
        <w:tc>
          <w:tcPr>
            <w:cnfStyle w:val="001000000000" w:firstRow="0" w:lastRow="0" w:firstColumn="1" w:lastColumn="0" w:oddVBand="0" w:evenVBand="0" w:oddHBand="0" w:evenHBand="0" w:firstRowFirstColumn="0" w:firstRowLastColumn="0" w:lastRowFirstColumn="0" w:lastRowLastColumn="0"/>
            <w:tcW w:w="1796" w:type="dxa"/>
            <w:vMerge/>
            <w:shd w:val="clear" w:color="auto" w:fill="auto"/>
            <w:hideMark/>
          </w:tcPr>
          <w:p w:rsidR="00CB5580" w:rsidRPr="00B90E4B" w:rsidRDefault="00CB5580" w:rsidP="0063525D">
            <w:pPr>
              <w:spacing w:after="60"/>
              <w:rPr>
                <w:rFonts w:eastAsia="Times New Roman"/>
                <w:color w:val="auto"/>
                <w:lang w:val="en-US" w:eastAsia="fr-FR"/>
              </w:rPr>
            </w:pPr>
          </w:p>
        </w:tc>
        <w:tc>
          <w:tcPr>
            <w:tcW w:w="2599" w:type="dxa"/>
            <w:vMerge/>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c>
          <w:tcPr>
            <w:tcW w:w="1417" w:type="dxa"/>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c>
          <w:tcPr>
            <w:tcW w:w="4594" w:type="dxa"/>
            <w:vMerge/>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r>
      <w:tr w:rsidR="00CB5580" w:rsidRPr="000E1D60" w:rsidTr="0063525D">
        <w:trPr>
          <w:trHeight w:val="160"/>
          <w:jc w:val="center"/>
        </w:trPr>
        <w:tc>
          <w:tcPr>
            <w:cnfStyle w:val="001000000000" w:firstRow="0" w:lastRow="0" w:firstColumn="1" w:lastColumn="0" w:oddVBand="0" w:evenVBand="0" w:oddHBand="0" w:evenHBand="0" w:firstRowFirstColumn="0" w:firstRowLastColumn="0" w:lastRowFirstColumn="0" w:lastRowLastColumn="0"/>
            <w:tcW w:w="1796" w:type="dxa"/>
            <w:vMerge/>
            <w:shd w:val="clear" w:color="auto" w:fill="auto"/>
            <w:hideMark/>
          </w:tcPr>
          <w:p w:rsidR="00CB5580" w:rsidRPr="00B90E4B" w:rsidRDefault="00CB5580" w:rsidP="0063525D">
            <w:pPr>
              <w:spacing w:after="60"/>
              <w:rPr>
                <w:rFonts w:eastAsia="Times New Roman"/>
                <w:color w:val="auto"/>
                <w:lang w:val="en-US" w:eastAsia="fr-FR"/>
              </w:rPr>
            </w:pPr>
          </w:p>
        </w:tc>
        <w:tc>
          <w:tcPr>
            <w:tcW w:w="2599" w:type="dxa"/>
            <w:vMerge/>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c>
          <w:tcPr>
            <w:tcW w:w="1417" w:type="dxa"/>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c>
          <w:tcPr>
            <w:tcW w:w="4594" w:type="dxa"/>
            <w:vMerge/>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r>
      <w:tr w:rsidR="00CB5580" w:rsidRPr="000B7B4F" w:rsidTr="0063525D">
        <w:trPr>
          <w:cnfStyle w:val="000000100000" w:firstRow="0" w:lastRow="0" w:firstColumn="0" w:lastColumn="0" w:oddVBand="0" w:evenVBand="0" w:oddHBand="1" w:evenHBand="0" w:firstRowFirstColumn="0" w:firstRowLastColumn="0" w:lastRowFirstColumn="0" w:lastRowLastColumn="0"/>
          <w:trHeight w:val="1189"/>
          <w:jc w:val="center"/>
        </w:trPr>
        <w:tc>
          <w:tcPr>
            <w:cnfStyle w:val="001000000000" w:firstRow="0" w:lastRow="0" w:firstColumn="1" w:lastColumn="0" w:oddVBand="0" w:evenVBand="0" w:oddHBand="0" w:evenHBand="0" w:firstRowFirstColumn="0" w:firstRowLastColumn="0" w:lastRowFirstColumn="0" w:lastRowLastColumn="0"/>
            <w:tcW w:w="1796" w:type="dxa"/>
            <w:shd w:val="clear" w:color="auto" w:fill="auto"/>
            <w:hideMark/>
          </w:tcPr>
          <w:p w:rsidR="00CB5580" w:rsidRPr="00B90E4B" w:rsidRDefault="00CB5580" w:rsidP="0063525D">
            <w:pPr>
              <w:spacing w:after="60"/>
              <w:rPr>
                <w:rFonts w:eastAsia="Times New Roman"/>
                <w:b w:val="0"/>
                <w:color w:val="auto"/>
                <w:lang w:val="en-US" w:eastAsia="fr-FR"/>
              </w:rPr>
            </w:pPr>
            <w:r w:rsidRPr="00B90E4B">
              <w:rPr>
                <w:rFonts w:eastAsia="Times New Roman"/>
                <w:b w:val="0"/>
                <w:color w:val="auto"/>
                <w:lang w:val="en-US" w:eastAsia="fr-FR"/>
              </w:rPr>
              <w:t xml:space="preserve">Organs exploited                                                                                                                                                                        </w:t>
            </w:r>
          </w:p>
        </w:tc>
        <w:tc>
          <w:tcPr>
            <w:tcW w:w="2599" w:type="dxa"/>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r w:rsidRPr="00B90E4B">
              <w:rPr>
                <w:rFonts w:eastAsia="Times New Roman"/>
                <w:color w:val="auto"/>
                <w:lang w:val="en-US" w:eastAsia="fr-FR"/>
              </w:rPr>
              <w:t>Rootstock, root bark, leaf, stem, stem's bark, fruit, fibber, flower, seed</w:t>
            </w:r>
          </w:p>
        </w:tc>
        <w:tc>
          <w:tcPr>
            <w:tcW w:w="1417" w:type="dxa"/>
            <w:shd w:val="clear" w:color="auto" w:fill="auto"/>
            <w:hideMark/>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r w:rsidRPr="00B90E4B">
              <w:rPr>
                <w:rFonts w:eastAsia="Times New Roman"/>
                <w:color w:val="auto"/>
                <w:lang w:val="en-US" w:eastAsia="fr-FR"/>
              </w:rPr>
              <w:t>Index value of organ (IVO)</w:t>
            </w:r>
          </w:p>
        </w:tc>
        <w:tc>
          <w:tcPr>
            <w:tcW w:w="4594" w:type="dxa"/>
            <w:shd w:val="clear" w:color="auto" w:fill="auto"/>
            <w:hideMark/>
          </w:tcPr>
          <w:p w:rsidR="00CB5580" w:rsidRPr="00B90E4B" w:rsidRDefault="00CB5580" w:rsidP="0063525D">
            <w:p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color w:val="auto"/>
                <w:lang w:val="en-US"/>
              </w:rPr>
            </w:pPr>
            <m:oMathPara>
              <m:oMathParaPr>
                <m:jc m:val="left"/>
              </m:oMathParaPr>
              <m:oMath>
                <m:r>
                  <w:rPr>
                    <w:rFonts w:ascii="Cambria Math" w:hAnsi="Cambria Math"/>
                    <w:color w:val="auto"/>
                    <w:lang w:val="en-US"/>
                  </w:rPr>
                  <m:t>IVO</m:t>
                </m:r>
                <m:r>
                  <m:rPr>
                    <m:sty m:val="p"/>
                  </m:rPr>
                  <w:rPr>
                    <w:rFonts w:ascii="Cambria Math" w:hAnsi="Cambria Math"/>
                    <w:color w:val="auto"/>
                    <w:lang w:val="en-US"/>
                  </w:rPr>
                  <m:t>=</m:t>
                </m:r>
                <m:nary>
                  <m:naryPr>
                    <m:chr m:val="∑"/>
                    <m:limLoc m:val="undOvr"/>
                    <m:subHide m:val="1"/>
                    <m:supHide m:val="1"/>
                    <m:ctrlPr>
                      <w:rPr>
                        <w:rFonts w:ascii="Cambria Math" w:hAnsi="Cambria Math"/>
                        <w:color w:val="auto"/>
                        <w:lang w:val="en-US"/>
                      </w:rPr>
                    </m:ctrlPr>
                  </m:naryPr>
                  <m:sub/>
                  <m:sup/>
                  <m:e>
                    <m:sSub>
                      <m:sSubPr>
                        <m:ctrlPr>
                          <w:rPr>
                            <w:rFonts w:ascii="Cambria Math" w:hAnsi="Cambria Math"/>
                            <w:i/>
                            <w:color w:val="auto"/>
                            <w:lang w:val="en-US"/>
                          </w:rPr>
                        </m:ctrlPr>
                      </m:sSubPr>
                      <m:e>
                        <m:r>
                          <w:rPr>
                            <w:rFonts w:ascii="Cambria Math" w:hAnsi="Cambria Math"/>
                            <w:color w:val="auto"/>
                            <w:lang w:val="en-US"/>
                          </w:rPr>
                          <m:t>N</m:t>
                        </m:r>
                      </m:e>
                      <m:sub>
                        <m:r>
                          <w:rPr>
                            <w:rFonts w:ascii="Cambria Math" w:hAnsi="Cambria Math"/>
                            <w:color w:val="auto"/>
                            <w:lang w:val="en-US"/>
                          </w:rPr>
                          <m:t>ui</m:t>
                        </m:r>
                      </m:sub>
                    </m:sSub>
                    <m:r>
                      <m:rPr>
                        <m:sty m:val="p"/>
                      </m:rPr>
                      <w:rPr>
                        <w:rFonts w:ascii="Cambria Math" w:hAnsi="Cambria Math"/>
                        <w:color w:val="auto"/>
                        <w:lang w:val="en-US"/>
                      </w:rPr>
                      <m:t>x</m:t>
                    </m:r>
                    <m:r>
                      <w:rPr>
                        <w:rFonts w:ascii="Cambria Math" w:hAnsi="Cambria Math"/>
                        <w:color w:val="auto"/>
                        <w:lang w:val="en-US"/>
                      </w:rPr>
                      <m:t xml:space="preserve"> </m:t>
                    </m:r>
                    <m:f>
                      <m:fPr>
                        <m:type m:val="skw"/>
                        <m:ctrlPr>
                          <w:rPr>
                            <w:rFonts w:ascii="Cambria Math" w:hAnsi="Cambria Math"/>
                            <w:i/>
                            <w:color w:val="auto"/>
                            <w:lang w:val="en-US"/>
                          </w:rPr>
                        </m:ctrlPr>
                      </m:fPr>
                      <m:num>
                        <m:r>
                          <w:rPr>
                            <w:rFonts w:ascii="Cambria Math" w:hAnsi="Cambria Math"/>
                            <w:color w:val="auto"/>
                            <w:lang w:val="en-US"/>
                          </w:rPr>
                          <m:t>1</m:t>
                        </m:r>
                      </m:num>
                      <m:den>
                        <m:sSub>
                          <m:sSubPr>
                            <m:ctrlPr>
                              <w:rPr>
                                <w:rFonts w:ascii="Cambria Math" w:hAnsi="Cambria Math"/>
                                <w:i/>
                                <w:color w:val="auto"/>
                                <w:lang w:val="en-US"/>
                              </w:rPr>
                            </m:ctrlPr>
                          </m:sSubPr>
                          <m:e>
                            <m:r>
                              <w:rPr>
                                <w:rFonts w:ascii="Cambria Math" w:hAnsi="Cambria Math"/>
                                <w:color w:val="auto"/>
                                <w:lang w:val="en-US"/>
                              </w:rPr>
                              <m:t>N</m:t>
                            </m:r>
                          </m:e>
                          <m:sub>
                            <m:r>
                              <w:rPr>
                                <w:rFonts w:ascii="Cambria Math" w:hAnsi="Cambria Math"/>
                                <w:color w:val="auto"/>
                                <w:lang w:val="en-US"/>
                              </w:rPr>
                              <m:t>tu</m:t>
                            </m:r>
                          </m:sub>
                        </m:sSub>
                      </m:den>
                    </m:f>
                  </m:e>
                </m:nary>
              </m:oMath>
            </m:oMathPara>
          </w:p>
          <w:p w:rsidR="00CB5580" w:rsidRPr="00B90E4B" w:rsidRDefault="00CB5580" w:rsidP="0063525D">
            <w:pPr>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r w:rsidRPr="00B90E4B">
              <w:rPr>
                <w:i/>
                <w:color w:val="auto"/>
                <w:lang w:val="en-US"/>
              </w:rPr>
              <w:t>Nui</w:t>
            </w:r>
            <w:r w:rsidRPr="00B90E4B">
              <w:rPr>
                <w:color w:val="auto"/>
                <w:lang w:val="en-US"/>
              </w:rPr>
              <w:t xml:space="preserve">: the number of uses patterns of each organ quoted by informants </w:t>
            </w:r>
            <w:r w:rsidRPr="00B90E4B">
              <w:rPr>
                <w:i/>
                <w:color w:val="auto"/>
                <w:lang w:val="en-US"/>
              </w:rPr>
              <w:t>i</w:t>
            </w:r>
            <w:r w:rsidRPr="00B90E4B">
              <w:rPr>
                <w:color w:val="auto"/>
                <w:lang w:val="en-US"/>
              </w:rPr>
              <w:t xml:space="preserve"> and </w:t>
            </w:r>
            <w:r w:rsidRPr="00B90E4B">
              <w:rPr>
                <w:i/>
                <w:color w:val="auto"/>
                <w:lang w:val="en-US"/>
              </w:rPr>
              <w:t>Ntu</w:t>
            </w:r>
            <w:r w:rsidRPr="00B90E4B">
              <w:rPr>
                <w:color w:val="auto"/>
                <w:lang w:val="en-US"/>
              </w:rPr>
              <w:t xml:space="preserve"> the total number of uses of all organs quoted by the informants </w:t>
            </w:r>
            <w:r w:rsidRPr="00B90E4B">
              <w:rPr>
                <w:i/>
                <w:color w:val="auto"/>
                <w:lang w:val="en-US"/>
              </w:rPr>
              <w:t>N</w:t>
            </w:r>
            <w:r w:rsidRPr="00B90E4B">
              <w:rPr>
                <w:color w:val="auto"/>
                <w:lang w:val="en-US"/>
              </w:rPr>
              <w:t xml:space="preserve">. </w:t>
            </w:r>
            <w:r>
              <w:rPr>
                <w:lang w:val="en-US"/>
              </w:rPr>
              <w:fldChar w:fldCharType="begin"/>
            </w:r>
            <w:r>
              <w:rPr>
                <w:color w:val="auto"/>
                <w:lang w:val="en-US"/>
              </w:rPr>
              <w:instrText xml:space="preserve"> ADDIN ZOTERO_ITEM CSL_CITATION {"citationID":"WGEJezgs","properties":{"formattedCitation":"[49]","plainCitation":"[49]","noteIndex":0},"citationItems":[{"id":53,"uris":["http://zotero.org/users/local/eD9hFYmH/items/VBNXCFLW"],"itemData":{"id":53,"type":"article-journal","abstract":"The lack of literature on the interactions between indigenous people and the valuable agroforestry trees hinder the promotion of sustainable management of plant resources in West African Sahel. This study aimed at assessing local uses and management of Afzelia africana Sm. in Burkina Faso, as a prerequisite to address issues of domestication and sustainable conservation.","container-title":"Journal of Ethnobiology and Ethnomedicine","DOI":"10.1186/s13002-018-0221-z","ISSN":"1746-4269","issue":"1","journalAbbreviation":"Journal of Ethnobiology and Ethnomedicine","page":"23","source":"BioMed Central","title":"Use patterns, use values and management of &lt;i&gt;Afzelia africana&lt;/i&gt; Sm. in Burkina Faso: implications for species domestication and sustainable conservation","title-short":"Use patterns, use values and management of Afzelia africana Sm. in Burkina Faso","volume":"14","author":[{"family":"Balima","given":"Larba Hubert"},{"family":"Nacoulma","given":"Blandine Marie Ivette"},{"family":"Ekué","given":"Marius Rodrigue Mensah"},{"family":"Kouamé","given":"François N’Guessan"},{"family":"Thiombiano","given":"Adjima"}],"issued":{"date-parts":[["2018",3,27]]}}}],"schema":"https://github.com/citation-style-language/schema/raw/master/csl-citation.json"} </w:instrText>
            </w:r>
            <w:r>
              <w:rPr>
                <w:lang w:val="en-US"/>
              </w:rPr>
              <w:fldChar w:fldCharType="separate"/>
            </w:r>
            <w:r w:rsidRPr="00356AF8">
              <w:t>[49]</w:t>
            </w:r>
            <w:r>
              <w:rPr>
                <w:lang w:val="en-US"/>
              </w:rPr>
              <w:fldChar w:fldCharType="end"/>
            </w:r>
          </w:p>
        </w:tc>
      </w:tr>
      <w:tr w:rsidR="00CB5580" w:rsidRPr="00240FFA" w:rsidTr="0063525D">
        <w:trPr>
          <w:trHeight w:val="53"/>
          <w:jc w:val="center"/>
        </w:trPr>
        <w:tc>
          <w:tcPr>
            <w:cnfStyle w:val="001000000000" w:firstRow="0" w:lastRow="0" w:firstColumn="1" w:lastColumn="0" w:oddVBand="0" w:evenVBand="0" w:oddHBand="0" w:evenHBand="0" w:firstRowFirstColumn="0" w:firstRowLastColumn="0" w:lastRowFirstColumn="0" w:lastRowLastColumn="0"/>
            <w:tcW w:w="1796" w:type="dxa"/>
            <w:shd w:val="clear" w:color="auto" w:fill="auto"/>
            <w:hideMark/>
          </w:tcPr>
          <w:p w:rsidR="00CB5580" w:rsidRPr="00B90E4B" w:rsidRDefault="00CB5580" w:rsidP="0063525D">
            <w:pPr>
              <w:spacing w:after="60"/>
              <w:rPr>
                <w:rFonts w:eastAsia="Times New Roman"/>
                <w:color w:val="auto"/>
                <w:lang w:val="en-US" w:eastAsia="fr-FR"/>
              </w:rPr>
            </w:pPr>
            <w:r w:rsidRPr="00B90E4B">
              <w:rPr>
                <w:rFonts w:eastAsia="Times New Roman"/>
                <w:b w:val="0"/>
                <w:color w:val="auto"/>
                <w:lang w:val="en-US" w:eastAsia="fr-FR"/>
              </w:rPr>
              <w:t>Commercial value</w:t>
            </w:r>
          </w:p>
        </w:tc>
        <w:tc>
          <w:tcPr>
            <w:tcW w:w="2599" w:type="dxa"/>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r w:rsidRPr="00B90E4B">
              <w:rPr>
                <w:rFonts w:eastAsia="Times New Roman"/>
                <w:color w:val="auto"/>
                <w:lang w:val="en-US" w:eastAsia="fr-FR"/>
              </w:rPr>
              <w:t>Yes/no</w:t>
            </w:r>
          </w:p>
        </w:tc>
        <w:tc>
          <w:tcPr>
            <w:tcW w:w="1417" w:type="dxa"/>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r w:rsidRPr="00B90E4B">
              <w:rPr>
                <w:rFonts w:eastAsia="Times New Roman"/>
                <w:color w:val="auto"/>
                <w:lang w:val="en-US" w:eastAsia="fr-FR"/>
              </w:rPr>
              <w:t>Index of commercial value (ICV)</w:t>
            </w:r>
          </w:p>
        </w:tc>
        <w:tc>
          <w:tcPr>
            <w:tcW w:w="4594" w:type="dxa"/>
            <w:shd w:val="clear" w:color="auto" w:fill="auto"/>
            <w:hideMark/>
          </w:tcPr>
          <w:p w:rsidR="00CB5580" w:rsidRPr="00B90E4B" w:rsidRDefault="00CB5580" w:rsidP="0063525D">
            <w:pPr>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color w:val="auto"/>
                <w:lang w:val="en-US"/>
              </w:rPr>
            </w:pPr>
            <m:oMathPara>
              <m:oMathParaPr>
                <m:jc m:val="left"/>
              </m:oMathParaPr>
              <m:oMath>
                <m:r>
                  <m:rPr>
                    <m:sty m:val="p"/>
                  </m:rPr>
                  <w:rPr>
                    <w:rFonts w:ascii="Cambria Math" w:hAnsi="Cambria Math"/>
                    <w:color w:val="auto"/>
                    <w:lang w:val="en-US"/>
                  </w:rPr>
                  <m:t xml:space="preserve">ICV= </m:t>
                </m:r>
                <m:r>
                  <w:rPr>
                    <w:rFonts w:ascii="Cambria Math" w:hAnsi="Cambria Math"/>
                    <w:color w:val="auto"/>
                    <w:lang w:val="en-US"/>
                  </w:rPr>
                  <m:t xml:space="preserve"> </m:t>
                </m:r>
                <m:sSub>
                  <m:sSubPr>
                    <m:ctrlPr>
                      <w:rPr>
                        <w:rFonts w:ascii="Cambria Math" w:hAnsi="Cambria Math"/>
                        <w:i/>
                        <w:color w:val="auto"/>
                        <w:lang w:val="en-US"/>
                      </w:rPr>
                    </m:ctrlPr>
                  </m:sSubPr>
                  <m:e>
                    <m:r>
                      <w:rPr>
                        <w:rFonts w:ascii="Cambria Math" w:hAnsi="Cambria Math"/>
                        <w:color w:val="auto"/>
                        <w:lang w:val="en-US"/>
                      </w:rPr>
                      <m:t>I</m:t>
                    </m:r>
                  </m:e>
                  <m:sub>
                    <m:r>
                      <w:rPr>
                        <w:rFonts w:ascii="Cambria Math" w:hAnsi="Cambria Math"/>
                        <w:color w:val="auto"/>
                        <w:lang w:val="en-US"/>
                      </w:rPr>
                      <m:t>p</m:t>
                    </m:r>
                  </m:sub>
                </m:sSub>
                <m:r>
                  <m:rPr>
                    <m:sty m:val="p"/>
                  </m:rPr>
                  <w:rPr>
                    <w:rFonts w:ascii="Cambria Math" w:hAnsi="Cambria Math"/>
                    <w:color w:val="auto"/>
                    <w:lang w:val="en-US"/>
                  </w:rPr>
                  <m:t>⁄</m:t>
                </m:r>
                <m:r>
                  <w:rPr>
                    <w:rFonts w:ascii="Cambria Math" w:hAnsi="Cambria Math"/>
                    <w:color w:val="auto"/>
                    <w:lang w:val="en-US"/>
                  </w:rPr>
                  <m:t>I</m:t>
                </m:r>
                <m:r>
                  <m:rPr>
                    <m:sty m:val="p"/>
                  </m:rPr>
                  <w:rPr>
                    <w:rFonts w:ascii="Cambria Math" w:hAnsi="Cambria Math"/>
                    <w:color w:val="auto"/>
                    <w:lang w:val="en-US"/>
                  </w:rPr>
                  <m:t xml:space="preserve"> x </m:t>
                </m:r>
                <m:r>
                  <w:rPr>
                    <w:rFonts w:ascii="Cambria Math" w:hAnsi="Cambria Math"/>
                    <w:color w:val="auto"/>
                    <w:lang w:val="en-US"/>
                  </w:rPr>
                  <m:t>100%</m:t>
                </m:r>
              </m:oMath>
            </m:oMathPara>
          </w:p>
          <w:p w:rsidR="00CB5580" w:rsidRPr="00B90E4B" w:rsidRDefault="00CB5580" w:rsidP="0063525D">
            <w:pPr>
              <w:spacing w:after="60"/>
              <w:jc w:val="both"/>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r w:rsidRPr="00B90E4B">
              <w:rPr>
                <w:i/>
                <w:color w:val="auto"/>
                <w:lang w:val="en-US"/>
              </w:rPr>
              <w:t>Ip</w:t>
            </w:r>
            <w:r w:rsidRPr="00B90E4B">
              <w:rPr>
                <w:color w:val="auto"/>
                <w:lang w:val="en-US"/>
              </w:rPr>
              <w:t xml:space="preserve">: the number of informants answering positively to sell the species plant parts and </w:t>
            </w:r>
            <w:r w:rsidRPr="00B90E4B">
              <w:rPr>
                <w:i/>
                <w:color w:val="auto"/>
                <w:lang w:val="en-US"/>
              </w:rPr>
              <w:t>I</w:t>
            </w:r>
            <w:r w:rsidRPr="00B90E4B">
              <w:rPr>
                <w:color w:val="auto"/>
                <w:lang w:val="en-US"/>
              </w:rPr>
              <w:t xml:space="preserve">: the total number of informants questioned </w:t>
            </w:r>
            <w:r w:rsidRPr="00B90E4B">
              <w:rPr>
                <w:rFonts w:eastAsia="Times New Roman"/>
                <w:color w:val="auto"/>
                <w:lang w:val="en-US" w:eastAsia="fr-FR"/>
              </w:rPr>
              <w:t xml:space="preserve">(adapted from </w:t>
            </w:r>
            <w:r w:rsidRPr="004644CF">
              <w:rPr>
                <w:rFonts w:eastAsia="Times New Roman"/>
                <w:color w:val="auto"/>
                <w:lang w:val="en-US" w:eastAsia="fr-FR"/>
              </w:rPr>
              <w:t>Lozano et al.</w:t>
            </w:r>
            <w:r>
              <w:rPr>
                <w:rFonts w:eastAsia="Times New Roman"/>
                <w:color w:val="auto"/>
                <w:lang w:val="en-US" w:eastAsia="fr-FR"/>
              </w:rPr>
              <w:t xml:space="preserve"> </w:t>
            </w:r>
            <w:r>
              <w:rPr>
                <w:rFonts w:eastAsia="Times New Roman"/>
                <w:lang w:val="en-US" w:eastAsia="fr-FR"/>
              </w:rPr>
              <w:fldChar w:fldCharType="begin"/>
            </w:r>
            <w:r>
              <w:rPr>
                <w:rFonts w:eastAsia="Times New Roman"/>
                <w:color w:val="auto"/>
                <w:lang w:val="en-US" w:eastAsia="fr-FR"/>
              </w:rPr>
              <w:instrText xml:space="preserve"> ADDIN ZOTERO_ITEM CSL_CITATION {"citationID":"j6Rw4pao","properties":{"formattedCitation":"[13]","plainCitation":"[13]","noteIndex":0},"citationItems":[{"id":241,"uris":["http://zotero.org/users/local/eD9hFYmH/items/65XPRYYT"],"itemData":{"id":241,"type":"article-journal","abstract":"Data from an ethnobotanical study were analyzed to see if they were in agreement with the biochemical basis of the apparency hypothesis based on an analysis of a pharmacopeia in a rural community adjacent to the Araripe National Forest (Floresta Nacional do Araripe - FLONA) in northeastern Brazil. The apparency hypothesis considers two groups of plants, apparent and non-apparent, that are characterized by conspicuity for herbivores (humans) and their chemical defenses.","container-title":"Journal of Ethnobiology and Ethnomedicine","DOI":"10.1186/1746-4269-10-2","ISSN":"1746-4269","issue":"1","journalAbbreviation":"Journal of Ethnobiology and Ethnomedicine","page":"2","source":"BioMed Central","title":"The apparency hypothesis applied to a local pharmacopoeia in the Brazilian northeast","volume":"10","author":[{"family":"Lozano","given":"Alejandro"},{"family":"Araújo","given":"Elcida Lima"},{"family":"Medeiros","given":"Maria Franco Trindade"},{"family":"Albuquerque","given":"Ulysses Paulino"}],"issued":{"date-parts":[["2014",1,10]]}}}],"schema":"https://github.com/citation-style-language/schema/raw/master/csl-citation.json"} </w:instrText>
            </w:r>
            <w:r>
              <w:rPr>
                <w:rFonts w:eastAsia="Times New Roman"/>
                <w:lang w:val="en-US" w:eastAsia="fr-FR"/>
              </w:rPr>
              <w:fldChar w:fldCharType="separate"/>
            </w:r>
            <w:r w:rsidRPr="0041466A">
              <w:t>[13]</w:t>
            </w:r>
            <w:r>
              <w:rPr>
                <w:rFonts w:eastAsia="Times New Roman"/>
                <w:lang w:val="en-US" w:eastAsia="fr-FR"/>
              </w:rPr>
              <w:fldChar w:fldCharType="end"/>
            </w:r>
            <w:r>
              <w:rPr>
                <w:rFonts w:eastAsia="Times New Roman"/>
                <w:color w:val="auto"/>
                <w:lang w:val="en-US" w:eastAsia="fr-FR"/>
              </w:rPr>
              <w:t>)</w:t>
            </w:r>
            <w:r w:rsidRPr="00B90E4B">
              <w:rPr>
                <w:rFonts w:eastAsia="Times New Roman"/>
                <w:color w:val="auto"/>
                <w:lang w:val="en-US" w:eastAsia="fr-FR"/>
              </w:rPr>
              <w:t>.</w:t>
            </w:r>
          </w:p>
        </w:tc>
      </w:tr>
      <w:tr w:rsidR="00CB5580" w:rsidRPr="000E1D60" w:rsidTr="0063525D">
        <w:trPr>
          <w:cnfStyle w:val="000000100000" w:firstRow="0" w:lastRow="0" w:firstColumn="0" w:lastColumn="0" w:oddVBand="0" w:evenVBand="0" w:oddHBand="1" w:evenHBand="0" w:firstRowFirstColumn="0" w:firstRowLastColumn="0" w:lastRowFirstColumn="0" w:lastRowLastColumn="0"/>
          <w:trHeight w:val="53"/>
          <w:jc w:val="center"/>
        </w:trPr>
        <w:tc>
          <w:tcPr>
            <w:cnfStyle w:val="001000000000" w:firstRow="0" w:lastRow="0" w:firstColumn="1" w:lastColumn="0" w:oddVBand="0" w:evenVBand="0" w:oddHBand="0" w:evenHBand="0" w:firstRowFirstColumn="0" w:firstRowLastColumn="0" w:lastRowFirstColumn="0" w:lastRowLastColumn="0"/>
            <w:tcW w:w="1796" w:type="dxa"/>
            <w:shd w:val="clear" w:color="auto" w:fill="auto"/>
          </w:tcPr>
          <w:p w:rsidR="00CB5580" w:rsidRPr="00B90E4B" w:rsidRDefault="00CB5580" w:rsidP="0063525D">
            <w:pPr>
              <w:spacing w:after="60"/>
              <w:rPr>
                <w:rFonts w:eastAsia="Times New Roman"/>
                <w:b w:val="0"/>
                <w:color w:val="auto"/>
                <w:lang w:val="en-US" w:eastAsia="fr-FR"/>
              </w:rPr>
            </w:pPr>
            <w:r w:rsidRPr="00B90E4B">
              <w:rPr>
                <w:rFonts w:eastAsia="Times New Roman"/>
                <w:b w:val="0"/>
                <w:color w:val="auto"/>
                <w:lang w:val="en-US" w:eastAsia="fr-FR"/>
              </w:rPr>
              <w:t>Species abundance</w:t>
            </w:r>
          </w:p>
          <w:p w:rsidR="00CB5580" w:rsidRPr="00B90E4B" w:rsidRDefault="00CB5580" w:rsidP="0063525D">
            <w:pPr>
              <w:spacing w:after="60"/>
              <w:rPr>
                <w:i/>
                <w:color w:val="auto"/>
                <w:lang w:val="en-US"/>
              </w:rPr>
            </w:pPr>
          </w:p>
        </w:tc>
        <w:tc>
          <w:tcPr>
            <w:tcW w:w="2599" w:type="dxa"/>
            <w:shd w:val="clear" w:color="auto" w:fill="auto"/>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p>
        </w:tc>
        <w:tc>
          <w:tcPr>
            <w:tcW w:w="1417" w:type="dxa"/>
            <w:shd w:val="clear" w:color="auto" w:fill="auto"/>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color w:val="auto"/>
                <w:lang w:val="en-US" w:eastAsia="fr-FR"/>
              </w:rPr>
            </w:pPr>
            <w:r w:rsidRPr="00B90E4B">
              <w:rPr>
                <w:rFonts w:eastAsia="Times New Roman"/>
                <w:color w:val="auto"/>
                <w:lang w:val="en-US" w:eastAsia="fr-FR"/>
              </w:rPr>
              <w:t>Density  (</w:t>
            </w:r>
            <w:r w:rsidRPr="00B90E4B">
              <w:rPr>
                <w:rFonts w:eastAsia="Times New Roman"/>
                <w:i/>
                <w:color w:val="auto"/>
                <w:lang w:val="en-US" w:eastAsia="fr-FR"/>
              </w:rPr>
              <w:t>N</w:t>
            </w:r>
            <w:r w:rsidRPr="00B90E4B">
              <w:rPr>
                <w:rFonts w:eastAsia="Times New Roman"/>
                <w:i/>
                <w:color w:val="auto"/>
                <w:vertAlign w:val="subscript"/>
                <w:lang w:val="en-US" w:eastAsia="fr-FR"/>
              </w:rPr>
              <w:t>i</w:t>
            </w:r>
            <w:r w:rsidRPr="00B90E4B">
              <w:rPr>
                <w:rFonts w:eastAsia="Times New Roman"/>
                <w:color w:val="auto"/>
                <w:lang w:val="en-US" w:eastAsia="fr-FR"/>
              </w:rPr>
              <w:t>)</w:t>
            </w:r>
          </w:p>
        </w:tc>
        <w:tc>
          <w:tcPr>
            <w:tcW w:w="4594" w:type="dxa"/>
            <w:shd w:val="clear" w:color="auto" w:fill="auto"/>
          </w:tcPr>
          <w:p w:rsidR="00CB5580" w:rsidRPr="00B90E4B" w:rsidRDefault="00CB5580" w:rsidP="0063525D">
            <w:p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eastAsia="SimSun"/>
                <w:color w:val="auto"/>
                <w:lang w:val="en-US"/>
              </w:rPr>
            </w:pPr>
            <m:oMath>
              <m:r>
                <w:rPr>
                  <w:rFonts w:ascii="Cambria Math" w:hAnsi="Cambria Math"/>
                  <w:color w:val="auto"/>
                  <w:lang w:val="en-US"/>
                </w:rPr>
                <m:t>Ni</m:t>
              </m:r>
              <m:r>
                <m:rPr>
                  <m:sty m:val="p"/>
                </m:rPr>
                <w:rPr>
                  <w:rFonts w:ascii="Cambria Math" w:hAnsi="Cambria Math"/>
                  <w:color w:val="auto"/>
                  <w:lang w:val="en-US"/>
                </w:rPr>
                <m:t>=</m:t>
              </m:r>
              <m:sSub>
                <m:sSubPr>
                  <m:ctrlPr>
                    <w:rPr>
                      <w:rFonts w:ascii="Cambria Math" w:hAnsi="Cambria Math"/>
                      <w:color w:val="auto"/>
                      <w:lang w:val="en-US"/>
                    </w:rPr>
                  </m:ctrlPr>
                </m:sSubPr>
                <m:e>
                  <m:r>
                    <w:rPr>
                      <w:rFonts w:ascii="Cambria Math" w:hAnsi="Cambria Math"/>
                      <w:color w:val="auto"/>
                      <w:lang w:val="en-US"/>
                    </w:rPr>
                    <m:t>n</m:t>
                  </m:r>
                </m:e>
                <m:sub>
                  <m:r>
                    <w:rPr>
                      <w:rFonts w:ascii="Cambria Math" w:hAnsi="Cambria Math"/>
                      <w:color w:val="auto"/>
                      <w:lang w:val="en-US"/>
                    </w:rPr>
                    <m:t>i</m:t>
                  </m:r>
                </m:sub>
              </m:sSub>
              <m:r>
                <m:rPr>
                  <m:sty m:val="p"/>
                </m:rPr>
                <w:rPr>
                  <w:rFonts w:ascii="Cambria Math" w:hAnsi="Cambria Math"/>
                  <w:color w:val="auto"/>
                  <w:lang w:val="en-US"/>
                </w:rPr>
                <m:t>⁄</m:t>
              </m:r>
              <m:r>
                <w:rPr>
                  <w:rFonts w:ascii="Cambria Math" w:hAnsi="Cambria Math"/>
                  <w:color w:val="auto"/>
                  <w:lang w:val="en-US"/>
                </w:rPr>
                <m:t>S</m:t>
              </m:r>
            </m:oMath>
            <w:r w:rsidRPr="00B90E4B">
              <w:rPr>
                <w:rFonts w:eastAsia="SimSun"/>
                <w:color w:val="auto"/>
                <w:lang w:val="en-US"/>
              </w:rPr>
              <w:t xml:space="preserve"> </w:t>
            </w:r>
          </w:p>
          <w:p w:rsidR="00CB5580" w:rsidRPr="00B90E4B" w:rsidRDefault="00CB5580" w:rsidP="0063525D">
            <w:p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color w:val="auto"/>
                <w:lang w:val="en-US"/>
              </w:rPr>
            </w:pPr>
            <w:r w:rsidRPr="00B90E4B">
              <w:rPr>
                <w:i/>
                <w:color w:val="auto"/>
                <w:lang w:val="en-US"/>
              </w:rPr>
              <w:t>Ni</w:t>
            </w:r>
            <w:r w:rsidRPr="00B90E4B">
              <w:rPr>
                <w:color w:val="auto"/>
                <w:lang w:val="en-US"/>
              </w:rPr>
              <w:t xml:space="preserve">, the abundance in the plot </w:t>
            </w:r>
            <w:r w:rsidRPr="00B90E4B">
              <w:rPr>
                <w:i/>
                <w:color w:val="auto"/>
                <w:lang w:val="en-US"/>
              </w:rPr>
              <w:t>i</w:t>
            </w:r>
            <w:r w:rsidRPr="00B90E4B">
              <w:rPr>
                <w:color w:val="auto"/>
                <w:lang w:val="en-US"/>
              </w:rPr>
              <w:t xml:space="preserve">; </w:t>
            </w:r>
            <w:r w:rsidRPr="00B90E4B">
              <w:rPr>
                <w:i/>
                <w:color w:val="auto"/>
                <w:lang w:val="en-US"/>
              </w:rPr>
              <w:t>ni</w:t>
            </w:r>
            <w:r w:rsidRPr="00B90E4B">
              <w:rPr>
                <w:color w:val="auto"/>
                <w:lang w:val="en-US"/>
              </w:rPr>
              <w:t xml:space="preserve">, the number of individuals in the plot </w:t>
            </w:r>
            <w:r w:rsidRPr="00B90E4B">
              <w:rPr>
                <w:i/>
                <w:color w:val="auto"/>
                <w:lang w:val="en-US"/>
              </w:rPr>
              <w:t>i,</w:t>
            </w:r>
            <w:r w:rsidRPr="00B90E4B">
              <w:rPr>
                <w:color w:val="auto"/>
                <w:lang w:val="en-US"/>
              </w:rPr>
              <w:t xml:space="preserve">and </w:t>
            </w:r>
            <w:r w:rsidRPr="00B90E4B">
              <w:rPr>
                <w:i/>
                <w:color w:val="auto"/>
                <w:lang w:val="en-US"/>
              </w:rPr>
              <w:t>S</w:t>
            </w:r>
            <w:r w:rsidRPr="00B90E4B">
              <w:rPr>
                <w:color w:val="auto"/>
                <w:lang w:val="en-US"/>
              </w:rPr>
              <w:t xml:space="preserve"> the area (1ha)</w:t>
            </w:r>
          </w:p>
        </w:tc>
      </w:tr>
      <w:tr w:rsidR="00CB5580" w:rsidRPr="00240FFA" w:rsidTr="0063525D">
        <w:trPr>
          <w:trHeight w:val="893"/>
          <w:jc w:val="center"/>
        </w:trPr>
        <w:tc>
          <w:tcPr>
            <w:cnfStyle w:val="001000000000" w:firstRow="0" w:lastRow="0" w:firstColumn="1" w:lastColumn="0" w:oddVBand="0" w:evenVBand="0" w:oddHBand="0" w:evenHBand="0" w:firstRowFirstColumn="0" w:firstRowLastColumn="0" w:lastRowFirstColumn="0" w:lastRowLastColumn="0"/>
            <w:tcW w:w="1796" w:type="dxa"/>
            <w:shd w:val="clear" w:color="auto" w:fill="auto"/>
            <w:hideMark/>
          </w:tcPr>
          <w:p w:rsidR="00CB5580" w:rsidRPr="00B90E4B" w:rsidRDefault="00CB5580" w:rsidP="0063525D">
            <w:pPr>
              <w:spacing w:after="60"/>
              <w:rPr>
                <w:rFonts w:eastAsia="Times New Roman"/>
                <w:color w:val="auto"/>
                <w:lang w:val="en-US" w:eastAsia="fr-FR"/>
              </w:rPr>
            </w:pPr>
            <w:r w:rsidRPr="00B90E4B">
              <w:rPr>
                <w:rFonts w:eastAsia="Times New Roman"/>
                <w:b w:val="0"/>
                <w:color w:val="auto"/>
                <w:lang w:val="en-US" w:eastAsia="fr-FR"/>
              </w:rPr>
              <w:t>Species dynamic</w:t>
            </w:r>
          </w:p>
        </w:tc>
        <w:tc>
          <w:tcPr>
            <w:tcW w:w="2599" w:type="dxa"/>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r w:rsidRPr="00B90E4B">
              <w:rPr>
                <w:rFonts w:eastAsia="Times New Roman"/>
                <w:color w:val="auto"/>
                <w:lang w:val="en-US" w:eastAsia="fr-FR"/>
              </w:rPr>
              <w:t>Increase, decrease, stable</w:t>
            </w:r>
          </w:p>
        </w:tc>
        <w:tc>
          <w:tcPr>
            <w:tcW w:w="1417" w:type="dxa"/>
            <w:vMerge w:val="restart"/>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r w:rsidRPr="00B90E4B">
              <w:rPr>
                <w:rFonts w:eastAsia="Times New Roman"/>
                <w:color w:val="auto"/>
                <w:lang w:val="en-US" w:eastAsia="fr-FR"/>
              </w:rPr>
              <w:t>Citation frequency (FC)</w:t>
            </w:r>
          </w:p>
        </w:tc>
        <w:tc>
          <w:tcPr>
            <w:tcW w:w="4594" w:type="dxa"/>
            <w:vMerge w:val="restart"/>
            <w:shd w:val="clear" w:color="auto" w:fill="auto"/>
            <w:hideMark/>
          </w:tcPr>
          <w:p w:rsidR="00CB5580" w:rsidRPr="00B90E4B" w:rsidRDefault="00CB5580" w:rsidP="0063525D">
            <w:pPr>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color w:val="auto"/>
                <w:lang w:val="en-US"/>
              </w:rPr>
            </w:pPr>
            <m:oMathPara>
              <m:oMathParaPr>
                <m:jc m:val="left"/>
              </m:oMathParaPr>
              <m:oMath>
                <m:r>
                  <m:rPr>
                    <m:sty m:val="p"/>
                  </m:rPr>
                  <w:rPr>
                    <w:rFonts w:ascii="Cambria Math" w:hAnsi="Cambria Math"/>
                    <w:color w:val="auto"/>
                    <w:lang w:val="en-US"/>
                  </w:rPr>
                  <m:t xml:space="preserve">FC= </m:t>
                </m:r>
                <m:r>
                  <w:rPr>
                    <w:rFonts w:ascii="Cambria Math" w:hAnsi="Cambria Math"/>
                    <w:color w:val="auto"/>
                    <w:lang w:val="en-US"/>
                  </w:rPr>
                  <m:t xml:space="preserve"> </m:t>
                </m:r>
                <m:sSub>
                  <m:sSubPr>
                    <m:ctrlPr>
                      <w:rPr>
                        <w:rFonts w:ascii="Cambria Math" w:hAnsi="Cambria Math"/>
                        <w:i/>
                        <w:color w:val="auto"/>
                        <w:lang w:val="en-US"/>
                      </w:rPr>
                    </m:ctrlPr>
                  </m:sSubPr>
                  <m:e>
                    <m:r>
                      <w:rPr>
                        <w:rFonts w:ascii="Cambria Math" w:hAnsi="Cambria Math"/>
                        <w:color w:val="auto"/>
                        <w:lang w:val="en-US"/>
                      </w:rPr>
                      <m:t>N</m:t>
                    </m:r>
                  </m:e>
                  <m:sub>
                    <m:r>
                      <w:rPr>
                        <w:rFonts w:ascii="Cambria Math" w:hAnsi="Cambria Math"/>
                        <w:color w:val="auto"/>
                        <w:lang w:val="en-US"/>
                      </w:rPr>
                      <m:t>p</m:t>
                    </m:r>
                  </m:sub>
                </m:sSub>
                <m:r>
                  <m:rPr>
                    <m:sty m:val="p"/>
                  </m:rPr>
                  <w:rPr>
                    <w:rFonts w:ascii="Cambria Math" w:hAnsi="Cambria Math"/>
                    <w:color w:val="auto"/>
                    <w:lang w:val="en-US"/>
                  </w:rPr>
                  <m:t>⁄</m:t>
                </m:r>
                <m:sSub>
                  <m:sSubPr>
                    <m:ctrlPr>
                      <w:rPr>
                        <w:rFonts w:ascii="Cambria Math" w:hAnsi="Cambria Math"/>
                        <w:color w:val="auto"/>
                        <w:lang w:val="en-US"/>
                      </w:rPr>
                    </m:ctrlPr>
                  </m:sSubPr>
                  <m:e>
                    <m:r>
                      <w:rPr>
                        <w:rFonts w:ascii="Cambria Math" w:hAnsi="Cambria Math"/>
                        <w:color w:val="auto"/>
                        <w:lang w:val="en-US"/>
                      </w:rPr>
                      <m:t>N</m:t>
                    </m:r>
                  </m:e>
                  <m:sub>
                    <m:r>
                      <w:rPr>
                        <w:rFonts w:ascii="Cambria Math" w:hAnsi="Cambria Math"/>
                        <w:color w:val="auto"/>
                        <w:lang w:val="en-US"/>
                      </w:rPr>
                      <m:t>t</m:t>
                    </m:r>
                  </m:sub>
                </m:sSub>
                <m:r>
                  <m:rPr>
                    <m:sty m:val="p"/>
                  </m:rPr>
                  <w:rPr>
                    <w:rFonts w:ascii="Cambria Math" w:hAnsi="Cambria Math"/>
                    <w:color w:val="auto"/>
                    <w:lang w:val="en-US"/>
                  </w:rPr>
                  <m:t xml:space="preserve"> x </m:t>
                </m:r>
                <m:r>
                  <w:rPr>
                    <w:rFonts w:ascii="Cambria Math" w:hAnsi="Cambria Math"/>
                    <w:color w:val="auto"/>
                    <w:lang w:val="en-US"/>
                  </w:rPr>
                  <m:t>100%</m:t>
                </m:r>
              </m:oMath>
            </m:oMathPara>
          </w:p>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r w:rsidRPr="00B90E4B">
              <w:rPr>
                <w:i/>
                <w:color w:val="auto"/>
                <w:lang w:val="en-US"/>
              </w:rPr>
              <w:t>Np</w:t>
            </w:r>
            <w:r w:rsidRPr="00B90E4B">
              <w:rPr>
                <w:color w:val="auto"/>
                <w:lang w:val="en-US"/>
              </w:rPr>
              <w:t xml:space="preserve">: the number of times a particular response was mentioned and </w:t>
            </w:r>
            <w:r w:rsidRPr="00B90E4B">
              <w:rPr>
                <w:i/>
                <w:color w:val="auto"/>
                <w:lang w:val="en-US"/>
              </w:rPr>
              <w:t>N</w:t>
            </w:r>
            <w:r w:rsidRPr="00B90E4B">
              <w:rPr>
                <w:i/>
                <w:color w:val="auto"/>
                <w:vertAlign w:val="subscript"/>
                <w:lang w:val="en-US"/>
              </w:rPr>
              <w:t>t</w:t>
            </w:r>
            <w:r w:rsidRPr="00B90E4B">
              <w:rPr>
                <w:color w:val="auto"/>
                <w:lang w:val="en-US"/>
              </w:rPr>
              <w:t xml:space="preserve">: the total number of informants questioned </w:t>
            </w:r>
            <w:r w:rsidRPr="00B90E4B">
              <w:rPr>
                <w:rFonts w:eastAsia="Times New Roman"/>
                <w:color w:val="auto"/>
                <w:lang w:val="en-US" w:eastAsia="fr-FR"/>
              </w:rPr>
              <w:t xml:space="preserve">(adapted from </w:t>
            </w:r>
            <w:r w:rsidRPr="004644CF">
              <w:rPr>
                <w:lang w:val="en-US"/>
              </w:rPr>
              <w:t xml:space="preserve">Faruque </w:t>
            </w:r>
            <w:r w:rsidRPr="004644CF">
              <w:rPr>
                <w:iCs/>
                <w:lang w:val="en-US"/>
              </w:rPr>
              <w:t>et al.</w:t>
            </w:r>
            <w:r w:rsidRPr="004644CF">
              <w:rPr>
                <w:lang w:val="en-US"/>
              </w:rPr>
              <w:t xml:space="preserve"> </w:t>
            </w:r>
            <w:r>
              <w:rPr>
                <w:rFonts w:eastAsia="Times New Roman"/>
                <w:lang w:val="en-US" w:eastAsia="fr-FR"/>
              </w:rPr>
              <w:fldChar w:fldCharType="begin"/>
            </w:r>
            <w:r>
              <w:rPr>
                <w:rFonts w:eastAsia="Times New Roman"/>
                <w:color w:val="auto"/>
                <w:lang w:val="en-US" w:eastAsia="fr-FR"/>
              </w:rPr>
              <w:instrText xml:space="preserve"> ADDIN ZOTERO_ITEM CSL_CITATION {"citationID":"gQU08GQA","properties":{"formattedCitation":"[46]","plainCitation":"[46]","noteIndex":0},"citationItems":[{"id":714,"uris":["http://zotero.org/users/local/eD9hFYmH/items/7FPJMLZS"],"itemData":{"id":714,"type":"article-journal","abstract":"This study documents information on significant ethnomedicinal plants, which was collected from the traditional healers of three indigenous communities of Bangladesh. The documented data were quantitatively analyzed for the first time in this area. The information was obtained through open-ended, semi-structured questionnaires. The benefits, importance and coverage of ethnomedicine were expressed through several quantitative indices including Informant Consensus Factor (ICF), Use Value (UV), Frequency of Citation (FC), Relative Frequency of Citation (RFC) and Relative Importance Index (RI). The agreement of homogeneity between the present and previous studies and among the indigenous communities was evaluated using the Jaccard Index (JI). A total of 159 ethnomedicinal plant species, which were distributed in 132 genera under 62 families, were documented from 174 informants. Of these, 128 plants were native and 31 were exotic. Of a majority of documented species, herbs and leaves were the most utilized plant parts for the preparation of ethnomedicines (45.28%) whereas pastes (63.03%) were the most popular formulations. Among the documented species, the dominant families were the Asteraceae (14 species) and the Lamiaceae (12 species). The highest ICF value was 0.77 for digestive system disorders. Based on UVs, the five most commonly used ethnomedicinal plant species in the study area were Duabanga grandiflora (0.43), Zingiber officinale (0.41), Congea tomentosa (0.40), Matricaria chamomilla (0.33) and Engelhardtia spicata (0.28). The highest RFC was recorded for Rauvolfia serpentina (0.25). The highest RI value was calculated for both Scoparia dulcis and Leucas aspera (0.83). Importantly, 16 species were reported with new therapeutic uses and to our knowledge, 7 species described herein have never been ethnobotanically and pharmacologically studied, viz: Agastache urticifolia, Asarum cordifolium, C. tomentosa, E. spicata, Hypserpa nitida, Merremia vitifolia and Smilax odoratissima. The present study showed that traditional treatment using medicinal plants is still widespread in the study area. Documentation of new ethnomedicinal species with their therapeutic uses shall promote further phytochemical and pharmacological investigations and possibly, lead to the development of new drugs.","container-title":"Frontiers in Pharmacology","DOI":"10.3389/fphar.2018.00040","ISSN":"1663-9812","journalAbbreviation":"Front Pharmacol","note":"PMID: 29467652\nPMCID: PMC5808248","source":"PubMed Central","title":"Quantitative ethnobotany of medicinal plants used by indigenous communities in the Bandarban district of Bangladesh","volume":"9","author":[{"family":"Faruque","given":"Mohammad O."},{"family":"Uddin","given":"Shaikh B."},{"family":"Barlow","given":"James W."},{"family":"Hu","given":"Sheng"},{"family":"Dong","given":"Shuang"},{"family":"Cai","given":"Qian"},{"family":"Li","given":"Xiaohua"},{"family":"Hu","given":"Xuebo"}],"accessed":{"date-parts":[["2020",8,3]]},"issued":{"date-parts":[["2018",2,6]]}}}],"schema":"https://github.com/citation-style-language/schema/raw/master/csl-citation.json"} </w:instrText>
            </w:r>
            <w:r>
              <w:rPr>
                <w:rFonts w:eastAsia="Times New Roman"/>
                <w:lang w:val="en-US" w:eastAsia="fr-FR"/>
              </w:rPr>
              <w:fldChar w:fldCharType="separate"/>
            </w:r>
            <w:r w:rsidRPr="00356AF8">
              <w:t>[46]</w:t>
            </w:r>
            <w:r>
              <w:rPr>
                <w:rFonts w:eastAsia="Times New Roman"/>
                <w:lang w:val="en-US" w:eastAsia="fr-FR"/>
              </w:rPr>
              <w:fldChar w:fldCharType="end"/>
            </w:r>
            <w:r>
              <w:rPr>
                <w:rFonts w:eastAsia="Times New Roman"/>
                <w:color w:val="auto"/>
                <w:lang w:val="en-US" w:eastAsia="fr-FR"/>
              </w:rPr>
              <w:t>)</w:t>
            </w:r>
            <w:r w:rsidRPr="00B90E4B">
              <w:rPr>
                <w:rFonts w:eastAsia="Times New Roman"/>
                <w:color w:val="auto"/>
                <w:lang w:val="en-US" w:eastAsia="fr-FR"/>
              </w:rPr>
              <w:t>.</w:t>
            </w:r>
          </w:p>
        </w:tc>
      </w:tr>
      <w:tr w:rsidR="00CB5580" w:rsidRPr="00240FFA" w:rsidTr="0063525D">
        <w:trPr>
          <w:cnfStyle w:val="000000100000" w:firstRow="0" w:lastRow="0" w:firstColumn="0" w:lastColumn="0" w:oddVBand="0" w:evenVBand="0" w:oddHBand="1" w:evenHBand="0" w:firstRowFirstColumn="0" w:firstRowLastColumn="0" w:lastRowFirstColumn="0" w:lastRowLastColumn="0"/>
          <w:trHeight w:val="523"/>
          <w:jc w:val="center"/>
        </w:trPr>
        <w:tc>
          <w:tcPr>
            <w:cnfStyle w:val="001000000000" w:firstRow="0" w:lastRow="0" w:firstColumn="1" w:lastColumn="0" w:oddVBand="0" w:evenVBand="0" w:oddHBand="0" w:evenHBand="0" w:firstRowFirstColumn="0" w:firstRowLastColumn="0" w:lastRowFirstColumn="0" w:lastRowLastColumn="0"/>
            <w:tcW w:w="1796" w:type="dxa"/>
            <w:shd w:val="clear" w:color="auto" w:fill="auto"/>
          </w:tcPr>
          <w:p w:rsidR="00CB5580" w:rsidRPr="00B90E4B" w:rsidRDefault="00CB5580" w:rsidP="0063525D">
            <w:pPr>
              <w:spacing w:after="60"/>
              <w:rPr>
                <w:rFonts w:eastAsia="Times New Roman"/>
                <w:b w:val="0"/>
                <w:lang w:val="en-US" w:eastAsia="fr-FR"/>
              </w:rPr>
            </w:pPr>
            <w:r w:rsidRPr="00B90E4B">
              <w:rPr>
                <w:rFonts w:eastAsia="Times New Roman"/>
                <w:b w:val="0"/>
                <w:lang w:val="en-US" w:eastAsia="fr-FR"/>
              </w:rPr>
              <w:t>Harvesting modes</w:t>
            </w:r>
          </w:p>
        </w:tc>
        <w:tc>
          <w:tcPr>
            <w:tcW w:w="2599" w:type="dxa"/>
            <w:shd w:val="clear" w:color="auto" w:fill="auto"/>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lang w:val="en-US" w:eastAsia="fr-FR"/>
              </w:rPr>
            </w:pPr>
            <w:r w:rsidRPr="00B90E4B">
              <w:rPr>
                <w:rFonts w:eastAsia="Times New Roman"/>
                <w:lang w:val="en-US" w:eastAsia="fr-FR"/>
              </w:rPr>
              <w:t xml:space="preserve">Axe, hoe, machete </w:t>
            </w:r>
          </w:p>
        </w:tc>
        <w:tc>
          <w:tcPr>
            <w:tcW w:w="1417" w:type="dxa"/>
            <w:vMerge/>
            <w:shd w:val="clear" w:color="auto" w:fill="auto"/>
          </w:tcPr>
          <w:p w:rsidR="00CB5580" w:rsidRPr="00B90E4B" w:rsidRDefault="00CB5580" w:rsidP="0063525D">
            <w:pPr>
              <w:spacing w:after="60"/>
              <w:cnfStyle w:val="000000100000" w:firstRow="0" w:lastRow="0" w:firstColumn="0" w:lastColumn="0" w:oddVBand="0" w:evenVBand="0" w:oddHBand="1" w:evenHBand="0" w:firstRowFirstColumn="0" w:firstRowLastColumn="0" w:lastRowFirstColumn="0" w:lastRowLastColumn="0"/>
              <w:rPr>
                <w:rFonts w:eastAsia="Times New Roman"/>
                <w:lang w:val="en-US" w:eastAsia="fr-FR"/>
              </w:rPr>
            </w:pPr>
          </w:p>
        </w:tc>
        <w:tc>
          <w:tcPr>
            <w:tcW w:w="4594" w:type="dxa"/>
            <w:vMerge/>
            <w:shd w:val="clear" w:color="auto" w:fill="auto"/>
          </w:tcPr>
          <w:p w:rsidR="00CB5580" w:rsidRPr="00B90E4B" w:rsidRDefault="00CB5580" w:rsidP="0063525D">
            <w:p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eastAsia="Times New Roman"/>
                <w:lang w:val="en-US"/>
              </w:rPr>
            </w:pPr>
          </w:p>
        </w:tc>
      </w:tr>
      <w:tr w:rsidR="00CB5580" w:rsidRPr="000E1D60" w:rsidTr="0063525D">
        <w:trPr>
          <w:trHeight w:val="485"/>
          <w:jc w:val="center"/>
        </w:trPr>
        <w:tc>
          <w:tcPr>
            <w:cnfStyle w:val="001000000000" w:firstRow="0" w:lastRow="0" w:firstColumn="1" w:lastColumn="0" w:oddVBand="0" w:evenVBand="0" w:oddHBand="0" w:evenHBand="0" w:firstRowFirstColumn="0" w:firstRowLastColumn="0" w:lastRowFirstColumn="0" w:lastRowLastColumn="0"/>
            <w:tcW w:w="1796" w:type="dxa"/>
            <w:shd w:val="clear" w:color="auto" w:fill="auto"/>
            <w:hideMark/>
          </w:tcPr>
          <w:p w:rsidR="00CB5580" w:rsidRPr="00B90E4B" w:rsidRDefault="00CB5580" w:rsidP="0063525D">
            <w:pPr>
              <w:spacing w:after="60"/>
              <w:rPr>
                <w:rFonts w:eastAsia="Times New Roman"/>
                <w:b w:val="0"/>
                <w:color w:val="auto"/>
                <w:lang w:val="en-US" w:eastAsia="fr-FR"/>
              </w:rPr>
            </w:pPr>
            <w:r w:rsidRPr="00B90E4B">
              <w:rPr>
                <w:rFonts w:eastAsia="Times New Roman"/>
                <w:b w:val="0"/>
                <w:color w:val="auto"/>
                <w:lang w:val="en-US" w:eastAsia="fr-FR"/>
              </w:rPr>
              <w:t>Conservation management practices</w:t>
            </w:r>
          </w:p>
        </w:tc>
        <w:tc>
          <w:tcPr>
            <w:tcW w:w="2599" w:type="dxa"/>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r w:rsidRPr="00B90E4B">
              <w:rPr>
                <w:rFonts w:eastAsia="Times New Roman"/>
                <w:color w:val="auto"/>
                <w:lang w:val="en-US" w:eastAsia="fr-FR"/>
              </w:rPr>
              <w:t>Seeding, assisted natural regeneration, partial harvest, fallowing areas, weeding protection</w:t>
            </w:r>
          </w:p>
        </w:tc>
        <w:tc>
          <w:tcPr>
            <w:tcW w:w="1417" w:type="dxa"/>
            <w:vMerge/>
            <w:shd w:val="clear" w:color="auto" w:fill="auto"/>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c>
          <w:tcPr>
            <w:tcW w:w="4594" w:type="dxa"/>
            <w:vMerge/>
            <w:shd w:val="clear" w:color="auto" w:fill="auto"/>
            <w:hideMark/>
          </w:tcPr>
          <w:p w:rsidR="00CB5580" w:rsidRPr="00B90E4B" w:rsidRDefault="00CB5580" w:rsidP="0063525D">
            <w:pPr>
              <w:spacing w:after="60"/>
              <w:cnfStyle w:val="000000000000" w:firstRow="0" w:lastRow="0" w:firstColumn="0" w:lastColumn="0" w:oddVBand="0" w:evenVBand="0" w:oddHBand="0" w:evenHBand="0" w:firstRowFirstColumn="0" w:firstRowLastColumn="0" w:lastRowFirstColumn="0" w:lastRowLastColumn="0"/>
              <w:rPr>
                <w:rFonts w:eastAsia="Times New Roman"/>
                <w:color w:val="auto"/>
                <w:lang w:val="en-US" w:eastAsia="fr-FR"/>
              </w:rPr>
            </w:pPr>
          </w:p>
        </w:tc>
      </w:tr>
    </w:tbl>
    <w:p w:rsidR="001760E5" w:rsidRDefault="00CB5580">
      <w:bookmarkStart w:id="1" w:name="_GoBack"/>
      <w:bookmarkEnd w:id="1"/>
    </w:p>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580"/>
    <w:rsid w:val="008A3324"/>
    <w:rsid w:val="00996CDB"/>
    <w:rsid w:val="00BA546E"/>
    <w:rsid w:val="00CB55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9CF9B"/>
  <w15:chartTrackingRefBased/>
  <w15:docId w15:val="{D2E1D1AF-C114-4448-951A-CBAA0EA36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5580"/>
    <w:pPr>
      <w:spacing w:line="256" w:lineRule="auto"/>
    </w:pPr>
    <w:rPr>
      <w:rFonts w:ascii="Times New Roman" w:eastAsia="Calibri" w:hAnsi="Times New Roman" w:cs="Times New Roman"/>
      <w:sz w:val="24"/>
      <w:szCs w:val="24"/>
      <w:lang w:val="fr-FR"/>
    </w:rPr>
  </w:style>
  <w:style w:type="paragraph" w:styleId="Heading1">
    <w:name w:val="heading 1"/>
    <w:basedOn w:val="Normal"/>
    <w:next w:val="Normal"/>
    <w:link w:val="Heading1Char"/>
    <w:uiPriority w:val="9"/>
    <w:qFormat/>
    <w:rsid w:val="00CB5580"/>
    <w:pPr>
      <w:keepNext/>
      <w:keepLines/>
      <w:spacing w:before="240" w:after="0"/>
      <w:outlineLvl w:val="0"/>
    </w:pPr>
    <w:rPr>
      <w:rFonts w:eastAsia="SimSun" w:cs="SimSun"/>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5580"/>
    <w:rPr>
      <w:rFonts w:ascii="Times New Roman" w:eastAsia="SimSun" w:hAnsi="Times New Roman" w:cs="SimSun"/>
      <w:b/>
      <w:sz w:val="32"/>
      <w:szCs w:val="32"/>
      <w:lang w:val="fr-FR"/>
    </w:rPr>
  </w:style>
  <w:style w:type="table" w:customStyle="1" w:styleId="TableauListe6Couleur3">
    <w:name w:val="Tableau Liste 6 Couleur3"/>
    <w:basedOn w:val="TableNormal"/>
    <w:uiPriority w:val="51"/>
    <w:rsid w:val="00CB5580"/>
    <w:pPr>
      <w:spacing w:after="0" w:line="240" w:lineRule="auto"/>
    </w:pPr>
    <w:rPr>
      <w:rFonts w:ascii="Calibri" w:eastAsia="Calibri" w:hAnsi="Calibri" w:cs="SimSun"/>
      <w:color w:val="000000"/>
      <w:lang w:val="fr-FR"/>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Caption">
    <w:name w:val="caption"/>
    <w:basedOn w:val="Normal"/>
    <w:next w:val="Normal"/>
    <w:uiPriority w:val="35"/>
    <w:qFormat/>
    <w:rsid w:val="00CB5580"/>
    <w:pPr>
      <w:spacing w:after="200" w:line="240" w:lineRule="auto"/>
    </w:pPr>
    <w:rPr>
      <w:rFonts w:ascii="Calibri" w:hAnsi="Calibri" w:cs="SimSun"/>
      <w:i/>
      <w:iCs/>
      <w:color w:val="44546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1684</Words>
  <Characters>9602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2022-08-02T15:16:00Z</dcterms:created>
  <dcterms:modified xsi:type="dcterms:W3CDTF">2022-08-02T15:16:00Z</dcterms:modified>
</cp:coreProperties>
</file>