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9F50" w14:textId="77777777" w:rsidR="00F4493F" w:rsidRDefault="00F4493F" w:rsidP="00F4493F">
      <w:pPr>
        <w:rPr>
          <w:rFonts w:eastAsiaTheme="minorEastAsia"/>
          <w:b/>
          <w:bCs/>
        </w:rPr>
      </w:pPr>
      <w:r w:rsidRPr="0005175B">
        <w:rPr>
          <w:rFonts w:eastAsiaTheme="minorEastAsia" w:hint="eastAsia"/>
          <w:b/>
          <w:bCs/>
        </w:rPr>
        <w:t xml:space="preserve">Table </w:t>
      </w:r>
      <w:r>
        <w:rPr>
          <w:rFonts w:eastAsiaTheme="minorEastAsia" w:hint="eastAsia"/>
          <w:b/>
          <w:bCs/>
        </w:rPr>
        <w:t xml:space="preserve">3 </w:t>
      </w:r>
      <w:r w:rsidRPr="006B6F4F">
        <w:rPr>
          <w:rFonts w:eastAsiaTheme="minorEastAsia"/>
          <w:b/>
          <w:bCs/>
        </w:rPr>
        <w:t xml:space="preserve">Summary of MACE meta-analyses: Prediabetes (by different criteria) vs. </w:t>
      </w:r>
      <w:r>
        <w:rPr>
          <w:rFonts w:eastAsiaTheme="minorEastAsia" w:hint="eastAsia"/>
          <w:b/>
          <w:bCs/>
        </w:rPr>
        <w:t>N</w:t>
      </w:r>
      <w:r w:rsidRPr="006B6F4F">
        <w:rPr>
          <w:rFonts w:eastAsiaTheme="minorEastAsia"/>
          <w:b/>
          <w:bCs/>
        </w:rPr>
        <w:t>ormoglycemia</w:t>
      </w:r>
    </w:p>
    <w:tbl>
      <w:tblPr>
        <w:tblW w:w="14007" w:type="dxa"/>
        <w:tblLook w:val="04A0" w:firstRow="1" w:lastRow="0" w:firstColumn="1" w:lastColumn="0" w:noHBand="0" w:noVBand="1"/>
      </w:tblPr>
      <w:tblGrid>
        <w:gridCol w:w="5245"/>
        <w:gridCol w:w="2977"/>
        <w:gridCol w:w="1984"/>
        <w:gridCol w:w="2144"/>
        <w:gridCol w:w="1657"/>
      </w:tblGrid>
      <w:tr w:rsidR="00F4493F" w:rsidRPr="00E12F19" w14:paraId="00FC8AF7" w14:textId="77777777" w:rsidTr="00A25B19">
        <w:trPr>
          <w:trHeight w:val="750"/>
        </w:trPr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DE0A7AF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Prediabetes diagnostic criteria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E8DECCC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Pooled HR (95% Cl)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C20A48" w14:textId="77777777" w:rsidR="00F4493F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Heterogeneit</w:t>
            </w:r>
            <w:r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y</w:t>
            </w:r>
          </w:p>
          <w:p w14:paraId="50111A29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(I</w:t>
            </w:r>
            <w:r w:rsidRPr="00E12F19">
              <w:rPr>
                <w:rFonts w:ascii="等线" w:eastAsia="等线" w:hAnsi="等线" w:cs="宋体" w:hint="eastAsia"/>
                <w:color w:val="000000"/>
                <w:kern w:val="0"/>
                <w:vertAlign w:val="superscript"/>
                <w:lang w:val="en-US"/>
                <w14:ligatures w14:val="none"/>
              </w:rPr>
              <w:t>2</w:t>
            </w: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 xml:space="preserve"> statistic)</w:t>
            </w:r>
          </w:p>
        </w:tc>
        <w:tc>
          <w:tcPr>
            <w:tcW w:w="21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B2584F7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No. of studies</w:t>
            </w:r>
          </w:p>
        </w:tc>
        <w:tc>
          <w:tcPr>
            <w:tcW w:w="16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96ACB0D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Sample size (n)</w:t>
            </w:r>
          </w:p>
        </w:tc>
      </w:tr>
      <w:tr w:rsidR="00F4493F" w:rsidRPr="00E12F19" w14:paraId="5E403780" w14:textId="77777777" w:rsidTr="00A25B19">
        <w:trPr>
          <w:trHeight w:val="511"/>
        </w:trPr>
        <w:tc>
          <w:tcPr>
            <w:tcW w:w="524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BE604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Based on HbA1c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21D1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FF67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4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00044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5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6EF1F" w14:textId="77777777" w:rsidR="00F4493F" w:rsidRPr="00E12F19" w:rsidRDefault="00F4493F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F4493F" w:rsidRPr="00E12F19" w14:paraId="548BB5F4" w14:textId="77777777" w:rsidTr="00A25B19">
        <w:trPr>
          <w:trHeight w:val="511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E0F07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ADA-HbA1c (5.7%-6.4%)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35E1B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1.28 (1.17-1.41)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DEE20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0.0%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523EF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04749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20191</w:t>
            </w:r>
          </w:p>
        </w:tc>
      </w:tr>
      <w:tr w:rsidR="00F4493F" w:rsidRPr="00E12F19" w14:paraId="36801DB3" w14:textId="77777777" w:rsidTr="00A25B19">
        <w:trPr>
          <w:trHeight w:val="511"/>
        </w:trPr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D03AD8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IEC-HbA1c (6.0%-6.4%)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6E24D7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1.41 (1.21-1.65)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884B09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0.0%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B36693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72C1C2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8063</w:t>
            </w:r>
          </w:p>
        </w:tc>
      </w:tr>
      <w:tr w:rsidR="00F4493F" w:rsidRPr="00E12F19" w14:paraId="04F16DAC" w14:textId="77777777" w:rsidTr="00A25B19">
        <w:trPr>
          <w:trHeight w:val="511"/>
        </w:trPr>
        <w:tc>
          <w:tcPr>
            <w:tcW w:w="524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02288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Based on FPG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9B8AF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F0664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4E4A0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8DBE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F4493F" w:rsidRPr="00E12F19" w14:paraId="6D33C294" w14:textId="77777777" w:rsidTr="00A25B19">
        <w:trPr>
          <w:trHeight w:val="511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90313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ADA-FPG (5.6-6.9 mmol/L)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7D475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1.16 (0.98-1.38)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E5D34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0.0%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A5F6C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B694F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8044</w:t>
            </w:r>
          </w:p>
        </w:tc>
      </w:tr>
      <w:tr w:rsidR="00F4493F" w:rsidRPr="00E12F19" w14:paraId="42804337" w14:textId="77777777" w:rsidTr="00A25B19">
        <w:trPr>
          <w:trHeight w:val="511"/>
        </w:trPr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BCA185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WHO-FPG (6.1–6.9 mmol/L)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8D71F6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1.13 (0.90-1.42)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59D3F1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0.0%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249BC4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789887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8044</w:t>
            </w:r>
          </w:p>
        </w:tc>
      </w:tr>
      <w:tr w:rsidR="00F4493F" w:rsidRPr="00E12F19" w14:paraId="5B0DC06E" w14:textId="77777777" w:rsidTr="00A25B19">
        <w:trPr>
          <w:trHeight w:val="511"/>
        </w:trPr>
        <w:tc>
          <w:tcPr>
            <w:tcW w:w="524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F7C75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Based on 2h PG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6686C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0E1DC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57AAD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0432C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F4493F" w:rsidRPr="00E12F19" w14:paraId="63E2038D" w14:textId="77777777" w:rsidTr="00A25B19">
        <w:trPr>
          <w:trHeight w:val="511"/>
        </w:trPr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9C26CF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ADA or WHO-2h PG (7.8-11.0 mmol/L)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89ADCA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0.94 (0.69-1.26)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DCE903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/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E3EEA1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468ED3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537</w:t>
            </w:r>
          </w:p>
        </w:tc>
      </w:tr>
      <w:tr w:rsidR="00F4493F" w:rsidRPr="00E12F19" w14:paraId="59998C33" w14:textId="77777777" w:rsidTr="00A25B19">
        <w:trPr>
          <w:trHeight w:val="511"/>
        </w:trPr>
        <w:tc>
          <w:tcPr>
            <w:tcW w:w="524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F1C53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Composite criteria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E8FC5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E3688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EE190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02934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F4493F" w:rsidRPr="00E12F19" w14:paraId="2225D103" w14:textId="77777777" w:rsidTr="00A25B19">
        <w:trPr>
          <w:trHeight w:val="56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47856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ADA Overall (FPG+2h PG+HbA1c)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6617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1.40 (0.60-3.10)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E5B18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/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9804A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B3ED1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250</w:t>
            </w:r>
          </w:p>
        </w:tc>
      </w:tr>
      <w:tr w:rsidR="00F4493F" w:rsidRPr="00E12F19" w14:paraId="2991A4DF" w14:textId="77777777" w:rsidTr="00A25B19">
        <w:trPr>
          <w:trHeight w:val="61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027F3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ADA composite (FPG+HbA1c)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9502D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1.19 (1.07-1.33)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578FC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51.0%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F1C95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87372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49320</w:t>
            </w:r>
          </w:p>
        </w:tc>
      </w:tr>
      <w:tr w:rsidR="00F4493F" w:rsidRPr="00E12F19" w14:paraId="101980C3" w14:textId="77777777" w:rsidTr="00A25B19">
        <w:trPr>
          <w:trHeight w:val="587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ECB4A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ADA composite (FPG+2h PG)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AC46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1.11 (0.94-1.32)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E3D4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/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B1329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AC8E3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6132</w:t>
            </w:r>
          </w:p>
        </w:tc>
      </w:tr>
      <w:tr w:rsidR="00F4493F" w:rsidRPr="00E12F19" w14:paraId="55F9DA4D" w14:textId="77777777" w:rsidTr="00A25B19">
        <w:trPr>
          <w:trHeight w:val="56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D7994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WHO and IEC composite (WHO-FPG, IEC-HbA1c)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FA35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1.53 (1.26-1.85)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49C1E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0.0%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61512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33C37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14266</w:t>
            </w:r>
          </w:p>
        </w:tc>
      </w:tr>
      <w:tr w:rsidR="00F4493F" w:rsidRPr="00E12F19" w14:paraId="45BC348B" w14:textId="77777777" w:rsidTr="00A25B19">
        <w:trPr>
          <w:trHeight w:val="58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8B162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ADA and WHO composite (ADA-HbA1c, WHO-FPG)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9EEA5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1.38 (1.07-1.78)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4F51A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/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BB306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FB916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7966</w:t>
            </w:r>
          </w:p>
        </w:tc>
      </w:tr>
      <w:tr w:rsidR="00F4493F" w:rsidRPr="00E12F19" w14:paraId="3188D203" w14:textId="77777777" w:rsidTr="00A25B19">
        <w:trPr>
          <w:trHeight w:val="620"/>
        </w:trPr>
        <w:tc>
          <w:tcPr>
            <w:tcW w:w="524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0389122" w14:textId="77777777" w:rsidR="00F4493F" w:rsidRPr="00E12F19" w:rsidRDefault="00F4493F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ADA and IEC composite (ADA-FPG, IEC-HbA1c)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24C0FB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1.09 (0.82-1.46)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0C5226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/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B8441C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19CAE1" w14:textId="77777777" w:rsidR="00F4493F" w:rsidRPr="00E12F19" w:rsidRDefault="00F4493F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E12F19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7930</w:t>
            </w:r>
          </w:p>
        </w:tc>
      </w:tr>
    </w:tbl>
    <w:p w14:paraId="56EF5283" w14:textId="2E2AD138" w:rsidR="008B3A21" w:rsidRPr="00F4493F" w:rsidRDefault="00F4493F" w:rsidP="00F4493F">
      <w:pPr>
        <w:spacing w:line="360" w:lineRule="auto"/>
        <w:rPr>
          <w:rFonts w:eastAsiaTheme="minorEastAsia" w:hint="eastAsia"/>
        </w:rPr>
      </w:pPr>
      <w:r w:rsidRPr="00EE0CF6">
        <w:rPr>
          <w:rFonts w:eastAsiaTheme="minorEastAsia"/>
          <w:sz w:val="20"/>
          <w:szCs w:val="20"/>
          <w:lang w:val="en-US"/>
        </w:rPr>
        <w:t xml:space="preserve">Abbreviations: ADA, American Diabetes </w:t>
      </w:r>
      <w:proofErr w:type="spellStart"/>
      <w:r w:rsidRPr="00EE0CF6">
        <w:rPr>
          <w:rFonts w:eastAsiaTheme="minorEastAsia"/>
          <w:sz w:val="20"/>
          <w:szCs w:val="20"/>
          <w:lang w:val="en-US"/>
        </w:rPr>
        <w:t>Assiciation</w:t>
      </w:r>
      <w:proofErr w:type="spellEnd"/>
      <w:r w:rsidRPr="00EE0CF6">
        <w:rPr>
          <w:rFonts w:eastAsiaTheme="minorEastAsia"/>
          <w:sz w:val="20"/>
          <w:szCs w:val="20"/>
          <w:lang w:val="en-US"/>
        </w:rPr>
        <w:t>; WHO, World Health Organization; IEC, International Expert Committee; FPG, Fasting Plasma Glucose; 2h PG, 2-hour Plasma Glucose; HbA1c, Glycated Hemoglobin; HR, Hazard ratio; 95% Cl, 95% confidence Interval</w:t>
      </w:r>
      <w:r>
        <w:rPr>
          <w:rFonts w:eastAsiaTheme="minorEastAsia" w:hint="eastAsia"/>
          <w:sz w:val="20"/>
          <w:szCs w:val="20"/>
          <w:lang w:val="en-US"/>
        </w:rPr>
        <w:t>.</w:t>
      </w:r>
    </w:p>
    <w:sectPr w:rsidR="008B3A21" w:rsidRPr="00F4493F" w:rsidSect="00F4493F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850CD" w14:textId="77777777" w:rsidR="008E0367" w:rsidRDefault="008E0367" w:rsidP="00B20A19">
      <w:pPr>
        <w:spacing w:after="0" w:line="240" w:lineRule="auto"/>
      </w:pPr>
      <w:r>
        <w:separator/>
      </w:r>
    </w:p>
  </w:endnote>
  <w:endnote w:type="continuationSeparator" w:id="0">
    <w:p w14:paraId="0132440B" w14:textId="77777777" w:rsidR="008E0367" w:rsidRDefault="008E0367" w:rsidP="00B20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13366" w14:textId="77777777" w:rsidR="008E0367" w:rsidRDefault="008E0367" w:rsidP="00B20A19">
      <w:pPr>
        <w:spacing w:after="0" w:line="240" w:lineRule="auto"/>
      </w:pPr>
      <w:r>
        <w:separator/>
      </w:r>
    </w:p>
  </w:footnote>
  <w:footnote w:type="continuationSeparator" w:id="0">
    <w:p w14:paraId="18D29D89" w14:textId="77777777" w:rsidR="008E0367" w:rsidRDefault="008E0367" w:rsidP="00B20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43"/>
    <w:rsid w:val="001500B3"/>
    <w:rsid w:val="002566EE"/>
    <w:rsid w:val="00363535"/>
    <w:rsid w:val="003C6943"/>
    <w:rsid w:val="00494D81"/>
    <w:rsid w:val="00592999"/>
    <w:rsid w:val="008B3A21"/>
    <w:rsid w:val="008E0367"/>
    <w:rsid w:val="00A17FFA"/>
    <w:rsid w:val="00B20A19"/>
    <w:rsid w:val="00F4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64EAD3"/>
  <w15:chartTrackingRefBased/>
  <w15:docId w15:val="{B357FCC2-74CD-44C4-9213-D30FF466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93F"/>
    <w:pPr>
      <w:spacing w:after="160" w:line="259" w:lineRule="auto"/>
    </w:pPr>
    <w:rPr>
      <w:rFonts w:ascii="Times New Roman" w:eastAsia="Times New Roman" w:hAnsi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6943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943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943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943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943"/>
    <w:pPr>
      <w:keepNext/>
      <w:keepLines/>
      <w:widowControl w:val="0"/>
      <w:spacing w:before="80" w:after="40" w:line="240" w:lineRule="auto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943"/>
    <w:pPr>
      <w:keepNext/>
      <w:keepLines/>
      <w:widowControl w:val="0"/>
      <w:spacing w:before="40" w:after="0" w:line="240" w:lineRule="auto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943"/>
    <w:pPr>
      <w:keepNext/>
      <w:keepLines/>
      <w:widowControl w:val="0"/>
      <w:spacing w:before="40" w:after="0" w:line="240" w:lineRule="auto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943"/>
    <w:pPr>
      <w:keepNext/>
      <w:keepLines/>
      <w:widowControl w:val="0"/>
      <w:spacing w:after="0" w:line="240" w:lineRule="auto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943"/>
    <w:pPr>
      <w:keepNext/>
      <w:keepLines/>
      <w:widowControl w:val="0"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2">
    <w:name w:val="TITLE2"/>
    <w:basedOn w:val="Normal"/>
    <w:link w:val="TITLE2Char"/>
    <w:qFormat/>
    <w:rsid w:val="00494D81"/>
    <w:pPr>
      <w:widowControl w:val="0"/>
      <w:spacing w:after="0" w:line="360" w:lineRule="auto"/>
      <w:ind w:firstLineChars="200" w:firstLine="200"/>
      <w:jc w:val="both"/>
    </w:pPr>
    <w:rPr>
      <w:rFonts w:asciiTheme="minorHAnsi" w:eastAsia="宋体" w:hAnsiTheme="minorHAnsi"/>
      <w:b/>
      <w:bCs/>
      <w:sz w:val="32"/>
      <w:lang w:val="en-US"/>
    </w:rPr>
  </w:style>
  <w:style w:type="character" w:customStyle="1" w:styleId="TITLE2Char">
    <w:name w:val="TITLE2 Char"/>
    <w:basedOn w:val="DefaultParagraphFont"/>
    <w:link w:val="TITLE2"/>
    <w:rsid w:val="00494D81"/>
    <w:rPr>
      <w:rFonts w:eastAsia="宋体"/>
      <w:b/>
      <w:bCs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C69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94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943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94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94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94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94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C6943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C6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943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C69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943"/>
    <w:pPr>
      <w:widowControl w:val="0"/>
      <w:spacing w:before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C6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943"/>
    <w:pPr>
      <w:widowControl w:val="0"/>
      <w:spacing w:after="0" w:line="240" w:lineRule="auto"/>
      <w:ind w:left="720"/>
      <w:contextualSpacing/>
      <w:jc w:val="both"/>
    </w:pPr>
    <w:rPr>
      <w:rFonts w:asciiTheme="minorHAnsi" w:eastAsiaTheme="minorEastAsia" w:hAnsiTheme="minorHAnsi"/>
      <w:sz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3C69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943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9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9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0A19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20A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0A1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20A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957</Characters>
  <Application>Microsoft Office Word</Application>
  <DocSecurity>0</DocSecurity>
  <Lines>106</Lines>
  <Paragraphs>120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Chenyao Ding</dc:creator>
  <cp:keywords/>
  <dc:description/>
  <cp:lastModifiedBy>Chenyao Ding</cp:lastModifiedBy>
  <cp:revision>3</cp:revision>
  <dcterms:created xsi:type="dcterms:W3CDTF">2026-04-08T03:20:00Z</dcterms:created>
  <dcterms:modified xsi:type="dcterms:W3CDTF">2026-04-08T03:20:00Z</dcterms:modified>
</cp:coreProperties>
</file>