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8CDF44" w14:textId="77777777" w:rsidR="002419CD" w:rsidRPr="00813363" w:rsidRDefault="00000000" w:rsidP="00574322">
      <w:pPr>
        <w:pStyle w:val="Ttulo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supplementary-materials"/>
      <w:r w:rsidRPr="00813363">
        <w:rPr>
          <w:rFonts w:ascii="Times New Roman" w:hAnsi="Times New Roman" w:cs="Times New Roman"/>
          <w:color w:val="000000" w:themeColor="text1"/>
          <w:sz w:val="24"/>
          <w:szCs w:val="24"/>
        </w:rPr>
        <w:t>Supplementary Materials</w:t>
      </w:r>
    </w:p>
    <w:p w14:paraId="6D5DF916" w14:textId="77777777" w:rsidR="002419CD" w:rsidRPr="00813363" w:rsidRDefault="00000000" w:rsidP="00574322">
      <w:pPr>
        <w:pStyle w:val="Ttulo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X2a9257a15d8b92f657ac0b36a4008499d2554e6"/>
      <w:r w:rsidRPr="00813363">
        <w:rPr>
          <w:rFonts w:ascii="Times New Roman" w:hAnsi="Times New Roman" w:cs="Times New Roman"/>
          <w:color w:val="000000" w:themeColor="text1"/>
          <w:sz w:val="24"/>
          <w:szCs w:val="24"/>
        </w:rPr>
        <w:t>Calibrated local Gemma agents resist a fallible authority except when it conflicts with peer consensus</w:t>
      </w:r>
    </w:p>
    <w:p w14:paraId="1EC22B6A" w14:textId="3B4600A2" w:rsidR="00121731" w:rsidRPr="00813363" w:rsidRDefault="00121731" w:rsidP="00121731">
      <w:pPr>
        <w:pStyle w:val="Textoindependiente"/>
        <w:jc w:val="both"/>
        <w:rPr>
          <w:rFonts w:ascii="Times New Roman" w:hAnsi="Times New Roman" w:cs="Times New Roman"/>
        </w:rPr>
      </w:pPr>
      <w:r w:rsidRPr="00813363">
        <w:rPr>
          <w:rFonts w:ascii="Times New Roman" w:hAnsi="Times New Roman" w:cs="Times New Roman"/>
        </w:rPr>
        <w:t>All files referenced below are archived in the open data deposit (</w:t>
      </w:r>
      <w:proofErr w:type="spellStart"/>
      <w:r w:rsidRPr="00813363">
        <w:rPr>
          <w:rFonts w:ascii="Times New Roman" w:hAnsi="Times New Roman" w:cs="Times New Roman"/>
        </w:rPr>
        <w:t>Zenodo</w:t>
      </w:r>
      <w:proofErr w:type="spellEnd"/>
      <w:r w:rsidRPr="00813363">
        <w:rPr>
          <w:rFonts w:ascii="Times New Roman" w:hAnsi="Times New Roman" w:cs="Times New Roman"/>
        </w:rPr>
        <w:t xml:space="preserve">, DOI: </w:t>
      </w:r>
      <w:hyperlink r:id="rId7" w:history="1">
        <w:r w:rsidRPr="00813363">
          <w:rPr>
            <w:rStyle w:val="Hipervnculo"/>
            <w:rFonts w:ascii="Times New Roman" w:hAnsi="Times New Roman" w:cs="Times New Roman"/>
            <w:color w:val="000000" w:themeColor="text1"/>
          </w:rPr>
          <w:t>10.5281/zenodo.22798495</w:t>
        </w:r>
      </w:hyperlink>
      <w:r w:rsidRPr="00813363">
        <w:rPr>
          <w:rFonts w:ascii="Times New Roman" w:hAnsi="Times New Roman" w:cs="Times New Roman"/>
          <w:color w:val="000000" w:themeColor="text1"/>
        </w:rPr>
        <w:t>),</w:t>
      </w:r>
      <w:r w:rsidRPr="00813363">
        <w:rPr>
          <w:rFonts w:ascii="Times New Roman" w:hAnsi="Times New Roman" w:cs="Times New Roman"/>
        </w:rPr>
        <w:t xml:space="preserve"> hereafter "the deposit". </w:t>
      </w:r>
    </w:p>
    <w:p w14:paraId="4929A279" w14:textId="77777777" w:rsidR="002419CD" w:rsidRPr="00813363" w:rsidRDefault="00000000" w:rsidP="00574322">
      <w:pPr>
        <w:pStyle w:val="Ttulo3"/>
        <w:jc w:val="both"/>
        <w:rPr>
          <w:rFonts w:ascii="Times New Roman" w:hAnsi="Times New Roman" w:cs="Times New Roman"/>
          <w:color w:val="000000" w:themeColor="text1"/>
        </w:rPr>
      </w:pPr>
      <w:bookmarkStart w:id="2" w:name="X5c9268eba5b86c8807507613e97cb451970849d"/>
      <w:r w:rsidRPr="00813363">
        <w:rPr>
          <w:rFonts w:ascii="Times New Roman" w:hAnsi="Times New Roman" w:cs="Times New Roman"/>
          <w:color w:val="000000" w:themeColor="text1"/>
        </w:rPr>
        <w:t>S1. Pre-registration and dated amendment log</w:t>
      </w:r>
    </w:p>
    <w:p w14:paraId="5D4AE1EF" w14:textId="77777777" w:rsidR="002419CD" w:rsidRPr="00813363" w:rsidRDefault="00000000" w:rsidP="00574322">
      <w:pPr>
        <w:pStyle w:val="FirstParagraph"/>
        <w:jc w:val="both"/>
        <w:rPr>
          <w:rFonts w:ascii="Times New Roman" w:hAnsi="Times New Roman" w:cs="Times New Roman"/>
          <w:color w:val="000000" w:themeColor="text1"/>
        </w:rPr>
      </w:pPr>
      <w:r w:rsidRPr="00813363">
        <w:rPr>
          <w:rFonts w:ascii="Times New Roman" w:hAnsi="Times New Roman" w:cs="Times New Roman"/>
          <w:color w:val="000000" w:themeColor="text1"/>
        </w:rPr>
        <w:t>The full pre-registration (2026-08-09) and Amendments 1–5 are provided verbatim in the data deposit (</w:t>
      </w:r>
      <w:r w:rsidRPr="00813363">
        <w:rPr>
          <w:rStyle w:val="VerbatimChar"/>
          <w:rFonts w:ascii="Times New Roman" w:hAnsi="Times New Roman" w:cs="Times New Roman"/>
          <w:color w:val="000000" w:themeColor="text1"/>
          <w:sz w:val="24"/>
        </w:rPr>
        <w:t>preregistration_prestige_deference_2026-08-09.md</w:t>
      </w:r>
      <w:r w:rsidRPr="00813363">
        <w:rPr>
          <w:rFonts w:ascii="Times New Roman" w:hAnsi="Times New Roman" w:cs="Times New Roman"/>
          <w:color w:val="000000" w:themeColor="text1"/>
        </w:rPr>
        <w:t xml:space="preserve">, </w:t>
      </w:r>
      <w:r w:rsidRPr="00813363">
        <w:rPr>
          <w:rStyle w:val="VerbatimChar"/>
          <w:rFonts w:ascii="Times New Roman" w:hAnsi="Times New Roman" w:cs="Times New Roman"/>
          <w:color w:val="000000" w:themeColor="text1"/>
          <w:sz w:val="24"/>
        </w:rPr>
        <w:t>AMENDMENTS.md</w:t>
      </w:r>
      <w:r w:rsidRPr="00813363">
        <w:rPr>
          <w:rFonts w:ascii="Times New Roman" w:hAnsi="Times New Roman" w:cs="Times New Roman"/>
          <w:color w:val="000000" w:themeColor="text1"/>
        </w:rPr>
        <w:t>).</w:t>
      </w:r>
    </w:p>
    <w:p w14:paraId="1CCA6FD5" w14:textId="77777777" w:rsidR="002419CD" w:rsidRPr="00813363" w:rsidRDefault="00000000" w:rsidP="00574322">
      <w:pPr>
        <w:pStyle w:val="Ttulo3"/>
        <w:jc w:val="both"/>
        <w:rPr>
          <w:rFonts w:ascii="Times New Roman" w:hAnsi="Times New Roman" w:cs="Times New Roman"/>
          <w:color w:val="000000" w:themeColor="text1"/>
        </w:rPr>
      </w:pPr>
      <w:bookmarkStart w:id="3" w:name="s2.-statistical-report"/>
      <w:bookmarkEnd w:id="2"/>
      <w:r w:rsidRPr="00813363">
        <w:rPr>
          <w:rFonts w:ascii="Times New Roman" w:hAnsi="Times New Roman" w:cs="Times New Roman"/>
          <w:color w:val="000000" w:themeColor="text1"/>
        </w:rPr>
        <w:t>S2. Statistical report</w:t>
      </w:r>
    </w:p>
    <w:p w14:paraId="1D310856" w14:textId="77777777" w:rsidR="002419CD" w:rsidRPr="00813363" w:rsidRDefault="00000000" w:rsidP="00335257">
      <w:pPr>
        <w:pStyle w:val="Ttulo4"/>
        <w:jc w:val="both"/>
        <w:rPr>
          <w:rFonts w:ascii="Times New Roman" w:hAnsi="Times New Roman" w:cs="Times New Roman"/>
          <w:color w:val="000000" w:themeColor="text1"/>
        </w:rPr>
      </w:pPr>
      <w:bookmarkStart w:id="4" w:name="Xc0c77f2b414c2ba4468d395297a74942a71ce4a"/>
      <w:r w:rsidRPr="00813363">
        <w:rPr>
          <w:rFonts w:ascii="Times New Roman" w:hAnsi="Times New Roman" w:cs="Times New Roman"/>
          <w:color w:val="000000" w:themeColor="text1"/>
        </w:rPr>
        <w:t>S2.1 Data structure and statistical dependence</w:t>
      </w:r>
    </w:p>
    <w:p w14:paraId="30FEE29B" w14:textId="77777777" w:rsidR="00335257" w:rsidRPr="00813363" w:rsidRDefault="00000000" w:rsidP="00335257">
      <w:pPr>
        <w:pStyle w:val="FirstParagraph"/>
        <w:jc w:val="both"/>
        <w:rPr>
          <w:rFonts w:ascii="Times New Roman" w:hAnsi="Times New Roman" w:cs="Times New Roman"/>
          <w:color w:val="000000" w:themeColor="text1"/>
        </w:rPr>
      </w:pPr>
      <w:r w:rsidRPr="00813363">
        <w:rPr>
          <w:rFonts w:ascii="Times New Roman" w:hAnsi="Times New Roman" w:cs="Times New Roman"/>
          <w:color w:val="000000" w:themeColor="text1"/>
        </w:rPr>
        <w:t xml:space="preserve">Agent-trials are not independent observations. The data hierarchy </w:t>
      </w:r>
      <w:proofErr w:type="gramStart"/>
      <w:r w:rsidRPr="00813363">
        <w:rPr>
          <w:rFonts w:ascii="Times New Roman" w:hAnsi="Times New Roman" w:cs="Times New Roman"/>
          <w:color w:val="000000" w:themeColor="text1"/>
        </w:rPr>
        <w:t>is:</w:t>
      </w:r>
      <w:proofErr w:type="gramEnd"/>
      <w:r w:rsidRPr="00813363">
        <w:rPr>
          <w:rFonts w:ascii="Times New Roman" w:hAnsi="Times New Roman" w:cs="Times New Roman"/>
          <w:color w:val="000000" w:themeColor="text1"/>
        </w:rPr>
        <w:t xml:space="preserve"> </w:t>
      </w:r>
      <w:r w:rsidRPr="00813363">
        <w:rPr>
          <w:rFonts w:ascii="Times New Roman" w:hAnsi="Times New Roman" w:cs="Times New Roman"/>
          <w:b/>
          <w:bCs/>
          <w:color w:val="000000" w:themeColor="text1"/>
        </w:rPr>
        <w:t>model</w:t>
      </w:r>
      <w:r w:rsidRPr="00813363">
        <w:rPr>
          <w:rFonts w:ascii="Times New Roman" w:hAnsi="Times New Roman" w:cs="Times New Roman"/>
          <w:color w:val="000000" w:themeColor="text1"/>
        </w:rPr>
        <w:t xml:space="preserve"> (2) → </w:t>
      </w:r>
      <w:r w:rsidRPr="00813363">
        <w:rPr>
          <w:rFonts w:ascii="Times New Roman" w:hAnsi="Times New Roman" w:cs="Times New Roman"/>
          <w:b/>
          <w:bCs/>
          <w:color w:val="000000" w:themeColor="text1"/>
        </w:rPr>
        <w:t>condition</w:t>
      </w:r>
      <w:r w:rsidRPr="00813363">
        <w:rPr>
          <w:rFonts w:ascii="Times New Roman" w:hAnsi="Times New Roman" w:cs="Times New Roman"/>
          <w:color w:val="000000" w:themeColor="text1"/>
        </w:rPr>
        <w:t xml:space="preserve"> → </w:t>
      </w:r>
      <w:r w:rsidRPr="00813363">
        <w:rPr>
          <w:rFonts w:ascii="Times New Roman" w:hAnsi="Times New Roman" w:cs="Times New Roman"/>
          <w:b/>
          <w:bCs/>
          <w:color w:val="000000" w:themeColor="text1"/>
        </w:rPr>
        <w:t>session/population</w:t>
      </w:r>
      <w:r w:rsidRPr="00813363">
        <w:rPr>
          <w:rFonts w:ascii="Times New Roman" w:hAnsi="Times New Roman" w:cs="Times New Roman"/>
          <w:color w:val="000000" w:themeColor="text1"/>
        </w:rPr>
        <w:t xml:space="preserve"> (one static session per model × condition; three independent populations per model × evolutionary regime) → </w:t>
      </w:r>
      <w:r w:rsidRPr="00813363">
        <w:rPr>
          <w:rFonts w:ascii="Times New Roman" w:hAnsi="Times New Roman" w:cs="Times New Roman"/>
          <w:b/>
          <w:bCs/>
          <w:color w:val="000000" w:themeColor="text1"/>
        </w:rPr>
        <w:t>round</w:t>
      </w:r>
      <w:r w:rsidRPr="00813363">
        <w:rPr>
          <w:rFonts w:ascii="Times New Roman" w:hAnsi="Times New Roman" w:cs="Times New Roman"/>
          <w:color w:val="000000" w:themeColor="text1"/>
        </w:rPr>
        <w:t xml:space="preserve"> (36 per static session; 12 per generation × 10 generations per population) → </w:t>
      </w:r>
      <w:r w:rsidRPr="00813363">
        <w:rPr>
          <w:rFonts w:ascii="Times New Roman" w:hAnsi="Times New Roman" w:cs="Times New Roman"/>
          <w:b/>
          <w:bCs/>
          <w:color w:val="000000" w:themeColor="text1"/>
        </w:rPr>
        <w:t>agent response</w:t>
      </w:r>
      <w:r w:rsidRPr="00813363">
        <w:rPr>
          <w:rFonts w:ascii="Times New Roman" w:hAnsi="Times New Roman" w:cs="Times New Roman"/>
          <w:color w:val="000000" w:themeColor="text1"/>
        </w:rPr>
        <w:t xml:space="preserve"> (8 subject agents per round). Within a round, all eight agents answer the same item and observe the same transcript prefix (rotated order), so responses are clustered by item; within a population, generations inherit strategies, so trials are clustered by population. Accordingly: static confirmatory contrasts use GEE with exchangeable working correlation clustered by </w:t>
      </w:r>
      <w:r w:rsidRPr="00813363">
        <w:rPr>
          <w:rFonts w:ascii="Times New Roman" w:hAnsi="Times New Roman" w:cs="Times New Roman"/>
          <w:b/>
          <w:bCs/>
          <w:color w:val="000000" w:themeColor="text1"/>
        </w:rPr>
        <w:t>item</w:t>
      </w:r>
      <w:r w:rsidRPr="00813363">
        <w:rPr>
          <w:rFonts w:ascii="Times New Roman" w:hAnsi="Times New Roman" w:cs="Times New Roman"/>
          <w:color w:val="000000" w:themeColor="text1"/>
        </w:rPr>
        <w:t xml:space="preserve">, triangulated with exact tests and mixed-effects logits with item random intercepts; evolutionary analyses cluster by </w:t>
      </w:r>
      <w:r w:rsidRPr="00813363">
        <w:rPr>
          <w:rFonts w:ascii="Times New Roman" w:hAnsi="Times New Roman" w:cs="Times New Roman"/>
          <w:b/>
          <w:bCs/>
          <w:color w:val="000000" w:themeColor="text1"/>
        </w:rPr>
        <w:t>population</w:t>
      </w:r>
      <w:r w:rsidRPr="00813363">
        <w:rPr>
          <w:rFonts w:ascii="Times New Roman" w:hAnsi="Times New Roman" w:cs="Times New Roman"/>
          <w:color w:val="000000" w:themeColor="text1"/>
        </w:rPr>
        <w:t xml:space="preserve"> (12 clusters) with per-population slope distributions as the primary descriptive unit. Sessions coincide with model × condition cells in the static design and are therefore absorbed by the fixed effects rather than modeled as random. The 14,400 agent-trials are the analysis rows; the effective sample sizes for inference are the numbers of items (static) and populations (evolutionary).</w:t>
      </w:r>
      <w:r w:rsidR="00335257" w:rsidRPr="00813363">
        <w:rPr>
          <w:rFonts w:ascii="Times New Roman" w:hAnsi="Times New Roman" w:cs="Times New Roman"/>
          <w:color w:val="000000" w:themeColor="text1"/>
        </w:rPr>
        <w:t xml:space="preserve"> Given the small number of population clusters, evolutionary GEE inference is interpreted alongside, rather than independently of, the paired population-level slope analysis.</w:t>
      </w:r>
    </w:p>
    <w:p w14:paraId="7D19896E" w14:textId="3D4831AB" w:rsidR="002419CD" w:rsidRPr="00813363" w:rsidRDefault="002419CD" w:rsidP="00574322">
      <w:pPr>
        <w:pStyle w:val="FirstParagraph"/>
        <w:jc w:val="both"/>
        <w:rPr>
          <w:rFonts w:ascii="Times New Roman" w:hAnsi="Times New Roman" w:cs="Times New Roman"/>
          <w:color w:val="000000" w:themeColor="text1"/>
        </w:rPr>
      </w:pPr>
    </w:p>
    <w:p w14:paraId="57BA3805" w14:textId="77777777" w:rsidR="002419CD" w:rsidRPr="00813363" w:rsidRDefault="00000000" w:rsidP="00574322">
      <w:pPr>
        <w:pStyle w:val="Ttulo4"/>
        <w:jc w:val="both"/>
        <w:rPr>
          <w:rFonts w:ascii="Times New Roman" w:hAnsi="Times New Roman" w:cs="Times New Roman"/>
          <w:color w:val="000000" w:themeColor="text1"/>
        </w:rPr>
      </w:pPr>
      <w:bookmarkStart w:id="5" w:name="X86afb313cdb54a55fb705f130be71684c2cec34"/>
      <w:bookmarkEnd w:id="4"/>
      <w:r w:rsidRPr="00813363">
        <w:rPr>
          <w:rFonts w:ascii="Times New Roman" w:hAnsi="Times New Roman" w:cs="Times New Roman"/>
          <w:color w:val="000000" w:themeColor="text1"/>
        </w:rPr>
        <w:t>Table S1. Effect sizes with 95% confidence intervals for the confirmatory static contrasts (qualifying critical trials; Wald intervals, sparse-event caveat)</w:t>
      </w:r>
    </w:p>
    <w:p w14:paraId="499CDAD3" w14:textId="77777777" w:rsidR="00574322" w:rsidRPr="00813363" w:rsidRDefault="00574322" w:rsidP="00574322">
      <w:pPr>
        <w:pStyle w:val="Textoindependiente"/>
      </w:pP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645"/>
        <w:gridCol w:w="2675"/>
        <w:gridCol w:w="1818"/>
        <w:gridCol w:w="1458"/>
        <w:gridCol w:w="1458"/>
      </w:tblGrid>
      <w:tr w:rsidR="002419CD" w:rsidRPr="00813363" w14:paraId="054A356A" w14:textId="77777777" w:rsidTr="005743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1E0409C9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Contrast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BF82210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Rates (events/trials)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93F8294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Risk difference (pp)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481152C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Risk ratio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71615AB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Odds ratio</w:t>
            </w:r>
          </w:p>
        </w:tc>
      </w:tr>
      <w:tr w:rsidR="002419CD" w:rsidRPr="00813363" w14:paraId="276280CB" w14:textId="77777777" w:rsidTr="00574322">
        <w:tc>
          <w:tcPr>
            <w:tcW w:w="0" w:type="auto"/>
          </w:tcPr>
          <w:p w14:paraId="0AEFD364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H4: C4-P vs C4-E</w:t>
            </w:r>
          </w:p>
        </w:tc>
        <w:tc>
          <w:tcPr>
            <w:tcW w:w="0" w:type="auto"/>
          </w:tcPr>
          <w:p w14:paraId="2D8D596E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19/296 = 6.4% vs 7/296 = 2.4%</w:t>
            </w:r>
          </w:p>
        </w:tc>
        <w:tc>
          <w:tcPr>
            <w:tcW w:w="0" w:type="auto"/>
          </w:tcPr>
          <w:p w14:paraId="22AC89FC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+4.1 [+0.8, +7.3]</w:t>
            </w:r>
          </w:p>
        </w:tc>
        <w:tc>
          <w:tcPr>
            <w:tcW w:w="0" w:type="auto"/>
          </w:tcPr>
          <w:p w14:paraId="503644CA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2.71 [1.16, 6.36]</w:t>
            </w:r>
          </w:p>
        </w:tc>
        <w:tc>
          <w:tcPr>
            <w:tcW w:w="0" w:type="auto"/>
          </w:tcPr>
          <w:p w14:paraId="4CF9D4B8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2.83 [1.17, 6.84]</w:t>
            </w:r>
          </w:p>
        </w:tc>
      </w:tr>
      <w:tr w:rsidR="002419CD" w:rsidRPr="00813363" w14:paraId="5D569A8B" w14:textId="77777777" w:rsidTr="00574322">
        <w:tc>
          <w:tcPr>
            <w:tcW w:w="0" w:type="auto"/>
          </w:tcPr>
          <w:p w14:paraId="08F3BF72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H1a: C1 vs C2</w:t>
            </w:r>
          </w:p>
        </w:tc>
        <w:tc>
          <w:tcPr>
            <w:tcW w:w="0" w:type="auto"/>
          </w:tcPr>
          <w:p w14:paraId="0A0427C6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7/296 = 2.4% vs 2/296 = 0.7%</w:t>
            </w:r>
          </w:p>
        </w:tc>
        <w:tc>
          <w:tcPr>
            <w:tcW w:w="0" w:type="auto"/>
          </w:tcPr>
          <w:p w14:paraId="5C76829D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+1.7 [−0.3, +3.7]</w:t>
            </w:r>
          </w:p>
        </w:tc>
        <w:tc>
          <w:tcPr>
            <w:tcW w:w="0" w:type="auto"/>
          </w:tcPr>
          <w:p w14:paraId="497D96E7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3.50 [0.73, 16.7]</w:t>
            </w:r>
          </w:p>
        </w:tc>
        <w:tc>
          <w:tcPr>
            <w:tcW w:w="0" w:type="auto"/>
          </w:tcPr>
          <w:p w14:paraId="7212FBE6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3.56 [0.73, 17.3]</w:t>
            </w:r>
          </w:p>
        </w:tc>
      </w:tr>
      <w:tr w:rsidR="002419CD" w:rsidRPr="00813363" w14:paraId="0D5A9805" w14:textId="77777777" w:rsidTr="00574322">
        <w:tc>
          <w:tcPr>
            <w:tcW w:w="0" w:type="auto"/>
          </w:tcPr>
          <w:p w14:paraId="5E73A73A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lastRenderedPageBreak/>
              <w:t>H1b: C1 vs C0′</w:t>
            </w:r>
          </w:p>
        </w:tc>
        <w:tc>
          <w:tcPr>
            <w:tcW w:w="0" w:type="auto"/>
          </w:tcPr>
          <w:p w14:paraId="15E34905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7/296 = 2.4% vs 10/296 = 3.4%</w:t>
            </w:r>
          </w:p>
        </w:tc>
        <w:tc>
          <w:tcPr>
            <w:tcW w:w="0" w:type="auto"/>
          </w:tcPr>
          <w:p w14:paraId="4B74FC57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−1.0 [−3.7, +1.7]</w:t>
            </w:r>
          </w:p>
        </w:tc>
        <w:tc>
          <w:tcPr>
            <w:tcW w:w="0" w:type="auto"/>
          </w:tcPr>
          <w:p w14:paraId="62015FEF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0.70 [0.27, 1.81]</w:t>
            </w:r>
          </w:p>
        </w:tc>
        <w:tc>
          <w:tcPr>
            <w:tcW w:w="0" w:type="auto"/>
          </w:tcPr>
          <w:p w14:paraId="69CA34DB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0.69 [0.26, 1.85]</w:t>
            </w:r>
          </w:p>
        </w:tc>
      </w:tr>
    </w:tbl>
    <w:p w14:paraId="54D42290" w14:textId="77777777" w:rsidR="00574322" w:rsidRPr="00813363" w:rsidRDefault="00574322" w:rsidP="00574322">
      <w:pPr>
        <w:pStyle w:val="Textoindependiente"/>
        <w:jc w:val="both"/>
        <w:rPr>
          <w:rFonts w:ascii="Times New Roman" w:hAnsi="Times New Roman" w:cs="Times New Roman"/>
          <w:color w:val="000000" w:themeColor="text1"/>
        </w:rPr>
      </w:pPr>
    </w:p>
    <w:p w14:paraId="67869EDA" w14:textId="2183B56F" w:rsidR="002419CD" w:rsidRPr="00813363" w:rsidRDefault="00000000" w:rsidP="00574322">
      <w:pPr>
        <w:pStyle w:val="Textoindependiente"/>
        <w:jc w:val="both"/>
        <w:rPr>
          <w:rFonts w:ascii="Times New Roman" w:hAnsi="Times New Roman" w:cs="Times New Roman"/>
          <w:color w:val="000000" w:themeColor="text1"/>
        </w:rPr>
      </w:pPr>
      <w:r w:rsidRPr="00813363">
        <w:rPr>
          <w:rFonts w:ascii="Times New Roman" w:hAnsi="Times New Roman" w:cs="Times New Roman"/>
          <w:color w:val="000000" w:themeColor="text1"/>
        </w:rPr>
        <w:t>All three H4 estimates exclude the null. H1a is compatible with anything from no effect to a several-fold increase; with 9 events in total its point estimate carries no confirmatory weight, which is why the main text reports it as suggestive at most.</w:t>
      </w:r>
    </w:p>
    <w:p w14:paraId="32890363" w14:textId="77777777" w:rsidR="002419CD" w:rsidRPr="00813363" w:rsidRDefault="00000000" w:rsidP="00574322">
      <w:pPr>
        <w:pStyle w:val="Ttulo4"/>
        <w:jc w:val="both"/>
        <w:rPr>
          <w:rFonts w:ascii="Times New Roman" w:hAnsi="Times New Roman" w:cs="Times New Roman"/>
          <w:color w:val="000000" w:themeColor="text1"/>
        </w:rPr>
      </w:pPr>
      <w:bookmarkStart w:id="6" w:name="X7589a34e90e1230bc1a378ff1d70058fb3714ad"/>
      <w:bookmarkEnd w:id="5"/>
      <w:r w:rsidRPr="00813363">
        <w:rPr>
          <w:rFonts w:ascii="Times New Roman" w:hAnsi="Times New Roman" w:cs="Times New Roman"/>
          <w:color w:val="000000" w:themeColor="text1"/>
        </w:rPr>
        <w:t>Table S2. Exposure analysis: does deference decline as agents accumulate evidence of Agent-P’s unreliability? (exploratory)</w:t>
      </w:r>
    </w:p>
    <w:p w14:paraId="4D53BFE9" w14:textId="77777777" w:rsidR="002419CD" w:rsidRPr="00813363" w:rsidRDefault="00000000" w:rsidP="00574322">
      <w:pPr>
        <w:pStyle w:val="FirstParagraph"/>
        <w:jc w:val="both"/>
        <w:rPr>
          <w:rFonts w:ascii="Times New Roman" w:hAnsi="Times New Roman" w:cs="Times New Roman"/>
          <w:color w:val="000000" w:themeColor="text1"/>
        </w:rPr>
      </w:pPr>
      <w:r w:rsidRPr="00813363">
        <w:rPr>
          <w:rFonts w:ascii="Times New Roman" w:hAnsi="Times New Roman" w:cs="Times New Roman"/>
          <w:color w:val="000000" w:themeColor="text1"/>
        </w:rPr>
        <w:t>Conformity on qualifying critical trials by block of rounds; trend = GEE logit of conformity on round number, clustered by item.</w:t>
      </w:r>
    </w:p>
    <w:p w14:paraId="2A51BDAB" w14:textId="77777777" w:rsidR="00574322" w:rsidRPr="00813363" w:rsidRDefault="00574322" w:rsidP="00574322">
      <w:pPr>
        <w:pStyle w:val="Textoindependiente"/>
      </w:pP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608"/>
        <w:gridCol w:w="1385"/>
        <w:gridCol w:w="1505"/>
        <w:gridCol w:w="1482"/>
        <w:gridCol w:w="2074"/>
      </w:tblGrid>
      <w:tr w:rsidR="002419CD" w:rsidRPr="00813363" w14:paraId="0019C428" w14:textId="77777777" w:rsidTr="005743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20F62A68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Condition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EC5ACAD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Rounds 1–12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07E3AF9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Rounds 13–24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5A918EF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Rounds 25–36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32E3E52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Trend β/round (SE), p</w:t>
            </w:r>
          </w:p>
        </w:tc>
      </w:tr>
      <w:tr w:rsidR="002419CD" w:rsidRPr="00813363" w14:paraId="030B74C2" w14:textId="77777777" w:rsidTr="00574322">
        <w:tc>
          <w:tcPr>
            <w:tcW w:w="0" w:type="auto"/>
          </w:tcPr>
          <w:p w14:paraId="7786E960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C1 prestige</w:t>
            </w:r>
          </w:p>
        </w:tc>
        <w:tc>
          <w:tcPr>
            <w:tcW w:w="0" w:type="auto"/>
          </w:tcPr>
          <w:p w14:paraId="0DB40695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2/96 = 2.1%</w:t>
            </w:r>
          </w:p>
        </w:tc>
        <w:tc>
          <w:tcPr>
            <w:tcW w:w="0" w:type="auto"/>
          </w:tcPr>
          <w:p w14:paraId="4E6D493C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5/80 = 6.2%</w:t>
            </w:r>
          </w:p>
        </w:tc>
        <w:tc>
          <w:tcPr>
            <w:tcW w:w="0" w:type="auto"/>
          </w:tcPr>
          <w:p w14:paraId="519F6B19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0/120 = 0.0%</w:t>
            </w:r>
          </w:p>
        </w:tc>
        <w:tc>
          <w:tcPr>
            <w:tcW w:w="0" w:type="auto"/>
          </w:tcPr>
          <w:p w14:paraId="6BDC71ED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−0.039 (0.036), .28</w:t>
            </w:r>
          </w:p>
        </w:tc>
      </w:tr>
      <w:tr w:rsidR="002419CD" w:rsidRPr="00813363" w14:paraId="7DA5FC2A" w14:textId="77777777" w:rsidTr="00574322">
        <w:tc>
          <w:tcPr>
            <w:tcW w:w="0" w:type="auto"/>
          </w:tcPr>
          <w:p w14:paraId="698AD9EA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C4-P conflict-prestige</w:t>
            </w:r>
          </w:p>
        </w:tc>
        <w:tc>
          <w:tcPr>
            <w:tcW w:w="0" w:type="auto"/>
          </w:tcPr>
          <w:p w14:paraId="0ED6E2FE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8/96 = 8.3%</w:t>
            </w:r>
          </w:p>
        </w:tc>
        <w:tc>
          <w:tcPr>
            <w:tcW w:w="0" w:type="auto"/>
          </w:tcPr>
          <w:p w14:paraId="64CEF3DA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10/80 = 12.5%</w:t>
            </w:r>
          </w:p>
        </w:tc>
        <w:tc>
          <w:tcPr>
            <w:tcW w:w="0" w:type="auto"/>
          </w:tcPr>
          <w:p w14:paraId="726DDA45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1/120 = 0.8%</w:t>
            </w:r>
          </w:p>
        </w:tc>
        <w:tc>
          <w:tcPr>
            <w:tcW w:w="0" w:type="auto"/>
          </w:tcPr>
          <w:p w14:paraId="7B5B6E5E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−0.055 (0.036), .13</w:t>
            </w:r>
          </w:p>
        </w:tc>
      </w:tr>
      <w:tr w:rsidR="002419CD" w:rsidRPr="00813363" w14:paraId="76CCCE3E" w14:textId="77777777" w:rsidTr="00574322">
        <w:tc>
          <w:tcPr>
            <w:tcW w:w="0" w:type="auto"/>
          </w:tcPr>
          <w:p w14:paraId="63C7C660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C2 peer</w:t>
            </w:r>
          </w:p>
        </w:tc>
        <w:tc>
          <w:tcPr>
            <w:tcW w:w="0" w:type="auto"/>
          </w:tcPr>
          <w:p w14:paraId="0212391B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0/96 = 0.0%</w:t>
            </w:r>
          </w:p>
        </w:tc>
        <w:tc>
          <w:tcPr>
            <w:tcW w:w="0" w:type="auto"/>
          </w:tcPr>
          <w:p w14:paraId="10256753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2/80 = 2.5%</w:t>
            </w:r>
          </w:p>
        </w:tc>
        <w:tc>
          <w:tcPr>
            <w:tcW w:w="0" w:type="auto"/>
          </w:tcPr>
          <w:p w14:paraId="05F99C92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0/120 = 0.0%</w:t>
            </w:r>
          </w:p>
        </w:tc>
        <w:tc>
          <w:tcPr>
            <w:tcW w:w="0" w:type="auto"/>
          </w:tcPr>
          <w:p w14:paraId="53F8471C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+0.003 (0.015), .82</w:t>
            </w:r>
          </w:p>
        </w:tc>
      </w:tr>
      <w:tr w:rsidR="002419CD" w:rsidRPr="00813363" w14:paraId="133A7CD7" w14:textId="77777777" w:rsidTr="00574322">
        <w:tc>
          <w:tcPr>
            <w:tcW w:w="0" w:type="auto"/>
          </w:tcPr>
          <w:p w14:paraId="2A110EE5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C4-E conflict-peer</w:t>
            </w:r>
          </w:p>
        </w:tc>
        <w:tc>
          <w:tcPr>
            <w:tcW w:w="0" w:type="auto"/>
          </w:tcPr>
          <w:p w14:paraId="6B753018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0/96 = 0.0%</w:t>
            </w:r>
          </w:p>
        </w:tc>
        <w:tc>
          <w:tcPr>
            <w:tcW w:w="0" w:type="auto"/>
          </w:tcPr>
          <w:p w14:paraId="09C2FECF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5/80 = 6.2%</w:t>
            </w:r>
          </w:p>
        </w:tc>
        <w:tc>
          <w:tcPr>
            <w:tcW w:w="0" w:type="auto"/>
          </w:tcPr>
          <w:p w14:paraId="18B608DE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2/120 = 1.7%</w:t>
            </w:r>
          </w:p>
        </w:tc>
        <w:tc>
          <w:tcPr>
            <w:tcW w:w="0" w:type="auto"/>
          </w:tcPr>
          <w:p w14:paraId="1A7EF2EF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+0.031 (0.027), .25</w:t>
            </w:r>
          </w:p>
        </w:tc>
      </w:tr>
      <w:tr w:rsidR="002419CD" w:rsidRPr="00813363" w14:paraId="75E0FBBA" w14:textId="77777777" w:rsidTr="00574322">
        <w:tc>
          <w:tcPr>
            <w:tcW w:w="0" w:type="auto"/>
          </w:tcPr>
          <w:p w14:paraId="45D3F88E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C0′ majority</w:t>
            </w:r>
          </w:p>
        </w:tc>
        <w:tc>
          <w:tcPr>
            <w:tcW w:w="0" w:type="auto"/>
          </w:tcPr>
          <w:p w14:paraId="6FF33F1E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0/96 = 0.0%</w:t>
            </w:r>
          </w:p>
        </w:tc>
        <w:tc>
          <w:tcPr>
            <w:tcW w:w="0" w:type="auto"/>
          </w:tcPr>
          <w:p w14:paraId="61C95270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8/80 = 10.0%</w:t>
            </w:r>
          </w:p>
        </w:tc>
        <w:tc>
          <w:tcPr>
            <w:tcW w:w="0" w:type="auto"/>
          </w:tcPr>
          <w:p w14:paraId="036C8C26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2/120 = 1.7%</w:t>
            </w:r>
          </w:p>
        </w:tc>
        <w:tc>
          <w:tcPr>
            <w:tcW w:w="0" w:type="auto"/>
          </w:tcPr>
          <w:p w14:paraId="76495223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+0.013 (0.027), .63</w:t>
            </w:r>
          </w:p>
        </w:tc>
      </w:tr>
      <w:tr w:rsidR="002419CD" w:rsidRPr="00813363" w14:paraId="1CE8B629" w14:textId="77777777" w:rsidTr="00574322">
        <w:tc>
          <w:tcPr>
            <w:tcW w:w="0" w:type="auto"/>
          </w:tcPr>
          <w:p w14:paraId="532607E1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Pooled prestige (C1 + C4-P)</w:t>
            </w:r>
          </w:p>
        </w:tc>
        <w:tc>
          <w:tcPr>
            <w:tcW w:w="0" w:type="auto"/>
          </w:tcPr>
          <w:p w14:paraId="75091F92" w14:textId="77777777" w:rsidR="002419CD" w:rsidRPr="00813363" w:rsidRDefault="002419CD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7A0D2643" w14:textId="77777777" w:rsidR="002419CD" w:rsidRPr="00813363" w:rsidRDefault="002419CD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6581CCB4" w14:textId="77777777" w:rsidR="002419CD" w:rsidRPr="00813363" w:rsidRDefault="002419CD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3F96F2AD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−0.050 (0.031), .11</w:t>
            </w:r>
          </w:p>
        </w:tc>
      </w:tr>
    </w:tbl>
    <w:p w14:paraId="3F6B7BFE" w14:textId="77777777" w:rsidR="00574322" w:rsidRPr="00813363" w:rsidRDefault="00574322" w:rsidP="00574322">
      <w:pPr>
        <w:pStyle w:val="Textoindependiente"/>
        <w:jc w:val="both"/>
        <w:rPr>
          <w:rFonts w:ascii="Times New Roman" w:hAnsi="Times New Roman" w:cs="Times New Roman"/>
          <w:color w:val="000000" w:themeColor="text1"/>
        </w:rPr>
      </w:pPr>
    </w:p>
    <w:p w14:paraId="26A0F82C" w14:textId="1CE60571" w:rsidR="002419CD" w:rsidRPr="00813363" w:rsidRDefault="00000000" w:rsidP="00574322">
      <w:pPr>
        <w:pStyle w:val="Textoindependiente"/>
        <w:jc w:val="both"/>
        <w:rPr>
          <w:rFonts w:ascii="Times New Roman" w:hAnsi="Times New Roman" w:cs="Times New Roman"/>
          <w:color w:val="000000" w:themeColor="text1"/>
        </w:rPr>
      </w:pPr>
      <w:r w:rsidRPr="00813363">
        <w:rPr>
          <w:rFonts w:ascii="Times New Roman" w:hAnsi="Times New Roman" w:cs="Times New Roman"/>
          <w:color w:val="000000" w:themeColor="text1"/>
        </w:rPr>
        <w:t>No condition shows a monotonic decline. The mid-session elevation appears in every condition including the controls, indicating a block composition effect (item families qualifying under the §4.4 filter differ across blocks, hence the unequal block sizes) rather than a social dynamic. The near-floor final block in the prestige conditions is compatible with, but not evidence for, learned discounting of Agent-P; the pooled trend is non-significant. We therefore cannot separate resistance from rapid unreliability learning with this design; a condition in which Agent-P’s error rate varies across sessions would be required.</w:t>
      </w:r>
    </w:p>
    <w:p w14:paraId="085D6915" w14:textId="77777777" w:rsidR="002419CD" w:rsidRPr="00813363" w:rsidRDefault="00000000" w:rsidP="00574322">
      <w:pPr>
        <w:pStyle w:val="Ttulo4"/>
        <w:jc w:val="both"/>
        <w:rPr>
          <w:rFonts w:ascii="Times New Roman" w:hAnsi="Times New Roman" w:cs="Times New Roman"/>
          <w:color w:val="000000" w:themeColor="text1"/>
        </w:rPr>
      </w:pPr>
      <w:bookmarkStart w:id="7" w:name="X981e1631da723570779a21de74e97ae50ada8a6"/>
      <w:bookmarkEnd w:id="6"/>
      <w:r w:rsidRPr="00813363">
        <w:rPr>
          <w:rFonts w:ascii="Times New Roman" w:hAnsi="Times New Roman" w:cs="Times New Roman"/>
          <w:color w:val="000000" w:themeColor="text1"/>
        </w:rPr>
        <w:lastRenderedPageBreak/>
        <w:t>Table S3. Answer-position analysis (exploratory): conformity by position in the response sequence (1 = first subject to answer after Agent-P)</w:t>
      </w:r>
    </w:p>
    <w:p w14:paraId="774AAA83" w14:textId="77777777" w:rsidR="00574322" w:rsidRPr="00813363" w:rsidRDefault="00574322" w:rsidP="00574322">
      <w:pPr>
        <w:pStyle w:val="Textoindependiente"/>
      </w:pP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202"/>
        <w:gridCol w:w="656"/>
        <w:gridCol w:w="656"/>
        <w:gridCol w:w="656"/>
        <w:gridCol w:w="656"/>
        <w:gridCol w:w="656"/>
        <w:gridCol w:w="656"/>
        <w:gridCol w:w="656"/>
        <w:gridCol w:w="656"/>
        <w:gridCol w:w="2604"/>
      </w:tblGrid>
      <w:tr w:rsidR="002419CD" w:rsidRPr="00813363" w14:paraId="2CFE279F" w14:textId="77777777" w:rsidTr="005743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02950DD8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Condition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B40C853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p1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F51DC1D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p2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2762BB6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p3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A77C399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p4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F97C6A8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p5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CAD0175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p6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41DCAF4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p7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5FFF099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p8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6BDDE19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Trend β/position (SE), p</w:t>
            </w:r>
          </w:p>
        </w:tc>
      </w:tr>
      <w:tr w:rsidR="002419CD" w:rsidRPr="00813363" w14:paraId="4393AA15" w14:textId="77777777" w:rsidTr="00574322">
        <w:tc>
          <w:tcPr>
            <w:tcW w:w="0" w:type="auto"/>
          </w:tcPr>
          <w:p w14:paraId="2D42BDA1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C1</w:t>
            </w:r>
          </w:p>
        </w:tc>
        <w:tc>
          <w:tcPr>
            <w:tcW w:w="0" w:type="auto"/>
          </w:tcPr>
          <w:p w14:paraId="74718C2C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0/37</w:t>
            </w:r>
          </w:p>
        </w:tc>
        <w:tc>
          <w:tcPr>
            <w:tcW w:w="0" w:type="auto"/>
          </w:tcPr>
          <w:p w14:paraId="431B6726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2/37</w:t>
            </w:r>
          </w:p>
        </w:tc>
        <w:tc>
          <w:tcPr>
            <w:tcW w:w="0" w:type="auto"/>
          </w:tcPr>
          <w:p w14:paraId="0D50FDB1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0/37</w:t>
            </w:r>
          </w:p>
        </w:tc>
        <w:tc>
          <w:tcPr>
            <w:tcW w:w="0" w:type="auto"/>
          </w:tcPr>
          <w:p w14:paraId="77211D74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1/37</w:t>
            </w:r>
          </w:p>
        </w:tc>
        <w:tc>
          <w:tcPr>
            <w:tcW w:w="0" w:type="auto"/>
          </w:tcPr>
          <w:p w14:paraId="4C73E726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0/37</w:t>
            </w:r>
          </w:p>
        </w:tc>
        <w:tc>
          <w:tcPr>
            <w:tcW w:w="0" w:type="auto"/>
          </w:tcPr>
          <w:p w14:paraId="157767F6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3/37</w:t>
            </w:r>
          </w:p>
        </w:tc>
        <w:tc>
          <w:tcPr>
            <w:tcW w:w="0" w:type="auto"/>
          </w:tcPr>
          <w:p w14:paraId="20DC02F7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0/37</w:t>
            </w:r>
          </w:p>
        </w:tc>
        <w:tc>
          <w:tcPr>
            <w:tcW w:w="0" w:type="auto"/>
          </w:tcPr>
          <w:p w14:paraId="336A72DB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1/37</w:t>
            </w:r>
          </w:p>
        </w:tc>
        <w:tc>
          <w:tcPr>
            <w:tcW w:w="0" w:type="auto"/>
          </w:tcPr>
          <w:p w14:paraId="15C50D15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+0.070 (0.061), .25</w:t>
            </w:r>
          </w:p>
        </w:tc>
      </w:tr>
      <w:tr w:rsidR="002419CD" w:rsidRPr="00813363" w14:paraId="762E0F6C" w14:textId="77777777" w:rsidTr="00574322">
        <w:tc>
          <w:tcPr>
            <w:tcW w:w="0" w:type="auto"/>
          </w:tcPr>
          <w:p w14:paraId="12F0BE19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C4-P</w:t>
            </w:r>
          </w:p>
        </w:tc>
        <w:tc>
          <w:tcPr>
            <w:tcW w:w="0" w:type="auto"/>
          </w:tcPr>
          <w:p w14:paraId="38B99016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3/37</w:t>
            </w:r>
          </w:p>
        </w:tc>
        <w:tc>
          <w:tcPr>
            <w:tcW w:w="0" w:type="auto"/>
          </w:tcPr>
          <w:p w14:paraId="41D96F03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2/37</w:t>
            </w:r>
          </w:p>
        </w:tc>
        <w:tc>
          <w:tcPr>
            <w:tcW w:w="0" w:type="auto"/>
          </w:tcPr>
          <w:p w14:paraId="4D84A9D2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3/37</w:t>
            </w:r>
          </w:p>
        </w:tc>
        <w:tc>
          <w:tcPr>
            <w:tcW w:w="0" w:type="auto"/>
          </w:tcPr>
          <w:p w14:paraId="7573AE0F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4/37</w:t>
            </w:r>
          </w:p>
        </w:tc>
        <w:tc>
          <w:tcPr>
            <w:tcW w:w="0" w:type="auto"/>
          </w:tcPr>
          <w:p w14:paraId="71E96E4E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3/37</w:t>
            </w:r>
          </w:p>
        </w:tc>
        <w:tc>
          <w:tcPr>
            <w:tcW w:w="0" w:type="auto"/>
          </w:tcPr>
          <w:p w14:paraId="2339A617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1/37</w:t>
            </w:r>
          </w:p>
        </w:tc>
        <w:tc>
          <w:tcPr>
            <w:tcW w:w="0" w:type="auto"/>
          </w:tcPr>
          <w:p w14:paraId="75A58EA7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3/37</w:t>
            </w:r>
          </w:p>
        </w:tc>
        <w:tc>
          <w:tcPr>
            <w:tcW w:w="0" w:type="auto"/>
          </w:tcPr>
          <w:p w14:paraId="6B5E95C0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color w:val="000000" w:themeColor="text1"/>
              </w:rPr>
              <w:t>0/37</w:t>
            </w:r>
          </w:p>
        </w:tc>
        <w:tc>
          <w:tcPr>
            <w:tcW w:w="0" w:type="auto"/>
          </w:tcPr>
          <w:p w14:paraId="26A3D4F9" w14:textId="77777777" w:rsidR="002419CD" w:rsidRPr="00813363" w:rsidRDefault="00000000" w:rsidP="00574322">
            <w:pPr>
              <w:pStyle w:val="Comp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36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−0.125 (0.058), .032</w:t>
            </w:r>
          </w:p>
        </w:tc>
      </w:tr>
    </w:tbl>
    <w:p w14:paraId="6012A090" w14:textId="77777777" w:rsidR="002419CD" w:rsidRPr="00813363" w:rsidRDefault="00000000" w:rsidP="00574322">
      <w:pPr>
        <w:pStyle w:val="Textoindependiente"/>
        <w:jc w:val="both"/>
        <w:rPr>
          <w:rFonts w:ascii="Times New Roman" w:hAnsi="Times New Roman" w:cs="Times New Roman"/>
          <w:color w:val="000000" w:themeColor="text1"/>
        </w:rPr>
      </w:pPr>
      <w:r w:rsidRPr="00813363">
        <w:rPr>
          <w:rFonts w:ascii="Times New Roman" w:hAnsi="Times New Roman" w:cs="Times New Roman"/>
          <w:color w:val="000000" w:themeColor="text1"/>
        </w:rPr>
        <w:t>In the conflict condition, later-answering agents followed the erroneous authority less, consistent with accumulating correct peer answers in the visible transcript diluting Agent-P’s influence (informational accumulation). No such gradient appears without peer conflict (C1). Exploratory; not pre-registered.</w:t>
      </w:r>
    </w:p>
    <w:p w14:paraId="45A69798" w14:textId="77777777" w:rsidR="002419CD" w:rsidRPr="00813363" w:rsidRDefault="00000000" w:rsidP="00574322">
      <w:pPr>
        <w:pStyle w:val="Ttulo4"/>
        <w:jc w:val="both"/>
        <w:rPr>
          <w:rFonts w:ascii="Times New Roman" w:hAnsi="Times New Roman" w:cs="Times New Roman"/>
          <w:color w:val="000000" w:themeColor="text1"/>
        </w:rPr>
      </w:pPr>
      <w:bookmarkStart w:id="8" w:name="s2.2-sensitivity-triangulation"/>
      <w:bookmarkEnd w:id="7"/>
      <w:r w:rsidRPr="00813363">
        <w:rPr>
          <w:rFonts w:ascii="Times New Roman" w:hAnsi="Times New Roman" w:cs="Times New Roman"/>
          <w:color w:val="000000" w:themeColor="text1"/>
        </w:rPr>
        <w:t>S2.2 Sensitivity triangulation</w:t>
      </w:r>
    </w:p>
    <w:p w14:paraId="23126F8C" w14:textId="77777777" w:rsidR="002419CD" w:rsidRPr="00813363" w:rsidRDefault="00000000" w:rsidP="00574322">
      <w:pPr>
        <w:pStyle w:val="FirstParagraph"/>
        <w:jc w:val="both"/>
        <w:rPr>
          <w:rFonts w:ascii="Times New Roman" w:hAnsi="Times New Roman" w:cs="Times New Roman"/>
          <w:color w:val="000000" w:themeColor="text1"/>
        </w:rPr>
      </w:pPr>
      <w:r w:rsidRPr="00813363">
        <w:rPr>
          <w:rFonts w:ascii="Times New Roman" w:hAnsi="Times New Roman" w:cs="Times New Roman"/>
          <w:color w:val="000000" w:themeColor="text1"/>
        </w:rPr>
        <w:t>All confirmatory contrasts were run under three estimators — cluster-robust GEE (item clusters), mixed-effects logit (item random intercepts), and exact Fisher tests — as reported in the main text; full outputs are in the deposit (</w:t>
      </w:r>
      <w:r w:rsidRPr="00813363">
        <w:rPr>
          <w:rStyle w:val="VerbatimChar"/>
          <w:rFonts w:ascii="Times New Roman" w:hAnsi="Times New Roman" w:cs="Times New Roman"/>
          <w:color w:val="000000" w:themeColor="text1"/>
          <w:sz w:val="24"/>
        </w:rPr>
        <w:t>stats_report.txt</w:t>
      </w:r>
      <w:r w:rsidRPr="00813363">
        <w:rPr>
          <w:rFonts w:ascii="Times New Roman" w:hAnsi="Times New Roman" w:cs="Times New Roman"/>
          <w:color w:val="000000" w:themeColor="text1"/>
        </w:rPr>
        <w:t>).</w:t>
      </w:r>
    </w:p>
    <w:p w14:paraId="154E12B9" w14:textId="77777777" w:rsidR="002419CD" w:rsidRPr="00813363" w:rsidRDefault="00000000" w:rsidP="00574322">
      <w:pPr>
        <w:pStyle w:val="Ttulo3"/>
        <w:jc w:val="both"/>
        <w:rPr>
          <w:rFonts w:ascii="Times New Roman" w:hAnsi="Times New Roman" w:cs="Times New Roman"/>
          <w:color w:val="000000" w:themeColor="text1"/>
        </w:rPr>
      </w:pPr>
      <w:bookmarkStart w:id="9" w:name="X2066ca115f3ddea2e43bba589a81ab8324dfab3"/>
      <w:bookmarkEnd w:id="3"/>
      <w:bookmarkEnd w:id="8"/>
      <w:r w:rsidRPr="00813363">
        <w:rPr>
          <w:rFonts w:ascii="Times New Roman" w:hAnsi="Times New Roman" w:cs="Times New Roman"/>
          <w:color w:val="000000" w:themeColor="text1"/>
        </w:rPr>
        <w:t>S3. Calibration traces and model identification</w:t>
      </w:r>
    </w:p>
    <w:p w14:paraId="6F30F3E8" w14:textId="77777777" w:rsidR="002419CD" w:rsidRPr="00813363" w:rsidRDefault="00000000" w:rsidP="00574322">
      <w:pPr>
        <w:pStyle w:val="FirstParagraph"/>
        <w:jc w:val="both"/>
        <w:rPr>
          <w:rFonts w:ascii="Times New Roman" w:hAnsi="Times New Roman" w:cs="Times New Roman"/>
          <w:color w:val="000000" w:themeColor="text1"/>
        </w:rPr>
      </w:pPr>
      <w:r w:rsidRPr="00813363">
        <w:rPr>
          <w:rFonts w:ascii="Times New Roman" w:hAnsi="Times New Roman" w:cs="Times New Roman"/>
          <w:color w:val="000000" w:themeColor="text1"/>
        </w:rPr>
        <w:t>Calibration traces for all evaluated models (screening and 200-item confirmation runs) are provided in the deposit (</w:t>
      </w:r>
      <w:proofErr w:type="spellStart"/>
      <w:r w:rsidRPr="00813363">
        <w:rPr>
          <w:rStyle w:val="VerbatimChar"/>
          <w:rFonts w:ascii="Times New Roman" w:hAnsi="Times New Roman" w:cs="Times New Roman"/>
          <w:color w:val="000000" w:themeColor="text1"/>
          <w:sz w:val="24"/>
        </w:rPr>
        <w:t>calibration_</w:t>
      </w:r>
      <w:proofErr w:type="gramStart"/>
      <w:r w:rsidRPr="00813363">
        <w:rPr>
          <w:rStyle w:val="VerbatimChar"/>
          <w:rFonts w:ascii="Times New Roman" w:hAnsi="Times New Roman" w:cs="Times New Roman"/>
          <w:color w:val="000000" w:themeColor="text1"/>
          <w:sz w:val="24"/>
        </w:rPr>
        <w:t>frozen.json</w:t>
      </w:r>
      <w:proofErr w:type="spellEnd"/>
      <w:proofErr w:type="gramEnd"/>
      <w:r w:rsidRPr="0081336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813363">
        <w:rPr>
          <w:rStyle w:val="VerbatimChar"/>
          <w:rFonts w:ascii="Times New Roman" w:hAnsi="Times New Roman" w:cs="Times New Roman"/>
          <w:color w:val="000000" w:themeColor="text1"/>
          <w:sz w:val="24"/>
        </w:rPr>
        <w:t>calibration_frozen_</w:t>
      </w:r>
      <w:proofErr w:type="gramStart"/>
      <w:r w:rsidRPr="00813363">
        <w:rPr>
          <w:rStyle w:val="VerbatimChar"/>
          <w:rFonts w:ascii="Times New Roman" w:hAnsi="Times New Roman" w:cs="Times New Roman"/>
          <w:color w:val="000000" w:themeColor="text1"/>
          <w:sz w:val="24"/>
        </w:rPr>
        <w:t>exclusions.json</w:t>
      </w:r>
      <w:proofErr w:type="spellEnd"/>
      <w:proofErr w:type="gramEnd"/>
      <w:r w:rsidRPr="00813363">
        <w:rPr>
          <w:rFonts w:ascii="Times New Roman" w:hAnsi="Times New Roman" w:cs="Times New Roman"/>
          <w:color w:val="000000" w:themeColor="text1"/>
        </w:rPr>
        <w:t xml:space="preserve">, </w:t>
      </w:r>
      <w:r w:rsidRPr="00813363">
        <w:rPr>
          <w:rStyle w:val="VerbatimChar"/>
          <w:rFonts w:ascii="Times New Roman" w:hAnsi="Times New Roman" w:cs="Times New Roman"/>
          <w:color w:val="000000" w:themeColor="text1"/>
          <w:sz w:val="24"/>
        </w:rPr>
        <w:t>CAL*.csv</w:t>
      </w:r>
      <w:r w:rsidRPr="00813363">
        <w:rPr>
          <w:rFonts w:ascii="Times New Roman" w:hAnsi="Times New Roman" w:cs="Times New Roman"/>
          <w:color w:val="000000" w:themeColor="text1"/>
        </w:rPr>
        <w:t xml:space="preserve">). gemma2:9b and gemma3:4b were run through </w:t>
      </w:r>
      <w:proofErr w:type="spellStart"/>
      <w:r w:rsidRPr="00813363">
        <w:rPr>
          <w:rFonts w:ascii="Times New Roman" w:hAnsi="Times New Roman" w:cs="Times New Roman"/>
          <w:color w:val="000000" w:themeColor="text1"/>
        </w:rPr>
        <w:t>Ollama</w:t>
      </w:r>
      <w:proofErr w:type="spellEnd"/>
      <w:r w:rsidRPr="00813363">
        <w:rPr>
          <w:rFonts w:ascii="Times New Roman" w:hAnsi="Times New Roman" w:cs="Times New Roman"/>
          <w:color w:val="000000" w:themeColor="text1"/>
        </w:rPr>
        <w:t xml:space="preserve">; the tag used for the latter is </w:t>
      </w:r>
      <w:r w:rsidRPr="00813363">
        <w:rPr>
          <w:rStyle w:val="VerbatimChar"/>
          <w:rFonts w:ascii="Times New Roman" w:hAnsi="Times New Roman" w:cs="Times New Roman"/>
          <w:color w:val="000000" w:themeColor="text1"/>
          <w:sz w:val="24"/>
        </w:rPr>
        <w:t>gemma</w:t>
      </w:r>
      <w:proofErr w:type="gramStart"/>
      <w:r w:rsidRPr="00813363">
        <w:rPr>
          <w:rStyle w:val="VerbatimChar"/>
          <w:rFonts w:ascii="Times New Roman" w:hAnsi="Times New Roman" w:cs="Times New Roman"/>
          <w:color w:val="000000" w:themeColor="text1"/>
          <w:sz w:val="24"/>
        </w:rPr>
        <w:t>3:latest</w:t>
      </w:r>
      <w:proofErr w:type="gramEnd"/>
      <w:r w:rsidRPr="00813363">
        <w:rPr>
          <w:rFonts w:ascii="Times New Roman" w:hAnsi="Times New Roman" w:cs="Times New Roman"/>
          <w:color w:val="000000" w:themeColor="text1"/>
        </w:rPr>
        <w:t xml:space="preserve"> (4B parameters at the time of the study). Exact model digests are recorded in every run manifest.</w:t>
      </w:r>
    </w:p>
    <w:p w14:paraId="440A0E08" w14:textId="77777777" w:rsidR="002419CD" w:rsidRPr="00813363" w:rsidRDefault="00000000" w:rsidP="00574322">
      <w:pPr>
        <w:pStyle w:val="Ttulo3"/>
        <w:jc w:val="both"/>
        <w:rPr>
          <w:rFonts w:ascii="Times New Roman" w:hAnsi="Times New Roman" w:cs="Times New Roman"/>
          <w:color w:val="000000" w:themeColor="text1"/>
        </w:rPr>
      </w:pPr>
      <w:bookmarkStart w:id="10" w:name="X1e003efe5d710d2af91a760227ef5f2ca3051d3"/>
      <w:bookmarkEnd w:id="9"/>
      <w:r w:rsidRPr="00813363">
        <w:rPr>
          <w:rFonts w:ascii="Times New Roman" w:hAnsi="Times New Roman" w:cs="Times New Roman"/>
          <w:color w:val="000000" w:themeColor="text1"/>
        </w:rPr>
        <w:t>S4. Evolved strategy corpus and aggregated trajectories</w:t>
      </w:r>
    </w:p>
    <w:p w14:paraId="50C92165" w14:textId="77777777" w:rsidR="002419CD" w:rsidRPr="00813363" w:rsidRDefault="00000000" w:rsidP="00574322">
      <w:pPr>
        <w:pStyle w:val="FirstParagraph"/>
        <w:jc w:val="both"/>
        <w:rPr>
          <w:rFonts w:ascii="Times New Roman" w:hAnsi="Times New Roman" w:cs="Times New Roman"/>
          <w:color w:val="000000" w:themeColor="text1"/>
        </w:rPr>
      </w:pPr>
      <w:r w:rsidRPr="00813363">
        <w:rPr>
          <w:rFonts w:ascii="Times New Roman" w:hAnsi="Times New Roman" w:cs="Times New Roman"/>
          <w:color w:val="000000" w:themeColor="text1"/>
        </w:rPr>
        <w:t xml:space="preserve">The complete strategy corpus (all generations, both regimes, all 12 populations; </w:t>
      </w:r>
      <w:r w:rsidRPr="00813363">
        <w:rPr>
          <w:rStyle w:val="VerbatimChar"/>
          <w:rFonts w:ascii="Times New Roman" w:hAnsi="Times New Roman" w:cs="Times New Roman"/>
          <w:color w:val="000000" w:themeColor="text1"/>
          <w:sz w:val="24"/>
        </w:rPr>
        <w:t>*_</w:t>
      </w:r>
      <w:proofErr w:type="spellStart"/>
      <w:proofErr w:type="gramStart"/>
      <w:r w:rsidRPr="00813363">
        <w:rPr>
          <w:rStyle w:val="VerbatimChar"/>
          <w:rFonts w:ascii="Times New Roman" w:hAnsi="Times New Roman" w:cs="Times New Roman"/>
          <w:color w:val="000000" w:themeColor="text1"/>
          <w:sz w:val="24"/>
        </w:rPr>
        <w:t>evolog.json</w:t>
      </w:r>
      <w:proofErr w:type="spellEnd"/>
      <w:proofErr w:type="gramEnd"/>
      <w:r w:rsidRPr="00813363">
        <w:rPr>
          <w:rFonts w:ascii="Times New Roman" w:hAnsi="Times New Roman" w:cs="Times New Roman"/>
          <w:color w:val="000000" w:themeColor="text1"/>
        </w:rPr>
        <w:t>) is provided in the deposit.</w:t>
      </w:r>
    </w:p>
    <w:p w14:paraId="4F130D63" w14:textId="7CDBCB0C" w:rsidR="002419CD" w:rsidRPr="00813363" w:rsidRDefault="00EE11CE" w:rsidP="00574322">
      <w:pPr>
        <w:pStyle w:val="Ttulo4"/>
        <w:jc w:val="both"/>
        <w:rPr>
          <w:rFonts w:ascii="Times New Roman" w:hAnsi="Times New Roman" w:cs="Times New Roman"/>
          <w:color w:val="000000" w:themeColor="text1"/>
        </w:rPr>
      </w:pPr>
      <w:bookmarkStart w:id="11" w:name="X2cd1faed693de01af35808f352ad872f09e39c5"/>
      <w:r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17097DC7" wp14:editId="3FF7B391">
            <wp:extent cx="5612130" cy="2908935"/>
            <wp:effectExtent l="0" t="0" r="0" b="0"/>
            <wp:docPr id="12715762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576286" name="Imagen 127157628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0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 w:rsidRPr="00813363">
        <w:rPr>
          <w:rFonts w:ascii="Times New Roman" w:hAnsi="Times New Roman" w:cs="Times New Roman"/>
          <w:color w:val="000000" w:themeColor="text1"/>
        </w:rPr>
        <w:t>Fig. S1. Aggregated evolutionary trajectories</w:t>
      </w:r>
    </w:p>
    <w:p w14:paraId="28F565CF" w14:textId="77777777" w:rsidR="002419CD" w:rsidRPr="00813363" w:rsidRDefault="00000000" w:rsidP="00574322">
      <w:pPr>
        <w:pStyle w:val="FirstParagraph"/>
        <w:jc w:val="both"/>
        <w:rPr>
          <w:rFonts w:ascii="Times New Roman" w:hAnsi="Times New Roman" w:cs="Times New Roman"/>
          <w:color w:val="000000" w:themeColor="text1"/>
        </w:rPr>
      </w:pPr>
      <w:r w:rsidRPr="00813363">
        <w:rPr>
          <w:rFonts w:ascii="Times New Roman" w:hAnsi="Times New Roman" w:cs="Times New Roman"/>
          <w:color w:val="000000" w:themeColor="text1"/>
        </w:rPr>
        <w:t>Mean deference index per generation across the three independent populations per cell, with 95% confidence bands, for clientelist (C3) and majority-concordance (C3M) selection, by model. Complements main Fig. 3 (which shows all 12 individual populations) by making the average effect legible: the two regimes are indistinguishable and flat at the level expected from accurate answering. [figure file: figS1_evolution_aggregated.pdf]</w:t>
      </w:r>
    </w:p>
    <w:p w14:paraId="694F7DAE" w14:textId="77777777" w:rsidR="002419CD" w:rsidRPr="00813363" w:rsidRDefault="00000000" w:rsidP="00574322">
      <w:pPr>
        <w:pStyle w:val="Ttulo3"/>
        <w:jc w:val="both"/>
        <w:rPr>
          <w:rFonts w:ascii="Times New Roman" w:hAnsi="Times New Roman" w:cs="Times New Roman"/>
          <w:color w:val="000000" w:themeColor="text1"/>
        </w:rPr>
      </w:pPr>
      <w:bookmarkStart w:id="12" w:name="X97a368b0156d521561f58dc2f229e0bb9985823"/>
      <w:bookmarkEnd w:id="10"/>
      <w:bookmarkEnd w:id="11"/>
      <w:r w:rsidRPr="00813363">
        <w:rPr>
          <w:rFonts w:ascii="Times New Roman" w:hAnsi="Times New Roman" w:cs="Times New Roman"/>
          <w:color w:val="000000" w:themeColor="text1"/>
        </w:rPr>
        <w:t>S5. Run manifests and perimeter incident (operational details)</w:t>
      </w:r>
    </w:p>
    <w:p w14:paraId="299560FE" w14:textId="77777777" w:rsidR="002419CD" w:rsidRPr="00813363" w:rsidRDefault="00000000" w:rsidP="00574322">
      <w:pPr>
        <w:pStyle w:val="FirstParagraph"/>
        <w:jc w:val="both"/>
        <w:rPr>
          <w:rFonts w:ascii="Times New Roman" w:hAnsi="Times New Roman" w:cs="Times New Roman"/>
          <w:color w:val="000000" w:themeColor="text1"/>
        </w:rPr>
      </w:pPr>
      <w:r w:rsidRPr="00813363">
        <w:rPr>
          <w:rFonts w:ascii="Times New Roman" w:hAnsi="Times New Roman" w:cs="Times New Roman"/>
          <w:color w:val="000000" w:themeColor="text1"/>
        </w:rPr>
        <w:t>Every session carries a manifest (seed, framing hashes, platform version, model digest, server version), included in the deposit.</w:t>
      </w:r>
    </w:p>
    <w:p w14:paraId="62B6AF83" w14:textId="77777777" w:rsidR="002419CD" w:rsidRPr="00813363" w:rsidRDefault="00000000" w:rsidP="00574322">
      <w:pPr>
        <w:pStyle w:val="Textoindependiente"/>
        <w:jc w:val="both"/>
        <w:rPr>
          <w:rFonts w:ascii="Times New Roman" w:hAnsi="Times New Roman" w:cs="Times New Roman"/>
          <w:color w:val="000000" w:themeColor="text1"/>
        </w:rPr>
      </w:pPr>
      <w:r w:rsidRPr="00813363">
        <w:rPr>
          <w:rFonts w:ascii="Times New Roman" w:hAnsi="Times New Roman" w:cs="Times New Roman"/>
          <w:color w:val="000000" w:themeColor="text1"/>
        </w:rPr>
        <w:t xml:space="preserve">On 2026-08-11 an off-protocol copy of the platform on a remote server was modified by an external AI-assisted tool (an embedded API key and a cloud model were added) and used for exploratory runs outside the frozen roster. Resolution: SHA-256 digests of all five confirmatory static CSV files were computed on three independent copies (the canonical laptop, a cloud backup, and the remote server) and found identical; the canonical copy was designated by hash; the remote copy was renamed OUT-OF-PROTOCOL and quarantined; the exposed key was revoked; Amendment 4 was logged. No </w:t>
      </w:r>
      <w:proofErr w:type="gramStart"/>
      <w:r w:rsidRPr="00813363">
        <w:rPr>
          <w:rFonts w:ascii="Times New Roman" w:hAnsi="Times New Roman" w:cs="Times New Roman"/>
          <w:color w:val="000000" w:themeColor="text1"/>
        </w:rPr>
        <w:t>off-protocol</w:t>
      </w:r>
      <w:proofErr w:type="gramEnd"/>
      <w:r w:rsidRPr="00813363">
        <w:rPr>
          <w:rFonts w:ascii="Times New Roman" w:hAnsi="Times New Roman" w:cs="Times New Roman"/>
          <w:color w:val="000000" w:themeColor="text1"/>
        </w:rPr>
        <w:t xml:space="preserve"> run enters any analysis. The scientifically relevant fact — verified null impact on confirmatory data — is stated in the main text; these details are provided for auditability.</w:t>
      </w:r>
    </w:p>
    <w:p w14:paraId="15781A1F" w14:textId="77777777" w:rsidR="002419CD" w:rsidRPr="00813363" w:rsidRDefault="00000000" w:rsidP="00574322">
      <w:pPr>
        <w:pStyle w:val="Ttulo3"/>
        <w:jc w:val="both"/>
        <w:rPr>
          <w:rFonts w:ascii="Times New Roman" w:hAnsi="Times New Roman" w:cs="Times New Roman"/>
          <w:color w:val="000000" w:themeColor="text1"/>
        </w:rPr>
      </w:pPr>
      <w:bookmarkStart w:id="13" w:name="s6.-trial-level-tidy-dataset"/>
      <w:bookmarkEnd w:id="12"/>
      <w:r w:rsidRPr="00813363">
        <w:rPr>
          <w:rFonts w:ascii="Times New Roman" w:hAnsi="Times New Roman" w:cs="Times New Roman"/>
          <w:color w:val="000000" w:themeColor="text1"/>
        </w:rPr>
        <w:t>S6. Trial-level tidy dataset</w:t>
      </w:r>
    </w:p>
    <w:p w14:paraId="3B8ECF75" w14:textId="77777777" w:rsidR="002419CD" w:rsidRPr="00813363" w:rsidRDefault="00000000" w:rsidP="00574322">
      <w:pPr>
        <w:pStyle w:val="FirstParagraph"/>
        <w:jc w:val="both"/>
        <w:rPr>
          <w:rFonts w:ascii="Times New Roman" w:hAnsi="Times New Roman" w:cs="Times New Roman"/>
          <w:color w:val="000000" w:themeColor="text1"/>
        </w:rPr>
      </w:pPr>
      <w:r w:rsidRPr="00813363">
        <w:rPr>
          <w:rStyle w:val="VerbatimChar"/>
          <w:rFonts w:ascii="Times New Roman" w:hAnsi="Times New Roman" w:cs="Times New Roman"/>
          <w:color w:val="000000" w:themeColor="text1"/>
          <w:sz w:val="24"/>
        </w:rPr>
        <w:t>master_tidy.csv</w:t>
      </w:r>
      <w:r w:rsidRPr="00813363">
        <w:rPr>
          <w:rFonts w:ascii="Times New Roman" w:hAnsi="Times New Roman" w:cs="Times New Roman"/>
          <w:color w:val="000000" w:themeColor="text1"/>
        </w:rPr>
        <w:t>: 14,400 agent-trials (2,880 static; 11,520 evolutionary) with condition, model, session/population, generation, round, item, family, agent, position, public and private responses, correctness and conformity indicators. Column dictionary in the deposit README.</w:t>
      </w:r>
      <w:bookmarkEnd w:id="0"/>
      <w:bookmarkEnd w:id="1"/>
      <w:bookmarkEnd w:id="13"/>
    </w:p>
    <w:sectPr w:rsidR="002419CD" w:rsidRPr="00813363"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BEA7BD" w14:textId="77777777" w:rsidR="009316C8" w:rsidRDefault="009316C8">
      <w:pPr>
        <w:spacing w:after="0"/>
      </w:pPr>
      <w:r>
        <w:separator/>
      </w:r>
    </w:p>
  </w:endnote>
  <w:endnote w:type="continuationSeparator" w:id="0">
    <w:p w14:paraId="688DC732" w14:textId="77777777" w:rsidR="009316C8" w:rsidRDefault="009316C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D3CD81" w14:textId="77777777" w:rsidR="009316C8" w:rsidRDefault="009316C8">
      <w:r>
        <w:separator/>
      </w:r>
    </w:p>
  </w:footnote>
  <w:footnote w:type="continuationSeparator" w:id="0">
    <w:p w14:paraId="2AF8B118" w14:textId="77777777" w:rsidR="009316C8" w:rsidRDefault="009316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DE8400D2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1457810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19CD"/>
    <w:rsid w:val="00121731"/>
    <w:rsid w:val="002419CD"/>
    <w:rsid w:val="002E7483"/>
    <w:rsid w:val="00335257"/>
    <w:rsid w:val="004F50B1"/>
    <w:rsid w:val="00574322"/>
    <w:rsid w:val="00772ADF"/>
    <w:rsid w:val="00813363"/>
    <w:rsid w:val="009316C8"/>
    <w:rsid w:val="00CC1D2D"/>
    <w:rsid w:val="00EE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8340E5"/>
  <w15:docId w15:val="{320025E8-D6F9-2643-8B2E-79111F671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Textoindependiente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tulo2">
    <w:name w:val="heading 2"/>
    <w:basedOn w:val="Normal"/>
    <w:next w:val="Textoindependiente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tulo3">
    <w:name w:val="heading 3"/>
    <w:basedOn w:val="Normal"/>
    <w:next w:val="Textoindependiente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Textoindependiente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Ttulo5">
    <w:name w:val="heading 5"/>
    <w:basedOn w:val="Normal"/>
    <w:next w:val="Textoindependiente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Ttulo6">
    <w:name w:val="heading 6"/>
    <w:basedOn w:val="Normal"/>
    <w:next w:val="Textoindependiente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7">
    <w:name w:val="heading 7"/>
    <w:basedOn w:val="Normal"/>
    <w:next w:val="Textoindependiente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8">
    <w:name w:val="heading 8"/>
    <w:basedOn w:val="Normal"/>
    <w:next w:val="Textoindependiente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9">
    <w:name w:val="heading 9"/>
    <w:basedOn w:val="Normal"/>
    <w:next w:val="Textoindependiente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tulo">
    <w:name w:val="Subtitle"/>
    <w:basedOn w:val="Ttulo"/>
    <w:next w:val="Textoindependiente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Textoindependiente"/>
    <w:qFormat/>
    <w:pPr>
      <w:keepNext/>
      <w:keepLines/>
      <w:jc w:val="center"/>
    </w:pPr>
  </w:style>
  <w:style w:type="paragraph" w:styleId="Fecha">
    <w:name w:val="Date"/>
    <w:next w:val="Textoindependiente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4F81BD" w:themeColor="accent1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12173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rsid w:val="001217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doi.org/10.5281/zenodo.2279849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1141</Words>
  <Characters>6277</Characters>
  <Application>Microsoft Office Word</Application>
  <DocSecurity>0</DocSecurity>
  <Lines>52</Lines>
  <Paragraphs>14</Paragraphs>
  <ScaleCrop>false</ScaleCrop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Raúl Alelú Paz</cp:lastModifiedBy>
  <cp:revision>6</cp:revision>
  <dcterms:created xsi:type="dcterms:W3CDTF">2026-09-16T14:38:00Z</dcterms:created>
  <dcterms:modified xsi:type="dcterms:W3CDTF">2026-09-16T15:10:00Z</dcterms:modified>
</cp:coreProperties>
</file>