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13BC5" w14:textId="77777777" w:rsidR="007F02F0" w:rsidRDefault="007F02F0" w:rsidP="007F02F0">
      <w:pPr>
        <w:jc w:val="center"/>
      </w:pPr>
      <w:r>
        <w:rPr>
          <w:b/>
          <w:sz w:val="26"/>
        </w:rPr>
        <w:t>STROBE Statement — Checklist of Items for Retrospective Cohort Studies</w:t>
      </w:r>
    </w:p>
    <w:p w14:paraId="2FDEB36F" w14:textId="77777777" w:rsidR="007F02F0" w:rsidRDefault="007F02F0" w:rsidP="007F02F0">
      <w:r>
        <w:t>Manuscript: Preoperative endoscopic ultrasonography wall-layer stratification and bowel surgical management in rectosigmoid deep infiltrating endometriosis: a single-center retrospective study (submission to *Archives of Gynecology and Obstetrics*)</w:t>
      </w:r>
    </w:p>
    <w:p w14:paraId="0D966C04" w14:textId="77777777" w:rsidR="007F02F0" w:rsidRDefault="007F02F0" w:rsidP="007F02F0">
      <w:r>
        <w:rPr>
          <w:i/>
          <w:sz w:val="18"/>
        </w:rPr>
        <w:t>✓ = fully reported. Section references are to the corresponding sections of the submitted manuscript.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4082"/>
        <w:gridCol w:w="1126"/>
        <w:gridCol w:w="3515"/>
      </w:tblGrid>
      <w:tr w:rsidR="007F02F0" w14:paraId="672378CC" w14:textId="77777777" w:rsidTr="001F721B">
        <w:trPr>
          <w:jc w:val="center"/>
        </w:trPr>
        <w:tc>
          <w:tcPr>
            <w:tcW w:w="850" w:type="dxa"/>
          </w:tcPr>
          <w:p w14:paraId="5EBA7BE4" w14:textId="77777777" w:rsidR="007F02F0" w:rsidRDefault="007F02F0" w:rsidP="001F721B">
            <w:pPr>
              <w:spacing w:after="40"/>
              <w:jc w:val="center"/>
            </w:pPr>
            <w:r>
              <w:rPr>
                <w:b/>
                <w:sz w:val="18"/>
              </w:rPr>
              <w:t>Item No</w:t>
            </w:r>
          </w:p>
        </w:tc>
        <w:tc>
          <w:tcPr>
            <w:tcW w:w="4082" w:type="dxa"/>
          </w:tcPr>
          <w:p w14:paraId="332FBAA3" w14:textId="77777777" w:rsidR="007F02F0" w:rsidRDefault="007F02F0" w:rsidP="001F721B">
            <w:pPr>
              <w:spacing w:after="40"/>
            </w:pPr>
            <w:r>
              <w:rPr>
                <w:b/>
                <w:sz w:val="18"/>
              </w:rPr>
              <w:t>STROBE Checklist Item</w:t>
            </w:r>
          </w:p>
        </w:tc>
        <w:tc>
          <w:tcPr>
            <w:tcW w:w="1077" w:type="dxa"/>
          </w:tcPr>
          <w:p w14:paraId="4917CCC4" w14:textId="77777777" w:rsidR="007F02F0" w:rsidRDefault="007F02F0" w:rsidP="001F721B">
            <w:pPr>
              <w:spacing w:after="40"/>
              <w:jc w:val="center"/>
            </w:pPr>
            <w:r>
              <w:rPr>
                <w:b/>
                <w:sz w:val="18"/>
              </w:rPr>
              <w:t>Reported?</w:t>
            </w:r>
          </w:p>
        </w:tc>
        <w:tc>
          <w:tcPr>
            <w:tcW w:w="3515" w:type="dxa"/>
          </w:tcPr>
          <w:p w14:paraId="311754F8" w14:textId="77777777" w:rsidR="007F02F0" w:rsidRDefault="007F02F0" w:rsidP="001F721B">
            <w:pPr>
              <w:spacing w:after="40"/>
              <w:jc w:val="center"/>
            </w:pPr>
            <w:r>
              <w:rPr>
                <w:b/>
                <w:sz w:val="18"/>
              </w:rPr>
              <w:t>Manuscript Section</w:t>
            </w:r>
          </w:p>
        </w:tc>
      </w:tr>
      <w:tr w:rsidR="007F02F0" w14:paraId="1ED72C9D" w14:textId="77777777" w:rsidTr="001F721B">
        <w:trPr>
          <w:jc w:val="center"/>
        </w:trPr>
        <w:tc>
          <w:tcPr>
            <w:tcW w:w="8077" w:type="dxa"/>
            <w:gridSpan w:val="4"/>
          </w:tcPr>
          <w:p w14:paraId="56DE079E" w14:textId="77777777" w:rsidR="007F02F0" w:rsidRDefault="007F02F0" w:rsidP="001F721B">
            <w:pPr>
              <w:spacing w:after="40"/>
              <w:jc w:val="center"/>
            </w:pPr>
            <w:r>
              <w:rPr>
                <w:b/>
                <w:sz w:val="18"/>
              </w:rPr>
              <w:t>Title and Abstract</w:t>
            </w:r>
          </w:p>
        </w:tc>
      </w:tr>
      <w:tr w:rsidR="007F02F0" w14:paraId="4AEEA28B" w14:textId="77777777" w:rsidTr="001F721B">
        <w:trPr>
          <w:jc w:val="center"/>
        </w:trPr>
        <w:tc>
          <w:tcPr>
            <w:tcW w:w="850" w:type="dxa"/>
          </w:tcPr>
          <w:p w14:paraId="3FD7524F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4082" w:type="dxa"/>
          </w:tcPr>
          <w:p w14:paraId="427D8148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(a) Indicate the study's design with a commonly used term in the title or the abstract; (b) informative and balanced summary of what was done and what was found</w:t>
            </w:r>
          </w:p>
        </w:tc>
        <w:tc>
          <w:tcPr>
            <w:tcW w:w="1077" w:type="dxa"/>
          </w:tcPr>
          <w:p w14:paraId="63D5862A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1188DF63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Title; Abstract (Methods: single-center retrospective surgical cohort)</w:t>
            </w:r>
          </w:p>
        </w:tc>
      </w:tr>
      <w:tr w:rsidR="007F02F0" w14:paraId="59434457" w14:textId="77777777" w:rsidTr="001F721B">
        <w:trPr>
          <w:jc w:val="center"/>
        </w:trPr>
        <w:tc>
          <w:tcPr>
            <w:tcW w:w="8077" w:type="dxa"/>
            <w:gridSpan w:val="4"/>
          </w:tcPr>
          <w:p w14:paraId="3FDE9692" w14:textId="77777777" w:rsidR="007F02F0" w:rsidRDefault="007F02F0" w:rsidP="001F721B">
            <w:pPr>
              <w:spacing w:after="40"/>
              <w:jc w:val="center"/>
            </w:pPr>
            <w:r>
              <w:rPr>
                <w:b/>
                <w:sz w:val="18"/>
              </w:rPr>
              <w:t>Introduction</w:t>
            </w:r>
          </w:p>
        </w:tc>
      </w:tr>
      <w:tr w:rsidR="007F02F0" w14:paraId="6D68D5FD" w14:textId="77777777" w:rsidTr="001F721B">
        <w:trPr>
          <w:jc w:val="center"/>
        </w:trPr>
        <w:tc>
          <w:tcPr>
            <w:tcW w:w="850" w:type="dxa"/>
          </w:tcPr>
          <w:p w14:paraId="04A1ADA1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4082" w:type="dxa"/>
          </w:tcPr>
          <w:p w14:paraId="498E9BCE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 xml:space="preserve">Scientific background, rationale, and explanation of why the study question </w:t>
            </w:r>
            <w:proofErr w:type="gramStart"/>
            <w:r>
              <w:rPr>
                <w:sz w:val="18"/>
              </w:rPr>
              <w:t>matters</w:t>
            </w:r>
            <w:proofErr w:type="gramEnd"/>
          </w:p>
        </w:tc>
        <w:tc>
          <w:tcPr>
            <w:tcW w:w="1077" w:type="dxa"/>
          </w:tcPr>
          <w:p w14:paraId="7EFC0F04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26D8FCD9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Introduction, paragraphs 1–2</w:t>
            </w:r>
          </w:p>
        </w:tc>
      </w:tr>
      <w:tr w:rsidR="007F02F0" w14:paraId="59140477" w14:textId="77777777" w:rsidTr="001F721B">
        <w:trPr>
          <w:jc w:val="center"/>
        </w:trPr>
        <w:tc>
          <w:tcPr>
            <w:tcW w:w="850" w:type="dxa"/>
          </w:tcPr>
          <w:p w14:paraId="69E63DD9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4082" w:type="dxa"/>
          </w:tcPr>
          <w:p w14:paraId="40DFA03F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State specific objectives, including any prespecified hypotheses</w:t>
            </w:r>
          </w:p>
        </w:tc>
        <w:tc>
          <w:tcPr>
            <w:tcW w:w="1077" w:type="dxa"/>
          </w:tcPr>
          <w:p w14:paraId="5E1378BC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2C0BBB0F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Introduction, final paragraph</w:t>
            </w:r>
          </w:p>
        </w:tc>
      </w:tr>
      <w:tr w:rsidR="007F02F0" w14:paraId="39DC988D" w14:textId="77777777" w:rsidTr="001F721B">
        <w:trPr>
          <w:jc w:val="center"/>
        </w:trPr>
        <w:tc>
          <w:tcPr>
            <w:tcW w:w="8077" w:type="dxa"/>
            <w:gridSpan w:val="4"/>
          </w:tcPr>
          <w:p w14:paraId="6FFC3726" w14:textId="77777777" w:rsidR="007F02F0" w:rsidRDefault="007F02F0" w:rsidP="001F721B">
            <w:pPr>
              <w:spacing w:after="40"/>
              <w:jc w:val="center"/>
            </w:pPr>
            <w:r>
              <w:rPr>
                <w:b/>
                <w:sz w:val="18"/>
              </w:rPr>
              <w:t>Methods</w:t>
            </w:r>
          </w:p>
        </w:tc>
      </w:tr>
      <w:tr w:rsidR="007F02F0" w14:paraId="6F45ED22" w14:textId="77777777" w:rsidTr="001F721B">
        <w:trPr>
          <w:jc w:val="center"/>
        </w:trPr>
        <w:tc>
          <w:tcPr>
            <w:tcW w:w="850" w:type="dxa"/>
          </w:tcPr>
          <w:p w14:paraId="5ED53ADA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4082" w:type="dxa"/>
          </w:tcPr>
          <w:p w14:paraId="353FB109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Present key elements of study design</w:t>
            </w:r>
          </w:p>
        </w:tc>
        <w:tc>
          <w:tcPr>
            <w:tcW w:w="1077" w:type="dxa"/>
          </w:tcPr>
          <w:p w14:paraId="67777910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6D6C4FFF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Study design and participants</w:t>
            </w:r>
          </w:p>
        </w:tc>
      </w:tr>
      <w:tr w:rsidR="007F02F0" w14:paraId="3B77BC52" w14:textId="77777777" w:rsidTr="001F721B">
        <w:trPr>
          <w:jc w:val="center"/>
        </w:trPr>
        <w:tc>
          <w:tcPr>
            <w:tcW w:w="850" w:type="dxa"/>
          </w:tcPr>
          <w:p w14:paraId="68A72929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4082" w:type="dxa"/>
          </w:tcPr>
          <w:p w14:paraId="6FE2F4D1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Describe the setting, locations, and relevant dates, including periods of recruitment, follow-up, and data collection</w:t>
            </w:r>
          </w:p>
        </w:tc>
        <w:tc>
          <w:tcPr>
            <w:tcW w:w="1077" w:type="dxa"/>
          </w:tcPr>
          <w:p w14:paraId="70D6D77B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7D1576B3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Study design and participants (single center; August 2018–December 2024)</w:t>
            </w:r>
          </w:p>
        </w:tc>
      </w:tr>
      <w:tr w:rsidR="007F02F0" w14:paraId="00B8B5EF" w14:textId="77777777" w:rsidTr="001F721B">
        <w:trPr>
          <w:jc w:val="center"/>
        </w:trPr>
        <w:tc>
          <w:tcPr>
            <w:tcW w:w="850" w:type="dxa"/>
          </w:tcPr>
          <w:p w14:paraId="7B806309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4082" w:type="dxa"/>
          </w:tcPr>
          <w:p w14:paraId="07645AE4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(a) Cohort definition — give eligibility criteria and methods of selection; (b) for matched studies, matching criteria and number of exposed/unexposed</w:t>
            </w:r>
          </w:p>
        </w:tc>
        <w:tc>
          <w:tcPr>
            <w:tcW w:w="1077" w:type="dxa"/>
          </w:tcPr>
          <w:p w14:paraId="2FFF91CE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 (a)</w:t>
            </w:r>
          </w:p>
        </w:tc>
        <w:tc>
          <w:tcPr>
            <w:tcW w:w="3515" w:type="dxa"/>
          </w:tcPr>
          <w:p w14:paraId="7A894F6B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Study design and participants (complete cohort of 25 EUS-plus-surgery DIE patients; none excluded) — not a matched study</w:t>
            </w:r>
          </w:p>
        </w:tc>
      </w:tr>
      <w:tr w:rsidR="007F02F0" w14:paraId="185EB8FC" w14:textId="77777777" w:rsidTr="001F721B">
        <w:trPr>
          <w:jc w:val="center"/>
        </w:trPr>
        <w:tc>
          <w:tcPr>
            <w:tcW w:w="850" w:type="dxa"/>
          </w:tcPr>
          <w:p w14:paraId="49284141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4082" w:type="dxa"/>
          </w:tcPr>
          <w:p w14:paraId="285C33A2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Clearly define all outcomes, exposures, predictors, confounders, and effect modifiers</w:t>
            </w:r>
          </w:p>
        </w:tc>
        <w:tc>
          <w:tcPr>
            <w:tcW w:w="1077" w:type="dxa"/>
          </w:tcPr>
          <w:p w14:paraId="743584B2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44309F5E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EUS and surgical classifications; Perioperative variables; Paired MRI–EUS analysis</w:t>
            </w:r>
          </w:p>
        </w:tc>
      </w:tr>
      <w:tr w:rsidR="007F02F0" w14:paraId="7D645DBD" w14:textId="77777777" w:rsidTr="001F721B">
        <w:trPr>
          <w:jc w:val="center"/>
        </w:trPr>
        <w:tc>
          <w:tcPr>
            <w:tcW w:w="850" w:type="dxa"/>
          </w:tcPr>
          <w:p w14:paraId="04EB5B3D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4082" w:type="dxa"/>
          </w:tcPr>
          <w:p w14:paraId="5417F5C5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Describe any efforts to address potential sources of bias</w:t>
            </w:r>
          </w:p>
        </w:tc>
        <w:tc>
          <w:tcPr>
            <w:tcW w:w="1077" w:type="dxa"/>
          </w:tcPr>
          <w:p w14:paraId="363C72C4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480B87C5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Surgical management and decision-making; Discussion (EUS reports available to the treating team; report-based grading; operative-reference limitations)</w:t>
            </w:r>
          </w:p>
        </w:tc>
      </w:tr>
      <w:tr w:rsidR="007F02F0" w14:paraId="23F0FC4D" w14:textId="77777777" w:rsidTr="001F721B">
        <w:trPr>
          <w:jc w:val="center"/>
        </w:trPr>
        <w:tc>
          <w:tcPr>
            <w:tcW w:w="850" w:type="dxa"/>
          </w:tcPr>
          <w:p w14:paraId="0E6D1F50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4082" w:type="dxa"/>
          </w:tcPr>
          <w:p w14:paraId="0B56F916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Explain how the study size was arrived at</w:t>
            </w:r>
          </w:p>
        </w:tc>
        <w:tc>
          <w:tcPr>
            <w:tcW w:w="1077" w:type="dxa"/>
          </w:tcPr>
          <w:p w14:paraId="229E7D3D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35374223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Study design and participants; Statistical analysis (complete retrospective cohort, n=25; no formal sample-size calculation)</w:t>
            </w:r>
          </w:p>
        </w:tc>
      </w:tr>
      <w:tr w:rsidR="007F02F0" w14:paraId="590ACB67" w14:textId="77777777" w:rsidTr="001F721B">
        <w:trPr>
          <w:jc w:val="center"/>
        </w:trPr>
        <w:tc>
          <w:tcPr>
            <w:tcW w:w="850" w:type="dxa"/>
          </w:tcPr>
          <w:p w14:paraId="6F0BE9AA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4082" w:type="dxa"/>
          </w:tcPr>
          <w:p w14:paraId="37101AD7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Explain how quantitative variables were handled; if applicable, describe groupings</w:t>
            </w:r>
          </w:p>
        </w:tc>
        <w:tc>
          <w:tcPr>
            <w:tcW w:w="1077" w:type="dxa"/>
          </w:tcPr>
          <w:p w14:paraId="7FE27C26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2EC1BA0A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EUS and surgical classifications; Statistical analysis (ordinal grades 0–3; exploratory grouping 0–1 vs 2–3)</w:t>
            </w:r>
          </w:p>
        </w:tc>
      </w:tr>
      <w:tr w:rsidR="007F02F0" w14:paraId="0BAAF412" w14:textId="77777777" w:rsidTr="001F721B">
        <w:trPr>
          <w:jc w:val="center"/>
        </w:trPr>
        <w:tc>
          <w:tcPr>
            <w:tcW w:w="850" w:type="dxa"/>
          </w:tcPr>
          <w:p w14:paraId="0E2A09FC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4082" w:type="dxa"/>
          </w:tcPr>
          <w:p w14:paraId="7DCDBAAC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If applicable, describe how loss to follow-up, missing data, and non-response were addressed</w:t>
            </w:r>
          </w:p>
        </w:tc>
        <w:tc>
          <w:tcPr>
            <w:tcW w:w="1077" w:type="dxa"/>
          </w:tcPr>
          <w:p w14:paraId="587F462E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25B4298E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Paired MRI–EUS analysis; Statistical analysis (21 paired examinations; complete-case paired analysis; no imputation)</w:t>
            </w:r>
          </w:p>
        </w:tc>
      </w:tr>
      <w:tr w:rsidR="007F02F0" w14:paraId="04A0EBFE" w14:textId="77777777" w:rsidTr="001F721B">
        <w:trPr>
          <w:jc w:val="center"/>
        </w:trPr>
        <w:tc>
          <w:tcPr>
            <w:tcW w:w="850" w:type="dxa"/>
          </w:tcPr>
          <w:p w14:paraId="386214F5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4082" w:type="dxa"/>
          </w:tcPr>
          <w:p w14:paraId="25CABA3F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(a) Describe all statistical methods, including confounder control; (b) subgroups, interactions, sensitivity analyses</w:t>
            </w:r>
          </w:p>
        </w:tc>
        <w:tc>
          <w:tcPr>
            <w:tcW w:w="1077" w:type="dxa"/>
          </w:tcPr>
          <w:p w14:paraId="6D57C20D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5ABC4B48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Statistical analysis (primary Spearman association; Fisher, Mann–Whitney, Kruskal–Wallis, exact McNemar; post hoc ROC/Youden analysis in Online Resources 1 and 3; malignant-transformation sensitivity analysis; no multiplicity adjustment)</w:t>
            </w:r>
          </w:p>
        </w:tc>
      </w:tr>
      <w:tr w:rsidR="007F02F0" w14:paraId="47FFACF8" w14:textId="77777777" w:rsidTr="001F721B">
        <w:trPr>
          <w:jc w:val="center"/>
        </w:trPr>
        <w:tc>
          <w:tcPr>
            <w:tcW w:w="8077" w:type="dxa"/>
            <w:gridSpan w:val="4"/>
          </w:tcPr>
          <w:p w14:paraId="2C8A12CA" w14:textId="77777777" w:rsidR="007F02F0" w:rsidRDefault="007F02F0" w:rsidP="001F721B">
            <w:pPr>
              <w:spacing w:after="40"/>
              <w:jc w:val="center"/>
            </w:pPr>
            <w:r>
              <w:rPr>
                <w:b/>
                <w:sz w:val="18"/>
              </w:rPr>
              <w:t>Results</w:t>
            </w:r>
          </w:p>
        </w:tc>
      </w:tr>
      <w:tr w:rsidR="007F02F0" w14:paraId="67088C18" w14:textId="77777777" w:rsidTr="001F721B">
        <w:trPr>
          <w:jc w:val="center"/>
        </w:trPr>
        <w:tc>
          <w:tcPr>
            <w:tcW w:w="850" w:type="dxa"/>
          </w:tcPr>
          <w:p w14:paraId="369B7AEA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4082" w:type="dxa"/>
          </w:tcPr>
          <w:p w14:paraId="05C72E2A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(a) Report numbers of individuals at each stage; (b) flow diagram</w:t>
            </w:r>
          </w:p>
        </w:tc>
        <w:tc>
          <w:tcPr>
            <w:tcW w:w="1077" w:type="dxa"/>
          </w:tcPr>
          <w:p w14:paraId="4542BBDA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 (a)</w:t>
            </w:r>
          </w:p>
        </w:tc>
        <w:tc>
          <w:tcPr>
            <w:tcW w:w="3515" w:type="dxa"/>
          </w:tcPr>
          <w:p w14:paraId="2C2D75AF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Study design and participants; Results, Patient characteristics and surgical management (25 included; 21 with paired MRI–EUS) — complete cohort with zero exclusions</w:t>
            </w:r>
          </w:p>
        </w:tc>
      </w:tr>
      <w:tr w:rsidR="007F02F0" w14:paraId="73003085" w14:textId="77777777" w:rsidTr="001F721B">
        <w:trPr>
          <w:jc w:val="center"/>
        </w:trPr>
        <w:tc>
          <w:tcPr>
            <w:tcW w:w="850" w:type="dxa"/>
          </w:tcPr>
          <w:p w14:paraId="4DF36689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4082" w:type="dxa"/>
          </w:tcPr>
          <w:p w14:paraId="0DB16C3D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(a) Descriptive data — characteristics of participants; (b) indications of numbers of outcome events or summary measures</w:t>
            </w:r>
          </w:p>
        </w:tc>
        <w:tc>
          <w:tcPr>
            <w:tcW w:w="1077" w:type="dxa"/>
          </w:tcPr>
          <w:p w14:paraId="6A922B29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048EBD48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Patient characteristics and surgical management; Tables 1–2</w:t>
            </w:r>
          </w:p>
        </w:tc>
      </w:tr>
      <w:tr w:rsidR="007F02F0" w14:paraId="304DD10A" w14:textId="77777777" w:rsidTr="001F721B">
        <w:trPr>
          <w:jc w:val="center"/>
        </w:trPr>
        <w:tc>
          <w:tcPr>
            <w:tcW w:w="850" w:type="dxa"/>
          </w:tcPr>
          <w:p w14:paraId="69525573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4082" w:type="dxa"/>
          </w:tcPr>
          <w:p w14:paraId="16A515CA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Outcome data — report numbers of outcome events or summary measures</w:t>
            </w:r>
          </w:p>
        </w:tc>
        <w:tc>
          <w:tcPr>
            <w:tcW w:w="1077" w:type="dxa"/>
          </w:tcPr>
          <w:p w14:paraId="5641A745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2FBAE772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Association between EUS grade and surgical management; Perioperative outcomes; Paired EUS–MRI findings; Online Resources 1 and 3</w:t>
            </w:r>
          </w:p>
        </w:tc>
      </w:tr>
      <w:tr w:rsidR="007F02F0" w14:paraId="51C299B0" w14:textId="77777777" w:rsidTr="001F721B">
        <w:trPr>
          <w:jc w:val="center"/>
        </w:trPr>
        <w:tc>
          <w:tcPr>
            <w:tcW w:w="850" w:type="dxa"/>
          </w:tcPr>
          <w:p w14:paraId="34593131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4082" w:type="dxa"/>
          </w:tcPr>
          <w:p w14:paraId="5CC1065B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(a) Unadjusted estimates and, if applicable, confounder-adjusted estimates; (b) report categories/grade categories when relevant; (c) consider translating relative risk to absolute risk</w:t>
            </w:r>
          </w:p>
        </w:tc>
        <w:tc>
          <w:tcPr>
            <w:tcW w:w="1077" w:type="dxa"/>
          </w:tcPr>
          <w:p w14:paraId="741DBDED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340C2A61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Association between EUS grade and surgical management (10/16 [62.5%] vs 0/9 [0%] with exact confidence intervals); Statistical analysis (no confounder adjustment)</w:t>
            </w:r>
          </w:p>
        </w:tc>
      </w:tr>
      <w:tr w:rsidR="007F02F0" w14:paraId="4AA9BEBE" w14:textId="77777777" w:rsidTr="001F721B">
        <w:trPr>
          <w:jc w:val="center"/>
        </w:trPr>
        <w:tc>
          <w:tcPr>
            <w:tcW w:w="850" w:type="dxa"/>
          </w:tcPr>
          <w:p w14:paraId="318ED599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lastRenderedPageBreak/>
              <w:t>17</w:t>
            </w:r>
          </w:p>
        </w:tc>
        <w:tc>
          <w:tcPr>
            <w:tcW w:w="4082" w:type="dxa"/>
          </w:tcPr>
          <w:p w14:paraId="4FA50E32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Report other analyses done — subgroup/sensitivity</w:t>
            </w:r>
          </w:p>
        </w:tc>
        <w:tc>
          <w:tcPr>
            <w:tcW w:w="1077" w:type="dxa"/>
          </w:tcPr>
          <w:p w14:paraId="0A1E762D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4DA83FF0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Perioperative outcomes (four-grade analyses; segmental-resection comparison; malignant-transformation sensitivity analysis); Supplementary ROC analysis</w:t>
            </w:r>
          </w:p>
        </w:tc>
      </w:tr>
      <w:tr w:rsidR="007F02F0" w14:paraId="4C8A37BC" w14:textId="77777777" w:rsidTr="001F721B">
        <w:trPr>
          <w:jc w:val="center"/>
        </w:trPr>
        <w:tc>
          <w:tcPr>
            <w:tcW w:w="8077" w:type="dxa"/>
            <w:gridSpan w:val="4"/>
          </w:tcPr>
          <w:p w14:paraId="6D074FB8" w14:textId="77777777" w:rsidR="007F02F0" w:rsidRDefault="007F02F0" w:rsidP="001F721B">
            <w:pPr>
              <w:spacing w:after="40"/>
              <w:jc w:val="center"/>
            </w:pPr>
            <w:r>
              <w:rPr>
                <w:b/>
                <w:sz w:val="18"/>
              </w:rPr>
              <w:t>Discussion</w:t>
            </w:r>
          </w:p>
        </w:tc>
      </w:tr>
      <w:tr w:rsidR="007F02F0" w14:paraId="453886C4" w14:textId="77777777" w:rsidTr="001F721B">
        <w:trPr>
          <w:jc w:val="center"/>
        </w:trPr>
        <w:tc>
          <w:tcPr>
            <w:tcW w:w="850" w:type="dxa"/>
          </w:tcPr>
          <w:p w14:paraId="6D8904BB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4082" w:type="dxa"/>
          </w:tcPr>
          <w:p w14:paraId="3C87672E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Summarize key results with reference to study objectives</w:t>
            </w:r>
          </w:p>
        </w:tc>
        <w:tc>
          <w:tcPr>
            <w:tcW w:w="1077" w:type="dxa"/>
          </w:tcPr>
          <w:p w14:paraId="318E2342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34EB62C2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Discussion, paragraph 1</w:t>
            </w:r>
          </w:p>
        </w:tc>
      </w:tr>
      <w:tr w:rsidR="007F02F0" w14:paraId="03C75B83" w14:textId="77777777" w:rsidTr="001F721B">
        <w:trPr>
          <w:jc w:val="center"/>
        </w:trPr>
        <w:tc>
          <w:tcPr>
            <w:tcW w:w="850" w:type="dxa"/>
          </w:tcPr>
          <w:p w14:paraId="2496E253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4082" w:type="dxa"/>
          </w:tcPr>
          <w:p w14:paraId="4B754AD1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Discuss limitations, considering sources of potential bias or imprecision, and, if relevant, discuss multiplicity</w:t>
            </w:r>
          </w:p>
        </w:tc>
        <w:tc>
          <w:tcPr>
            <w:tcW w:w="1077" w:type="dxa"/>
          </w:tcPr>
          <w:p w14:paraId="6DC40465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13E99A0B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Discussion, final paragraph</w:t>
            </w:r>
          </w:p>
        </w:tc>
      </w:tr>
      <w:tr w:rsidR="007F02F0" w14:paraId="43039E01" w14:textId="77777777" w:rsidTr="001F721B">
        <w:trPr>
          <w:jc w:val="center"/>
        </w:trPr>
        <w:tc>
          <w:tcPr>
            <w:tcW w:w="850" w:type="dxa"/>
          </w:tcPr>
          <w:p w14:paraId="120E56F5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4082" w:type="dxa"/>
          </w:tcPr>
          <w:p w14:paraId="4B2AA87B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Give a cautious overall interpretation considering objectives, limitations, multiplicity, and results from similar studies</w:t>
            </w:r>
          </w:p>
        </w:tc>
        <w:tc>
          <w:tcPr>
            <w:tcW w:w="1077" w:type="dxa"/>
          </w:tcPr>
          <w:p w14:paraId="3E8E485B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737AA472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Discussion; Conclusion</w:t>
            </w:r>
          </w:p>
        </w:tc>
      </w:tr>
      <w:tr w:rsidR="007F02F0" w14:paraId="06565591" w14:textId="77777777" w:rsidTr="001F721B">
        <w:trPr>
          <w:jc w:val="center"/>
        </w:trPr>
        <w:tc>
          <w:tcPr>
            <w:tcW w:w="850" w:type="dxa"/>
          </w:tcPr>
          <w:p w14:paraId="7CD1581D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4082" w:type="dxa"/>
          </w:tcPr>
          <w:p w14:paraId="062E42E1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Discuss the generalizability (external validity)</w:t>
            </w:r>
          </w:p>
        </w:tc>
        <w:tc>
          <w:tcPr>
            <w:tcW w:w="1077" w:type="dxa"/>
          </w:tcPr>
          <w:p w14:paraId="37C86C68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✓</w:t>
            </w:r>
          </w:p>
        </w:tc>
        <w:tc>
          <w:tcPr>
            <w:tcW w:w="3515" w:type="dxa"/>
          </w:tcPr>
          <w:p w14:paraId="1EF3B43D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Discussion, final paragraph</w:t>
            </w:r>
          </w:p>
        </w:tc>
      </w:tr>
      <w:tr w:rsidR="007F02F0" w14:paraId="3258D506" w14:textId="77777777" w:rsidTr="001F721B">
        <w:trPr>
          <w:jc w:val="center"/>
        </w:trPr>
        <w:tc>
          <w:tcPr>
            <w:tcW w:w="8077" w:type="dxa"/>
            <w:gridSpan w:val="4"/>
          </w:tcPr>
          <w:p w14:paraId="391D4124" w14:textId="77777777" w:rsidR="007F02F0" w:rsidRDefault="007F02F0" w:rsidP="001F721B">
            <w:pPr>
              <w:spacing w:after="40"/>
              <w:jc w:val="center"/>
            </w:pPr>
            <w:r>
              <w:rPr>
                <w:b/>
                <w:sz w:val="18"/>
              </w:rPr>
              <w:t>Other information</w:t>
            </w:r>
          </w:p>
        </w:tc>
      </w:tr>
      <w:tr w:rsidR="007F02F0" w14:paraId="5B1A2D2C" w14:textId="77777777" w:rsidTr="001F721B">
        <w:trPr>
          <w:jc w:val="center"/>
        </w:trPr>
        <w:tc>
          <w:tcPr>
            <w:tcW w:w="850" w:type="dxa"/>
          </w:tcPr>
          <w:p w14:paraId="14F123F2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4082" w:type="dxa"/>
          </w:tcPr>
          <w:p w14:paraId="01FCA973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Give the source of funding and role of funders; if none, state so</w:t>
            </w:r>
          </w:p>
        </w:tc>
        <w:tc>
          <w:tcPr>
            <w:tcW w:w="1077" w:type="dxa"/>
          </w:tcPr>
          <w:p w14:paraId="54FD4C89" w14:textId="77777777" w:rsidR="007F02F0" w:rsidRDefault="007F02F0" w:rsidP="001F721B">
            <w:pPr>
              <w:spacing w:after="40"/>
              <w:jc w:val="center"/>
            </w:pPr>
            <w:r>
              <w:rPr>
                <w:sz w:val="18"/>
              </w:rPr>
              <w:t>See Declarations</w:t>
            </w:r>
          </w:p>
        </w:tc>
        <w:tc>
          <w:tcPr>
            <w:tcW w:w="3515" w:type="dxa"/>
          </w:tcPr>
          <w:p w14:paraId="146E009C" w14:textId="77777777" w:rsidR="007F02F0" w:rsidRDefault="007F02F0" w:rsidP="001F721B">
            <w:pPr>
              <w:spacing w:after="40"/>
            </w:pPr>
            <w:r>
              <w:rPr>
                <w:sz w:val="18"/>
              </w:rPr>
              <w:t>Funding: Shaanxi Provincial Key Industry Innovation Chain Fund (2024SF-ZDCYL-01-17) and Shaanxi Provincial Health Commission Scientific Research and Innovation Fund (2023PT-07). The funders had no role in the design or conduct of the study; the collection, analysis, or interpretation of the data; or the decision to submit the manuscript for publication. The funders reviewed and edited an earlier draft; the authors retained full responsibility for the final content and the decision to publish.</w:t>
            </w:r>
          </w:p>
        </w:tc>
      </w:tr>
    </w:tbl>
    <w:p w14:paraId="1643DC49" w14:textId="77777777" w:rsidR="007F02F0" w:rsidRDefault="007F02F0" w:rsidP="007F02F0"/>
    <w:p w14:paraId="44669431" w14:textId="77777777" w:rsidR="007F02F0" w:rsidRDefault="007F02F0" w:rsidP="007F02F0">
      <w:r>
        <w:rPr>
          <w:b/>
          <w:sz w:val="22"/>
        </w:rPr>
        <w:t>Notes for the editorial office</w:t>
      </w:r>
    </w:p>
    <w:p w14:paraId="2E4FF411" w14:textId="77777777" w:rsidR="007F02F0" w:rsidRDefault="007F02F0" w:rsidP="007F02F0">
      <w:pPr>
        <w:pStyle w:val="a"/>
        <w:tabs>
          <w:tab w:val="num" w:pos="360"/>
        </w:tabs>
        <w:ind w:left="360" w:hanging="360"/>
      </w:pPr>
      <w:r>
        <w:rPr>
          <w:sz w:val="18"/>
        </w:rPr>
        <w:t xml:space="preserve">The study is a </w:t>
      </w:r>
      <w:r>
        <w:rPr>
          <w:b/>
          <w:sz w:val="18"/>
        </w:rPr>
        <w:t>retrospective single-center surgical cohort</w:t>
      </w:r>
      <w:r>
        <w:rPr>
          <w:sz w:val="18"/>
        </w:rPr>
        <w:t>. It includes all identified patients who met the EUS-plus-surgery eligibility criteria during the study period, with zero exclusions; a participant flow diagram was therefore not used.</w:t>
      </w:r>
    </w:p>
    <w:p w14:paraId="4C5308F7" w14:textId="77777777" w:rsidR="007F02F0" w:rsidRDefault="007F02F0" w:rsidP="007F02F0">
      <w:pPr>
        <w:pStyle w:val="a"/>
        <w:tabs>
          <w:tab w:val="num" w:pos="360"/>
        </w:tabs>
        <w:ind w:left="360" w:hanging="360"/>
      </w:pPr>
      <w:r>
        <w:rPr>
          <w:sz w:val="18"/>
        </w:rPr>
        <w:t>EUS wall-layer grade and surgical-management grade describe different clinical constructs. The primary analysis evaluates their ordinal association; it is not an agreement study against an independent diagnostic reference standard.</w:t>
      </w:r>
    </w:p>
    <w:p w14:paraId="288BCEF0" w14:textId="77777777" w:rsidR="007F02F0" w:rsidRDefault="007F02F0" w:rsidP="007F02F0">
      <w:pPr>
        <w:pStyle w:val="a"/>
        <w:tabs>
          <w:tab w:val="num" w:pos="360"/>
        </w:tabs>
        <w:ind w:left="360" w:hanging="360"/>
      </w:pPr>
      <w:r>
        <w:rPr>
          <w:sz w:val="18"/>
        </w:rPr>
        <w:t>Treating clinicians had access to the EUS reports. This incorporation within routine clinical decision-making is described in Methods and considered in the Discussion.</w:t>
      </w:r>
    </w:p>
    <w:p w14:paraId="168E938C" w14:textId="77777777" w:rsidR="007F02F0" w:rsidRDefault="007F02F0" w:rsidP="007F02F0">
      <w:pPr>
        <w:pStyle w:val="a"/>
        <w:tabs>
          <w:tab w:val="num" w:pos="360"/>
        </w:tabs>
        <w:ind w:left="360" w:hanging="360"/>
      </w:pPr>
      <w:r>
        <w:rPr>
          <w:sz w:val="18"/>
        </w:rPr>
        <w:t>In the paired MRI–EUS subgroup, all 21 patients met the operative reference definition of rectosigmoid involvement. The comparison therefore reports the proportion in whom each modality identified involvement; it cannot estimate specificity, negative predictive value, or overall diagnostic accuracy.</w:t>
      </w:r>
    </w:p>
    <w:p w14:paraId="76BF2AD6" w14:textId="77777777" w:rsidR="007F02F0" w:rsidRDefault="007F02F0" w:rsidP="007F02F0">
      <w:pPr>
        <w:pStyle w:val="a"/>
        <w:tabs>
          <w:tab w:val="num" w:pos="360"/>
        </w:tabs>
        <w:ind w:left="360" w:hanging="360"/>
      </w:pPr>
      <w:r>
        <w:rPr>
          <w:sz w:val="18"/>
        </w:rPr>
        <w:t>The ROC analysis was post hoc, internally derived in the same cohort, and reported as supplementary exploratory material.</w:t>
      </w:r>
    </w:p>
    <w:p w14:paraId="1EDB50CD" w14:textId="77777777" w:rsidR="007F02F0" w:rsidRDefault="007F02F0" w:rsidP="007F02F0">
      <w:pPr>
        <w:pStyle w:val="a"/>
        <w:tabs>
          <w:tab w:val="num" w:pos="360"/>
        </w:tabs>
        <w:ind w:left="360" w:hanging="360"/>
      </w:pPr>
      <w:r>
        <w:rPr>
          <w:sz w:val="18"/>
        </w:rPr>
        <w:t>Ethics approval: Ethics Committee of the First Affiliated Hospital of the Air Force Medical University, approval number KY20252314-C-1; the requirement for informed consent was waived owing to the retrospective design.</w:t>
      </w:r>
    </w:p>
    <w:p w14:paraId="5EB78217" w14:textId="77777777" w:rsidR="007F02F0" w:rsidRDefault="007F02F0" w:rsidP="007F02F0">
      <w:pPr>
        <w:pStyle w:val="a"/>
        <w:tabs>
          <w:tab w:val="num" w:pos="360"/>
        </w:tabs>
        <w:ind w:left="360" w:hanging="360"/>
      </w:pPr>
      <w:r>
        <w:rPr>
          <w:sz w:val="18"/>
        </w:rPr>
        <w:t xml:space="preserve">Surgical-management grade definitions: grade 0 = no therapeutic bowel-wall treatment (bowel-sparing; </w:t>
      </w:r>
      <w:proofErr w:type="spellStart"/>
      <w:r>
        <w:rPr>
          <w:sz w:val="18"/>
        </w:rPr>
        <w:t>adhesiolysis</w:t>
      </w:r>
      <w:proofErr w:type="spellEnd"/>
      <w:r>
        <w:rPr>
          <w:sz w:val="18"/>
        </w:rPr>
        <w:t xml:space="preserve"> or mobilization alone allowed); grade 1 = bowel-wall treatment without resection; grade 2 = discoid, disc, or local bowel-wall resection with repair; grade 3 = segmental bowel resection with restoration of bowel continuity. This scale reflects the actual bowel-wall intervention rather than the operative approach.</w:t>
      </w:r>
    </w:p>
    <w:p w14:paraId="3C37ACCE" w14:textId="77777777" w:rsidR="00075CB2" w:rsidRDefault="00075CB2">
      <w:pPr>
        <w:rPr>
          <w:rFonts w:hint="eastAsia"/>
        </w:rPr>
      </w:pPr>
    </w:p>
    <w:sectPr w:rsidR="00075CB2" w:rsidSect="007F02F0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D5E5BB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585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2F0"/>
    <w:rsid w:val="00075CB2"/>
    <w:rsid w:val="007F02F0"/>
    <w:rsid w:val="00951F38"/>
    <w:rsid w:val="00B340F6"/>
    <w:rsid w:val="00DE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685A5"/>
  <w15:chartTrackingRefBased/>
  <w15:docId w15:val="{6767605D-0EBE-4C78-9EC1-8D97A903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F02F0"/>
    <w:pPr>
      <w:spacing w:after="80"/>
    </w:pPr>
    <w:rPr>
      <w:rFonts w:ascii="Times New Roman" w:eastAsia="Times New Roman" w:hAnsi="Times New Roman"/>
      <w:kern w:val="0"/>
      <w:sz w:val="20"/>
      <w:lang w:eastAsia="en-US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7F02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7F02F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F02F0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7F02F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F02F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F02F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F02F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F02F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F02F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7F02F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7F02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7F02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7F02F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7F02F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rsid w:val="007F02F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7F02F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7F02F0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7F02F0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0"/>
    <w:next w:val="a0"/>
    <w:link w:val="a5"/>
    <w:uiPriority w:val="10"/>
    <w:qFormat/>
    <w:rsid w:val="007F02F0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1"/>
    <w:link w:val="a4"/>
    <w:uiPriority w:val="10"/>
    <w:rsid w:val="007F0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F02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1"/>
    <w:link w:val="a6"/>
    <w:uiPriority w:val="11"/>
    <w:rsid w:val="007F02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F02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1"/>
    <w:link w:val="a8"/>
    <w:uiPriority w:val="29"/>
    <w:rsid w:val="007F02F0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7F02F0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F02F0"/>
    <w:rPr>
      <w:i/>
      <w:iCs/>
      <w:color w:val="2F5496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F02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1"/>
    <w:link w:val="ac"/>
    <w:uiPriority w:val="30"/>
    <w:rsid w:val="007F02F0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7F02F0"/>
    <w:rPr>
      <w:b/>
      <w:bCs/>
      <w:smallCaps/>
      <w:color w:val="2F5496" w:themeColor="accent1" w:themeShade="BF"/>
      <w:spacing w:val="5"/>
    </w:rPr>
  </w:style>
  <w:style w:type="paragraph" w:styleId="a">
    <w:name w:val="List Bullet"/>
    <w:basedOn w:val="a0"/>
    <w:uiPriority w:val="99"/>
    <w:unhideWhenUsed/>
    <w:rsid w:val="007F02F0"/>
    <w:pPr>
      <w:numPr>
        <w:numId w:val="1"/>
      </w:numPr>
      <w:tabs>
        <w:tab w:val="clear" w:pos="360"/>
      </w:tabs>
      <w:ind w:left="0" w:firstLine="0"/>
      <w:contextualSpacing/>
    </w:pPr>
  </w:style>
  <w:style w:type="table" w:styleId="af">
    <w:name w:val="Table Grid"/>
    <w:basedOn w:val="a2"/>
    <w:uiPriority w:val="59"/>
    <w:rsid w:val="007F02F0"/>
    <w:rPr>
      <w:kern w:val="0"/>
      <w:sz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930</Words>
  <Characters>5973</Characters>
  <Application>Microsoft Office Word</Application>
  <DocSecurity>0</DocSecurity>
  <Lines>199</Lines>
  <Paragraphs>125</Paragraphs>
  <ScaleCrop>false</ScaleCrop>
  <Company/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koki K</dc:creator>
  <cp:keywords/>
  <dc:description/>
  <cp:lastModifiedBy>koki K</cp:lastModifiedBy>
  <cp:revision>1</cp:revision>
  <dcterms:created xsi:type="dcterms:W3CDTF">2026-09-09T02:45:00Z</dcterms:created>
  <dcterms:modified xsi:type="dcterms:W3CDTF">2026-09-09T02:46:00Z</dcterms:modified>
</cp:coreProperties>
</file>