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E37D7" w14:textId="4B84570D" w:rsidR="006F2DC4" w:rsidRPr="00827E2F" w:rsidRDefault="006F2DC4" w:rsidP="006F2DC4">
      <w:pPr>
        <w:rPr>
          <w:rFonts w:ascii="Calibri" w:hAnsi="Calibri" w:cs="Calibri"/>
          <w:b/>
          <w:bCs/>
          <w:sz w:val="24"/>
          <w:szCs w:val="24"/>
          <w:lang w:eastAsia="ja-JP"/>
        </w:rPr>
      </w:pPr>
      <w:r w:rsidRPr="00827E2F">
        <w:rPr>
          <w:rFonts w:ascii="Calibri" w:hAnsi="Calibri" w:cs="Calibri"/>
          <w:b/>
          <w:bCs/>
          <w:sz w:val="24"/>
          <w:szCs w:val="24"/>
          <w:lang w:eastAsia="ja-JP"/>
        </w:rPr>
        <w:t>Supplementary data</w:t>
      </w:r>
    </w:p>
    <w:p w14:paraId="0D284A29" w14:textId="77777777" w:rsidR="006F2DC4" w:rsidRPr="00827E2F" w:rsidRDefault="006F2DC4" w:rsidP="006F2DC4">
      <w:pPr>
        <w:rPr>
          <w:rFonts w:ascii="Calibri" w:hAnsi="Calibri" w:cs="Calibri"/>
          <w:sz w:val="24"/>
          <w:szCs w:val="24"/>
          <w:lang w:eastAsia="ja-JP"/>
        </w:rPr>
      </w:pPr>
    </w:p>
    <w:p w14:paraId="34B522CB" w14:textId="5CB0FEB5" w:rsidR="006F2DC4" w:rsidRPr="00827E2F" w:rsidRDefault="006F2DC4" w:rsidP="006F2DC4">
      <w:pPr>
        <w:rPr>
          <w:rFonts w:ascii="Calibri" w:hAnsi="Calibri" w:cs="Calibri"/>
          <w:b/>
          <w:bCs/>
          <w:sz w:val="24"/>
          <w:szCs w:val="24"/>
          <w:lang w:eastAsia="ja-JP"/>
        </w:rPr>
      </w:pPr>
      <w:r w:rsidRPr="00827E2F">
        <w:rPr>
          <w:rFonts w:ascii="Calibri" w:hAnsi="Calibri" w:cs="Calibri"/>
          <w:b/>
          <w:bCs/>
          <w:sz w:val="24"/>
          <w:szCs w:val="24"/>
          <w:lang w:eastAsia="ja-JP"/>
        </w:rPr>
        <w:t>Supplementary methods: attrition analysis</w:t>
      </w:r>
    </w:p>
    <w:p w14:paraId="5ED47C7E" w14:textId="77777777" w:rsidR="006F2DC4" w:rsidRPr="00827E2F" w:rsidRDefault="006F2DC4" w:rsidP="006F2DC4">
      <w:pPr>
        <w:rPr>
          <w:rFonts w:ascii="Calibri" w:hAnsi="Calibri" w:cs="Calibri"/>
          <w:sz w:val="24"/>
          <w:szCs w:val="24"/>
        </w:rPr>
      </w:pPr>
      <w:r w:rsidRPr="00827E2F">
        <w:rPr>
          <w:rFonts w:ascii="Calibri" w:hAnsi="Calibri" w:cs="Calibri"/>
          <w:sz w:val="24"/>
          <w:szCs w:val="24"/>
        </w:rPr>
        <w:t xml:space="preserve">The 93 allocation numbers represented in the individual-level 2nd-to-3rd survey analysis dataset were matched to the 208-person baseline/immediate analysis dataset and to the baseline </w:t>
      </w:r>
      <w:proofErr w:type="spellStart"/>
      <w:r w:rsidRPr="00827E2F">
        <w:rPr>
          <w:rFonts w:ascii="Calibri" w:hAnsi="Calibri" w:cs="Calibri"/>
          <w:sz w:val="24"/>
          <w:szCs w:val="24"/>
        </w:rPr>
        <w:t>programme</w:t>
      </w:r>
      <w:proofErr w:type="spellEnd"/>
      <w:r w:rsidRPr="00827E2F">
        <w:rPr>
          <w:rFonts w:ascii="Calibri" w:hAnsi="Calibri" w:cs="Calibri"/>
          <w:sz w:val="24"/>
          <w:szCs w:val="24"/>
        </w:rPr>
        <w:t xml:space="preserve"> questionnaire. Participants present in the 3-month dataset were classified as completers; the remaining 115 were classified as non-completers. The comparison is intended to assess observable baseline imbalance and does not eliminate the possibility of attrition bias from unmeasured characteristics.</w:t>
      </w:r>
    </w:p>
    <w:p w14:paraId="5A6A500B" w14:textId="77777777" w:rsidR="006F2DC4" w:rsidRPr="00827E2F" w:rsidRDefault="006F2DC4" w:rsidP="00446BC5">
      <w:pPr>
        <w:rPr>
          <w:rFonts w:ascii="Calibri" w:hAnsi="Calibri" w:cs="Calibri"/>
          <w:b/>
          <w:bCs/>
          <w:sz w:val="24"/>
          <w:szCs w:val="24"/>
          <w:lang w:eastAsia="ja-JP"/>
        </w:rPr>
      </w:pPr>
    </w:p>
    <w:p w14:paraId="64E3B20C" w14:textId="77777777" w:rsidR="006F2DC4" w:rsidRPr="00827E2F" w:rsidRDefault="006F2DC4" w:rsidP="006F2DC4">
      <w:pPr>
        <w:rPr>
          <w:rFonts w:ascii="Calibri" w:hAnsi="Calibri" w:cs="Calibri"/>
          <w:b/>
          <w:bCs/>
          <w:sz w:val="24"/>
          <w:szCs w:val="24"/>
          <w:lang w:eastAsia="ja-JP"/>
        </w:rPr>
      </w:pPr>
      <w:r w:rsidRPr="00827E2F">
        <w:rPr>
          <w:rFonts w:ascii="Calibri" w:hAnsi="Calibri" w:cs="Calibri"/>
          <w:b/>
          <w:bCs/>
          <w:sz w:val="24"/>
          <w:szCs w:val="24"/>
          <w:lang w:eastAsia="ja-JP"/>
        </w:rPr>
        <w:t xml:space="preserve">Supplementary Table S1. </w:t>
      </w:r>
      <w:r w:rsidRPr="00827E2F">
        <w:rPr>
          <w:rFonts w:ascii="Calibri" w:hAnsi="Calibri" w:cs="Calibri"/>
          <w:b/>
          <w:bCs/>
          <w:sz w:val="24"/>
          <w:szCs w:val="24"/>
        </w:rPr>
        <w:t>Baseline characteristics of 3-month follow-up completers and non-completers</w:t>
      </w:r>
    </w:p>
    <w:tbl>
      <w:tblPr>
        <w:tblStyle w:val="a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2"/>
        <w:gridCol w:w="2222"/>
        <w:gridCol w:w="2268"/>
        <w:gridCol w:w="992"/>
        <w:gridCol w:w="992"/>
      </w:tblGrid>
      <w:tr w:rsidR="006F2DC4" w:rsidRPr="00827E2F" w14:paraId="01F81F03" w14:textId="77777777" w:rsidTr="008E39B0">
        <w:trPr>
          <w:jc w:val="center"/>
        </w:trPr>
        <w:tc>
          <w:tcPr>
            <w:tcW w:w="37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32621C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Baseline variable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EA874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3-month completers (n=93)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5507C8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Non-completers (n=115)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18850E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P value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B55E87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SMD</w:t>
            </w:r>
          </w:p>
        </w:tc>
      </w:tr>
      <w:tr w:rsidR="006F2DC4" w:rsidRPr="00827E2F" w14:paraId="56AF5D2E" w14:textId="77777777" w:rsidTr="008E39B0">
        <w:trPr>
          <w:jc w:val="center"/>
        </w:trPr>
        <w:tc>
          <w:tcPr>
            <w:tcW w:w="3732" w:type="dxa"/>
            <w:tcBorders>
              <w:top w:val="single" w:sz="4" w:space="0" w:color="auto"/>
            </w:tcBorders>
            <w:vAlign w:val="center"/>
          </w:tcPr>
          <w:p w14:paraId="26CA71E2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Age, years</w:t>
            </w:r>
          </w:p>
        </w:tc>
        <w:tc>
          <w:tcPr>
            <w:tcW w:w="2222" w:type="dxa"/>
            <w:tcBorders>
              <w:top w:val="single" w:sz="4" w:space="0" w:color="auto"/>
            </w:tcBorders>
            <w:vAlign w:val="center"/>
          </w:tcPr>
          <w:p w14:paraId="3F7FC2FF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28.78 ± 2.77 (n=93)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3687D97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28.65 ± 2.37 (n=115)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AA6D23C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0.973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CDC3377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0.05</w:t>
            </w:r>
          </w:p>
        </w:tc>
      </w:tr>
      <w:tr w:rsidR="006F2DC4" w:rsidRPr="00827E2F" w14:paraId="2EF3C347" w14:textId="77777777" w:rsidTr="008E39B0">
        <w:trPr>
          <w:jc w:val="center"/>
        </w:trPr>
        <w:tc>
          <w:tcPr>
            <w:tcW w:w="3732" w:type="dxa"/>
            <w:vAlign w:val="center"/>
          </w:tcPr>
          <w:p w14:paraId="20969EC8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Baseline AMH, ng/mL</w:t>
            </w:r>
          </w:p>
        </w:tc>
        <w:tc>
          <w:tcPr>
            <w:tcW w:w="2222" w:type="dxa"/>
            <w:vAlign w:val="center"/>
          </w:tcPr>
          <w:p w14:paraId="4D5615CE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5.96 ± 4.20 (n=87)</w:t>
            </w:r>
          </w:p>
        </w:tc>
        <w:tc>
          <w:tcPr>
            <w:tcW w:w="2268" w:type="dxa"/>
            <w:vAlign w:val="center"/>
          </w:tcPr>
          <w:p w14:paraId="7A8F4DAF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5.35 ± 3.54 (n=111)</w:t>
            </w:r>
          </w:p>
        </w:tc>
        <w:tc>
          <w:tcPr>
            <w:tcW w:w="992" w:type="dxa"/>
            <w:vAlign w:val="center"/>
          </w:tcPr>
          <w:p w14:paraId="66A42836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0.263</w:t>
            </w:r>
          </w:p>
        </w:tc>
        <w:tc>
          <w:tcPr>
            <w:tcW w:w="992" w:type="dxa"/>
            <w:vAlign w:val="center"/>
          </w:tcPr>
          <w:p w14:paraId="42A7805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0.16</w:t>
            </w:r>
          </w:p>
        </w:tc>
      </w:tr>
      <w:tr w:rsidR="006F2DC4" w:rsidRPr="00827E2F" w14:paraId="714A63ED" w14:textId="77777777" w:rsidTr="008E39B0">
        <w:trPr>
          <w:jc w:val="center"/>
        </w:trPr>
        <w:tc>
          <w:tcPr>
            <w:tcW w:w="3732" w:type="dxa"/>
            <w:vAlign w:val="center"/>
          </w:tcPr>
          <w:p w14:paraId="589758AD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Knowledge score (4–12)</w:t>
            </w:r>
          </w:p>
        </w:tc>
        <w:tc>
          <w:tcPr>
            <w:tcW w:w="2222" w:type="dxa"/>
            <w:vAlign w:val="center"/>
          </w:tcPr>
          <w:p w14:paraId="4131D58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7.96 ± 2.02 (n=93)</w:t>
            </w:r>
          </w:p>
        </w:tc>
        <w:tc>
          <w:tcPr>
            <w:tcW w:w="2268" w:type="dxa"/>
            <w:vAlign w:val="center"/>
          </w:tcPr>
          <w:p w14:paraId="2FD9F02B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7.74 ± 1.90 (n=115)</w:t>
            </w:r>
          </w:p>
        </w:tc>
        <w:tc>
          <w:tcPr>
            <w:tcW w:w="992" w:type="dxa"/>
            <w:vAlign w:val="center"/>
          </w:tcPr>
          <w:p w14:paraId="56DF5DB6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0.472</w:t>
            </w:r>
          </w:p>
        </w:tc>
        <w:tc>
          <w:tcPr>
            <w:tcW w:w="992" w:type="dxa"/>
            <w:vAlign w:val="center"/>
          </w:tcPr>
          <w:p w14:paraId="521B02E1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0.11</w:t>
            </w:r>
          </w:p>
        </w:tc>
      </w:tr>
      <w:tr w:rsidR="006F2DC4" w:rsidRPr="00827E2F" w14:paraId="15598A59" w14:textId="77777777" w:rsidTr="008E39B0">
        <w:trPr>
          <w:jc w:val="center"/>
        </w:trPr>
        <w:tc>
          <w:tcPr>
            <w:tcW w:w="3732" w:type="dxa"/>
            <w:vAlign w:val="center"/>
          </w:tcPr>
          <w:p w14:paraId="4DE87468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Health-</w:t>
            </w:r>
            <w:proofErr w:type="spellStart"/>
            <w:r w:rsidRPr="00827E2F">
              <w:rPr>
                <w:rFonts w:ascii="Calibri" w:hAnsi="Calibri" w:cs="Calibri"/>
                <w:sz w:val="24"/>
                <w:szCs w:val="24"/>
              </w:rPr>
              <w:t>behaviour</w:t>
            </w:r>
            <w:proofErr w:type="spellEnd"/>
            <w:r w:rsidRPr="00827E2F">
              <w:rPr>
                <w:rFonts w:ascii="Calibri" w:hAnsi="Calibri" w:cs="Calibri"/>
                <w:sz w:val="24"/>
                <w:szCs w:val="24"/>
              </w:rPr>
              <w:t xml:space="preserve"> readiness score</w:t>
            </w:r>
          </w:p>
        </w:tc>
        <w:tc>
          <w:tcPr>
            <w:tcW w:w="2222" w:type="dxa"/>
            <w:vAlign w:val="center"/>
          </w:tcPr>
          <w:p w14:paraId="69C6969D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24.47 ± 5.63 (n=93)</w:t>
            </w:r>
          </w:p>
        </w:tc>
        <w:tc>
          <w:tcPr>
            <w:tcW w:w="2268" w:type="dxa"/>
            <w:vAlign w:val="center"/>
          </w:tcPr>
          <w:p w14:paraId="028D0744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23.48 ± 5.34 (n=115)</w:t>
            </w:r>
          </w:p>
        </w:tc>
        <w:tc>
          <w:tcPr>
            <w:tcW w:w="992" w:type="dxa"/>
            <w:vAlign w:val="center"/>
          </w:tcPr>
          <w:p w14:paraId="775C6356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0.220</w:t>
            </w:r>
          </w:p>
        </w:tc>
        <w:tc>
          <w:tcPr>
            <w:tcW w:w="992" w:type="dxa"/>
            <w:vAlign w:val="center"/>
          </w:tcPr>
          <w:p w14:paraId="2E5BDDD2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0.18</w:t>
            </w:r>
          </w:p>
        </w:tc>
      </w:tr>
      <w:tr w:rsidR="006F2DC4" w:rsidRPr="00827E2F" w14:paraId="419ADBDF" w14:textId="77777777" w:rsidTr="008E39B0">
        <w:trPr>
          <w:jc w:val="center"/>
        </w:trPr>
        <w:tc>
          <w:tcPr>
            <w:tcW w:w="3732" w:type="dxa"/>
            <w:vAlign w:val="center"/>
          </w:tcPr>
          <w:p w14:paraId="271D2FA2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AMH literacy score (0–3)</w:t>
            </w:r>
          </w:p>
        </w:tc>
        <w:tc>
          <w:tcPr>
            <w:tcW w:w="2222" w:type="dxa"/>
            <w:vAlign w:val="center"/>
          </w:tcPr>
          <w:p w14:paraId="25B90F47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2.05 ± 0.88 (n=93)</w:t>
            </w:r>
          </w:p>
        </w:tc>
        <w:tc>
          <w:tcPr>
            <w:tcW w:w="2268" w:type="dxa"/>
            <w:vAlign w:val="center"/>
          </w:tcPr>
          <w:p w14:paraId="478BDDD3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1.86 ± 0.78 (n=115)</w:t>
            </w:r>
          </w:p>
        </w:tc>
        <w:tc>
          <w:tcPr>
            <w:tcW w:w="992" w:type="dxa"/>
            <w:vAlign w:val="center"/>
          </w:tcPr>
          <w:p w14:paraId="5BC9C8FC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0.080</w:t>
            </w:r>
          </w:p>
        </w:tc>
        <w:tc>
          <w:tcPr>
            <w:tcW w:w="992" w:type="dxa"/>
            <w:vAlign w:val="center"/>
          </w:tcPr>
          <w:p w14:paraId="67304383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0.23</w:t>
            </w:r>
          </w:p>
        </w:tc>
      </w:tr>
      <w:tr w:rsidR="006F2DC4" w:rsidRPr="00827E2F" w14:paraId="7193D8A6" w14:textId="77777777" w:rsidTr="008E39B0">
        <w:trPr>
          <w:jc w:val="center"/>
        </w:trPr>
        <w:tc>
          <w:tcPr>
            <w:tcW w:w="3732" w:type="dxa"/>
            <w:vAlign w:val="center"/>
          </w:tcPr>
          <w:p w14:paraId="6CF1C756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Fertility concern (1–4)</w:t>
            </w:r>
          </w:p>
        </w:tc>
        <w:tc>
          <w:tcPr>
            <w:tcW w:w="2222" w:type="dxa"/>
            <w:vAlign w:val="center"/>
          </w:tcPr>
          <w:p w14:paraId="12791978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2.27 ± 0.84 (n=93)</w:t>
            </w:r>
          </w:p>
        </w:tc>
        <w:tc>
          <w:tcPr>
            <w:tcW w:w="2268" w:type="dxa"/>
            <w:vAlign w:val="center"/>
          </w:tcPr>
          <w:p w14:paraId="4AD2C15F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2.29 ± 0.86 (n=115)</w:t>
            </w:r>
          </w:p>
        </w:tc>
        <w:tc>
          <w:tcPr>
            <w:tcW w:w="992" w:type="dxa"/>
            <w:vAlign w:val="center"/>
          </w:tcPr>
          <w:p w14:paraId="12513CDF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0.809</w:t>
            </w:r>
          </w:p>
        </w:tc>
        <w:tc>
          <w:tcPr>
            <w:tcW w:w="992" w:type="dxa"/>
            <w:vAlign w:val="center"/>
          </w:tcPr>
          <w:p w14:paraId="5198E4F1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-0.02</w:t>
            </w:r>
          </w:p>
        </w:tc>
      </w:tr>
      <w:tr w:rsidR="006F2DC4" w:rsidRPr="00827E2F" w14:paraId="5370D7B8" w14:textId="77777777" w:rsidTr="008E39B0">
        <w:trPr>
          <w:jc w:val="center"/>
        </w:trPr>
        <w:tc>
          <w:tcPr>
            <w:tcW w:w="3732" w:type="dxa"/>
            <w:vAlign w:val="center"/>
          </w:tcPr>
          <w:p w14:paraId="4FEB561C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Married/cohabiting with partner</w:t>
            </w:r>
          </w:p>
        </w:tc>
        <w:tc>
          <w:tcPr>
            <w:tcW w:w="2222" w:type="dxa"/>
            <w:vAlign w:val="center"/>
          </w:tcPr>
          <w:p w14:paraId="1253491D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54 (58.1%)</w:t>
            </w:r>
          </w:p>
        </w:tc>
        <w:tc>
          <w:tcPr>
            <w:tcW w:w="2268" w:type="dxa"/>
            <w:vAlign w:val="center"/>
          </w:tcPr>
          <w:p w14:paraId="2028A851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73 (63.5%)</w:t>
            </w:r>
          </w:p>
        </w:tc>
        <w:tc>
          <w:tcPr>
            <w:tcW w:w="992" w:type="dxa"/>
            <w:vAlign w:val="center"/>
          </w:tcPr>
          <w:p w14:paraId="52CDE98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0.426</w:t>
            </w:r>
          </w:p>
        </w:tc>
        <w:tc>
          <w:tcPr>
            <w:tcW w:w="992" w:type="dxa"/>
            <w:vAlign w:val="center"/>
          </w:tcPr>
          <w:p w14:paraId="4085433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-0.11</w:t>
            </w:r>
          </w:p>
        </w:tc>
      </w:tr>
      <w:tr w:rsidR="006F2DC4" w:rsidRPr="00827E2F" w14:paraId="306D52FF" w14:textId="77777777" w:rsidTr="008E39B0">
        <w:trPr>
          <w:jc w:val="center"/>
        </w:trPr>
        <w:tc>
          <w:tcPr>
            <w:tcW w:w="3732" w:type="dxa"/>
            <w:vAlign w:val="center"/>
          </w:tcPr>
          <w:p w14:paraId="2B108AE8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Prior infertility treatment</w:t>
            </w:r>
          </w:p>
        </w:tc>
        <w:tc>
          <w:tcPr>
            <w:tcW w:w="2222" w:type="dxa"/>
            <w:vAlign w:val="center"/>
          </w:tcPr>
          <w:p w14:paraId="34ADB0B0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 (2.2%)</w:t>
            </w:r>
          </w:p>
        </w:tc>
        <w:tc>
          <w:tcPr>
            <w:tcW w:w="2268" w:type="dxa"/>
            <w:vAlign w:val="center"/>
          </w:tcPr>
          <w:p w14:paraId="06601194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 (1.7%)</w:t>
            </w:r>
          </w:p>
        </w:tc>
        <w:tc>
          <w:tcPr>
            <w:tcW w:w="992" w:type="dxa"/>
            <w:vAlign w:val="center"/>
          </w:tcPr>
          <w:p w14:paraId="2E8F12BD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992" w:type="dxa"/>
            <w:vAlign w:val="center"/>
          </w:tcPr>
          <w:p w14:paraId="41CEAA70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0.03</w:t>
            </w:r>
          </w:p>
        </w:tc>
      </w:tr>
      <w:tr w:rsidR="006F2DC4" w:rsidRPr="00827E2F" w14:paraId="06ED9F62" w14:textId="77777777" w:rsidTr="008E39B0">
        <w:trPr>
          <w:jc w:val="center"/>
        </w:trPr>
        <w:tc>
          <w:tcPr>
            <w:tcW w:w="3732" w:type="dxa"/>
            <w:vAlign w:val="center"/>
          </w:tcPr>
          <w:p w14:paraId="6D15BEF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Pregnancy intended within 6 months</w:t>
            </w:r>
          </w:p>
        </w:tc>
        <w:tc>
          <w:tcPr>
            <w:tcW w:w="2222" w:type="dxa"/>
            <w:vAlign w:val="center"/>
          </w:tcPr>
          <w:p w14:paraId="764C5B74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31 (33.3%)</w:t>
            </w:r>
          </w:p>
        </w:tc>
        <w:tc>
          <w:tcPr>
            <w:tcW w:w="2268" w:type="dxa"/>
            <w:vAlign w:val="center"/>
          </w:tcPr>
          <w:p w14:paraId="6A5D5ADD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40 (34.8%)</w:t>
            </w:r>
          </w:p>
        </w:tc>
        <w:tc>
          <w:tcPr>
            <w:tcW w:w="992" w:type="dxa"/>
            <w:vAlign w:val="center"/>
          </w:tcPr>
          <w:p w14:paraId="1A73B584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0.827</w:t>
            </w:r>
          </w:p>
        </w:tc>
        <w:tc>
          <w:tcPr>
            <w:tcW w:w="992" w:type="dxa"/>
            <w:vAlign w:val="center"/>
          </w:tcPr>
          <w:p w14:paraId="64074BA3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-0.03</w:t>
            </w:r>
          </w:p>
        </w:tc>
      </w:tr>
      <w:tr w:rsidR="006F2DC4" w:rsidRPr="00827E2F" w14:paraId="249C33D2" w14:textId="77777777" w:rsidTr="008E39B0">
        <w:trPr>
          <w:jc w:val="center"/>
        </w:trPr>
        <w:tc>
          <w:tcPr>
            <w:tcW w:w="3732" w:type="dxa"/>
            <w:tcBorders>
              <w:bottom w:val="single" w:sz="12" w:space="0" w:color="auto"/>
            </w:tcBorders>
            <w:vAlign w:val="center"/>
          </w:tcPr>
          <w:p w14:paraId="65082D0B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Pregnancy intended within 2 years</w:t>
            </w:r>
          </w:p>
        </w:tc>
        <w:tc>
          <w:tcPr>
            <w:tcW w:w="2222" w:type="dxa"/>
            <w:tcBorders>
              <w:bottom w:val="single" w:sz="12" w:space="0" w:color="auto"/>
            </w:tcBorders>
            <w:vAlign w:val="center"/>
          </w:tcPr>
          <w:p w14:paraId="05B4F2E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65 (69.9%)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9D7AE6A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85 (73.9%)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24ABCD9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0.520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83BAE57" w14:textId="77777777" w:rsidR="006F2DC4" w:rsidRPr="00827E2F" w:rsidRDefault="006F2DC4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-0.09</w:t>
            </w:r>
          </w:p>
        </w:tc>
      </w:tr>
    </w:tbl>
    <w:p w14:paraId="177CCEA4" w14:textId="77777777" w:rsidR="006F2DC4" w:rsidRPr="00827E2F" w:rsidRDefault="006F2DC4" w:rsidP="006F2DC4">
      <w:pPr>
        <w:rPr>
          <w:rFonts w:ascii="Calibri" w:hAnsi="Calibri" w:cs="Calibri"/>
          <w:sz w:val="24"/>
          <w:szCs w:val="24"/>
        </w:rPr>
      </w:pPr>
    </w:p>
    <w:p w14:paraId="2A102AC4" w14:textId="77777777" w:rsidR="006F2DC4" w:rsidRPr="00827E2F" w:rsidRDefault="006F2DC4" w:rsidP="006F2DC4">
      <w:pPr>
        <w:rPr>
          <w:rFonts w:ascii="Calibri" w:hAnsi="Calibri" w:cs="Calibri"/>
          <w:sz w:val="24"/>
          <w:szCs w:val="24"/>
        </w:rPr>
      </w:pPr>
      <w:r w:rsidRPr="00827E2F">
        <w:rPr>
          <w:rFonts w:ascii="Calibri" w:hAnsi="Calibri" w:cs="Calibri"/>
          <w:sz w:val="24"/>
          <w:szCs w:val="24"/>
        </w:rPr>
        <w:t xml:space="preserve">Continuous/ordinal variables are shown as mean ± SD and were compared using the Mann–Whitney U test. Categorical variables are shown as n (%) and were compared using chi-square or Fisher’s exact tests as appropriate. SMD, </w:t>
      </w:r>
      <w:proofErr w:type="spellStart"/>
      <w:r w:rsidRPr="00827E2F">
        <w:rPr>
          <w:rFonts w:ascii="Calibri" w:hAnsi="Calibri" w:cs="Calibri"/>
          <w:sz w:val="24"/>
          <w:szCs w:val="24"/>
        </w:rPr>
        <w:t>standardised</w:t>
      </w:r>
      <w:proofErr w:type="spellEnd"/>
      <w:r w:rsidRPr="00827E2F">
        <w:rPr>
          <w:rFonts w:ascii="Calibri" w:hAnsi="Calibri" w:cs="Calibri"/>
          <w:sz w:val="24"/>
          <w:szCs w:val="24"/>
        </w:rPr>
        <w:t xml:space="preserve"> mean difference. A two-sided P&lt;0.01 was considered </w:t>
      </w:r>
      <w:r w:rsidRPr="00827E2F">
        <w:rPr>
          <w:rFonts w:ascii="Calibri" w:hAnsi="Calibri" w:cs="Calibri"/>
          <w:sz w:val="24"/>
          <w:szCs w:val="24"/>
        </w:rPr>
        <w:lastRenderedPageBreak/>
        <w:t>statistically significant. No baseline comparison met this threshold. AMH values were available for 87 completers and 111 non-completers.</w:t>
      </w:r>
    </w:p>
    <w:p w14:paraId="455A424C" w14:textId="77777777" w:rsidR="006F2DC4" w:rsidRPr="00827E2F" w:rsidRDefault="006F2DC4" w:rsidP="00446BC5">
      <w:pPr>
        <w:rPr>
          <w:rFonts w:ascii="Calibri" w:hAnsi="Calibri" w:cs="Calibri"/>
          <w:b/>
          <w:bCs/>
          <w:sz w:val="24"/>
          <w:szCs w:val="24"/>
          <w:lang w:eastAsia="ja-JP"/>
        </w:rPr>
      </w:pPr>
    </w:p>
    <w:p w14:paraId="6ABAAF61" w14:textId="77777777" w:rsidR="006F2DC4" w:rsidRPr="00827E2F" w:rsidRDefault="006F2DC4" w:rsidP="00446BC5">
      <w:pPr>
        <w:rPr>
          <w:rFonts w:ascii="Calibri" w:hAnsi="Calibri" w:cs="Calibri"/>
          <w:b/>
          <w:bCs/>
          <w:sz w:val="24"/>
          <w:szCs w:val="24"/>
          <w:lang w:eastAsia="ja-JP"/>
        </w:rPr>
      </w:pPr>
    </w:p>
    <w:p w14:paraId="3A777584" w14:textId="77777777" w:rsidR="006F2DC4" w:rsidRPr="00827E2F" w:rsidRDefault="006F2DC4" w:rsidP="00446BC5">
      <w:pPr>
        <w:rPr>
          <w:rFonts w:ascii="Calibri" w:hAnsi="Calibri" w:cs="Calibri"/>
          <w:b/>
          <w:bCs/>
          <w:sz w:val="24"/>
          <w:szCs w:val="24"/>
          <w:lang w:eastAsia="ja-JP"/>
        </w:rPr>
      </w:pPr>
    </w:p>
    <w:p w14:paraId="72C463C2" w14:textId="3B8DAE08" w:rsidR="00446BC5" w:rsidRPr="00827E2F" w:rsidRDefault="00446BC5" w:rsidP="00446BC5">
      <w:pPr>
        <w:rPr>
          <w:rFonts w:ascii="Calibri" w:hAnsi="Calibri" w:cs="Calibri"/>
          <w:b/>
          <w:bCs/>
          <w:sz w:val="24"/>
          <w:szCs w:val="24"/>
          <w:lang w:eastAsia="ja-JP"/>
        </w:rPr>
      </w:pPr>
      <w:r w:rsidRPr="00827E2F">
        <w:rPr>
          <w:rFonts w:ascii="Calibri" w:hAnsi="Calibri" w:cs="Calibri"/>
          <w:b/>
          <w:bCs/>
          <w:sz w:val="24"/>
          <w:szCs w:val="24"/>
          <w:lang w:eastAsia="ja-JP"/>
        </w:rPr>
        <w:t>Supplementary Table S2. Exploratory change in stated timing of pregnancy intention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1418"/>
        <w:gridCol w:w="1426"/>
      </w:tblGrid>
      <w:tr w:rsidR="00446BC5" w:rsidRPr="00827E2F" w14:paraId="6FAEDA62" w14:textId="77777777" w:rsidTr="00446BC5">
        <w:trPr>
          <w:jc w:val="center"/>
        </w:trPr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00FEF80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Pregnancy-intention category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63C382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Baseline (n=204)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505368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Immediate (n=204)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9C75F4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Immediate (n=90)</w:t>
            </w:r>
          </w:p>
        </w:tc>
        <w:tc>
          <w:tcPr>
            <w:tcW w:w="14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65DBD2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b/>
                <w:sz w:val="24"/>
                <w:szCs w:val="24"/>
              </w:rPr>
              <w:t>3 months (n=90)</w:t>
            </w:r>
          </w:p>
        </w:tc>
      </w:tr>
      <w:tr w:rsidR="00446BC5" w:rsidRPr="00827E2F" w14:paraId="04381A5A" w14:textId="77777777" w:rsidTr="00446BC5">
        <w:trPr>
          <w:jc w:val="center"/>
        </w:trPr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21FCCC4D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Current/within 6 months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A36729F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68 (33.3%)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5D83700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59 (28.9%)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2C2AA95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21 (23.3%)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vAlign w:val="center"/>
          </w:tcPr>
          <w:p w14:paraId="2116D6B8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35 (38.9%)</w:t>
            </w:r>
          </w:p>
        </w:tc>
      </w:tr>
      <w:tr w:rsidR="00446BC5" w:rsidRPr="00827E2F" w14:paraId="7ACF7BC1" w14:textId="77777777" w:rsidTr="00446BC5">
        <w:trPr>
          <w:jc w:val="center"/>
        </w:trPr>
        <w:tc>
          <w:tcPr>
            <w:tcW w:w="4111" w:type="dxa"/>
            <w:vAlign w:val="center"/>
          </w:tcPr>
          <w:p w14:paraId="7757A970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6–12 months</w:t>
            </w:r>
          </w:p>
        </w:tc>
        <w:tc>
          <w:tcPr>
            <w:tcW w:w="1418" w:type="dxa"/>
            <w:vAlign w:val="center"/>
          </w:tcPr>
          <w:p w14:paraId="790C171C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33 (16.2%)</w:t>
            </w:r>
          </w:p>
        </w:tc>
        <w:tc>
          <w:tcPr>
            <w:tcW w:w="1417" w:type="dxa"/>
            <w:vAlign w:val="center"/>
          </w:tcPr>
          <w:p w14:paraId="5FDF7CE3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43 (21.1%)</w:t>
            </w:r>
          </w:p>
        </w:tc>
        <w:tc>
          <w:tcPr>
            <w:tcW w:w="1418" w:type="dxa"/>
            <w:vAlign w:val="center"/>
          </w:tcPr>
          <w:p w14:paraId="1BC70A13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21 (23.3%)</w:t>
            </w:r>
          </w:p>
        </w:tc>
        <w:tc>
          <w:tcPr>
            <w:tcW w:w="1426" w:type="dxa"/>
            <w:vAlign w:val="center"/>
          </w:tcPr>
          <w:p w14:paraId="3DDA4D2D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11 (12.2%)</w:t>
            </w:r>
          </w:p>
        </w:tc>
      </w:tr>
      <w:tr w:rsidR="00446BC5" w:rsidRPr="00827E2F" w14:paraId="7CD089C1" w14:textId="77777777" w:rsidTr="00446BC5">
        <w:trPr>
          <w:jc w:val="center"/>
        </w:trPr>
        <w:tc>
          <w:tcPr>
            <w:tcW w:w="4111" w:type="dxa"/>
            <w:vAlign w:val="center"/>
          </w:tcPr>
          <w:p w14:paraId="04CB951A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1–2 years</w:t>
            </w:r>
          </w:p>
        </w:tc>
        <w:tc>
          <w:tcPr>
            <w:tcW w:w="1418" w:type="dxa"/>
            <w:vAlign w:val="center"/>
          </w:tcPr>
          <w:p w14:paraId="1123AED6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43 (21.1%)</w:t>
            </w:r>
          </w:p>
        </w:tc>
        <w:tc>
          <w:tcPr>
            <w:tcW w:w="1417" w:type="dxa"/>
            <w:vAlign w:val="center"/>
          </w:tcPr>
          <w:p w14:paraId="20F6F78C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55 (27.0%)</w:t>
            </w:r>
          </w:p>
        </w:tc>
        <w:tc>
          <w:tcPr>
            <w:tcW w:w="1418" w:type="dxa"/>
            <w:vAlign w:val="center"/>
          </w:tcPr>
          <w:p w14:paraId="3D838B5A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25 (27.8%)</w:t>
            </w:r>
          </w:p>
        </w:tc>
        <w:tc>
          <w:tcPr>
            <w:tcW w:w="1426" w:type="dxa"/>
            <w:vAlign w:val="center"/>
          </w:tcPr>
          <w:p w14:paraId="7A85DF32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21 (23.3%)</w:t>
            </w:r>
          </w:p>
        </w:tc>
      </w:tr>
      <w:tr w:rsidR="00446BC5" w:rsidRPr="00827E2F" w14:paraId="0B3D3601" w14:textId="77777777" w:rsidTr="00446BC5">
        <w:trPr>
          <w:jc w:val="center"/>
        </w:trPr>
        <w:tc>
          <w:tcPr>
            <w:tcW w:w="4111" w:type="dxa"/>
            <w:vAlign w:val="center"/>
          </w:tcPr>
          <w:p w14:paraId="6741B669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3–5 years</w:t>
            </w:r>
          </w:p>
        </w:tc>
        <w:tc>
          <w:tcPr>
            <w:tcW w:w="1418" w:type="dxa"/>
            <w:vAlign w:val="center"/>
          </w:tcPr>
          <w:p w14:paraId="5EFFB960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24 (11.8%)</w:t>
            </w:r>
          </w:p>
        </w:tc>
        <w:tc>
          <w:tcPr>
            <w:tcW w:w="1417" w:type="dxa"/>
            <w:vAlign w:val="center"/>
          </w:tcPr>
          <w:p w14:paraId="137792E9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25 (12.3%)</w:t>
            </w:r>
          </w:p>
        </w:tc>
        <w:tc>
          <w:tcPr>
            <w:tcW w:w="1418" w:type="dxa"/>
            <w:vAlign w:val="center"/>
          </w:tcPr>
          <w:p w14:paraId="6D4BB1DC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12 (13.3%)</w:t>
            </w:r>
          </w:p>
        </w:tc>
        <w:tc>
          <w:tcPr>
            <w:tcW w:w="1426" w:type="dxa"/>
            <w:vAlign w:val="center"/>
          </w:tcPr>
          <w:p w14:paraId="0BF32E20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10 (11.1%)</w:t>
            </w:r>
          </w:p>
        </w:tc>
      </w:tr>
      <w:tr w:rsidR="00446BC5" w:rsidRPr="00827E2F" w14:paraId="136D59A4" w14:textId="77777777" w:rsidTr="00446BC5">
        <w:trPr>
          <w:jc w:val="center"/>
        </w:trPr>
        <w:tc>
          <w:tcPr>
            <w:tcW w:w="4111" w:type="dxa"/>
            <w:vAlign w:val="center"/>
          </w:tcPr>
          <w:p w14:paraId="464D7691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≥5 years</w:t>
            </w:r>
          </w:p>
        </w:tc>
        <w:tc>
          <w:tcPr>
            <w:tcW w:w="1418" w:type="dxa"/>
            <w:vAlign w:val="center"/>
          </w:tcPr>
          <w:p w14:paraId="24CA66FA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 (0.0%)</w:t>
            </w:r>
          </w:p>
        </w:tc>
        <w:tc>
          <w:tcPr>
            <w:tcW w:w="1417" w:type="dxa"/>
            <w:vAlign w:val="center"/>
          </w:tcPr>
          <w:p w14:paraId="03DD578C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 (0.0%)</w:t>
            </w:r>
          </w:p>
        </w:tc>
        <w:tc>
          <w:tcPr>
            <w:tcW w:w="1418" w:type="dxa"/>
            <w:vAlign w:val="center"/>
          </w:tcPr>
          <w:p w14:paraId="5D74375A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 (0.0%)</w:t>
            </w:r>
          </w:p>
        </w:tc>
        <w:tc>
          <w:tcPr>
            <w:tcW w:w="1426" w:type="dxa"/>
            <w:vAlign w:val="center"/>
          </w:tcPr>
          <w:p w14:paraId="4E7C58F4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 (1.1%)</w:t>
            </w:r>
          </w:p>
        </w:tc>
      </w:tr>
      <w:tr w:rsidR="00446BC5" w:rsidRPr="00827E2F" w14:paraId="63DC0408" w14:textId="77777777" w:rsidTr="00446BC5">
        <w:trPr>
          <w:jc w:val="center"/>
        </w:trPr>
        <w:tc>
          <w:tcPr>
            <w:tcW w:w="4111" w:type="dxa"/>
            <w:vAlign w:val="center"/>
          </w:tcPr>
          <w:p w14:paraId="6514A99D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Would like children someday, but not now</w:t>
            </w:r>
          </w:p>
        </w:tc>
        <w:tc>
          <w:tcPr>
            <w:tcW w:w="1418" w:type="dxa"/>
            <w:vAlign w:val="center"/>
          </w:tcPr>
          <w:p w14:paraId="64BBDF59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32 (15.7%)</w:t>
            </w:r>
          </w:p>
        </w:tc>
        <w:tc>
          <w:tcPr>
            <w:tcW w:w="1417" w:type="dxa"/>
            <w:vAlign w:val="center"/>
          </w:tcPr>
          <w:p w14:paraId="16744814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20 (9.8%)</w:t>
            </w:r>
          </w:p>
        </w:tc>
        <w:tc>
          <w:tcPr>
            <w:tcW w:w="1418" w:type="dxa"/>
            <w:vAlign w:val="center"/>
          </w:tcPr>
          <w:p w14:paraId="05FDEC94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10 (11.1%)</w:t>
            </w:r>
          </w:p>
        </w:tc>
        <w:tc>
          <w:tcPr>
            <w:tcW w:w="1426" w:type="dxa"/>
            <w:vAlign w:val="center"/>
          </w:tcPr>
          <w:p w14:paraId="79699DEA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11 (12.2%)</w:t>
            </w:r>
          </w:p>
        </w:tc>
      </w:tr>
      <w:tr w:rsidR="00446BC5" w:rsidRPr="00827E2F" w14:paraId="60138CB5" w14:textId="77777777" w:rsidTr="00446BC5">
        <w:trPr>
          <w:jc w:val="center"/>
        </w:trPr>
        <w:tc>
          <w:tcPr>
            <w:tcW w:w="4111" w:type="dxa"/>
            <w:vAlign w:val="center"/>
          </w:tcPr>
          <w:p w14:paraId="0A9381A6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Does not want children</w:t>
            </w:r>
          </w:p>
        </w:tc>
        <w:tc>
          <w:tcPr>
            <w:tcW w:w="1418" w:type="dxa"/>
            <w:vAlign w:val="center"/>
          </w:tcPr>
          <w:p w14:paraId="57E16F81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 (1.0%)</w:t>
            </w:r>
          </w:p>
        </w:tc>
        <w:tc>
          <w:tcPr>
            <w:tcW w:w="1417" w:type="dxa"/>
            <w:vAlign w:val="center"/>
          </w:tcPr>
          <w:p w14:paraId="7E7F9C86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 (1.0%)</w:t>
            </w:r>
          </w:p>
        </w:tc>
        <w:tc>
          <w:tcPr>
            <w:tcW w:w="1418" w:type="dxa"/>
            <w:vAlign w:val="center"/>
          </w:tcPr>
          <w:p w14:paraId="00A4B9C5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 (1.1%)</w:t>
            </w:r>
          </w:p>
        </w:tc>
        <w:tc>
          <w:tcPr>
            <w:tcW w:w="1426" w:type="dxa"/>
            <w:vAlign w:val="center"/>
          </w:tcPr>
          <w:p w14:paraId="4A775C0F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1 (1.1%)</w:t>
            </w:r>
          </w:p>
        </w:tc>
      </w:tr>
      <w:tr w:rsidR="00446BC5" w:rsidRPr="00827E2F" w14:paraId="7FA05851" w14:textId="77777777" w:rsidTr="00446BC5">
        <w:trPr>
          <w:jc w:val="center"/>
        </w:trPr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14:paraId="6909D837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Completed childbearing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9B8955D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2 (1.0%)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946F363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 (0.0%)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1F41EAB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 (0.0%)</w:t>
            </w:r>
          </w:p>
        </w:tc>
        <w:tc>
          <w:tcPr>
            <w:tcW w:w="1426" w:type="dxa"/>
            <w:tcBorders>
              <w:bottom w:val="single" w:sz="12" w:space="0" w:color="auto"/>
            </w:tcBorders>
            <w:vAlign w:val="center"/>
          </w:tcPr>
          <w:p w14:paraId="7D4949C7" w14:textId="77777777" w:rsidR="00446BC5" w:rsidRPr="00827E2F" w:rsidRDefault="00446BC5" w:rsidP="008E39B0">
            <w:pPr>
              <w:rPr>
                <w:rFonts w:ascii="Calibri" w:hAnsi="Calibri" w:cs="Calibri"/>
                <w:sz w:val="24"/>
                <w:szCs w:val="24"/>
              </w:rPr>
            </w:pPr>
            <w:r w:rsidRPr="00827E2F">
              <w:rPr>
                <w:rFonts w:ascii="Calibri" w:hAnsi="Calibri" w:cs="Calibri"/>
                <w:sz w:val="24"/>
                <w:szCs w:val="24"/>
              </w:rPr>
              <w:t>0 (0.0%)</w:t>
            </w:r>
          </w:p>
        </w:tc>
      </w:tr>
    </w:tbl>
    <w:p w14:paraId="45691389" w14:textId="77777777" w:rsidR="00446BC5" w:rsidRPr="00827E2F" w:rsidRDefault="00446BC5" w:rsidP="00446BC5">
      <w:pPr>
        <w:rPr>
          <w:rFonts w:ascii="Calibri" w:hAnsi="Calibri" w:cs="Calibri"/>
          <w:sz w:val="24"/>
          <w:szCs w:val="24"/>
        </w:rPr>
      </w:pPr>
    </w:p>
    <w:p w14:paraId="6B1F4F33" w14:textId="77777777" w:rsidR="00446BC5" w:rsidRPr="00827E2F" w:rsidRDefault="00446BC5" w:rsidP="00446BC5">
      <w:pPr>
        <w:rPr>
          <w:rFonts w:ascii="Calibri" w:hAnsi="Calibri" w:cs="Calibri"/>
          <w:sz w:val="24"/>
          <w:szCs w:val="24"/>
        </w:rPr>
      </w:pPr>
      <w:r w:rsidRPr="00827E2F">
        <w:rPr>
          <w:rFonts w:ascii="Calibri" w:hAnsi="Calibri" w:cs="Calibri"/>
          <w:sz w:val="24"/>
          <w:szCs w:val="24"/>
        </w:rPr>
        <w:t>These analyses are exploratory. In the baseline-to-immediate paired sample, 43/204 (21.1%) moved towards an earlier stated timing, 33/204 (16.2%) towards a later timing and 128/204 (62.7%) were unchanged (</w:t>
      </w:r>
      <w:proofErr w:type="spellStart"/>
      <w:r w:rsidRPr="00827E2F">
        <w:rPr>
          <w:rFonts w:ascii="Calibri" w:hAnsi="Calibri" w:cs="Calibri"/>
          <w:sz w:val="24"/>
          <w:szCs w:val="24"/>
        </w:rPr>
        <w:t>programme</w:t>
      </w:r>
      <w:proofErr w:type="spellEnd"/>
      <w:r w:rsidRPr="00827E2F">
        <w:rPr>
          <w:rFonts w:ascii="Calibri" w:hAnsi="Calibri" w:cs="Calibri"/>
          <w:sz w:val="24"/>
          <w:szCs w:val="24"/>
        </w:rPr>
        <w:t xml:space="preserve"> P=0.048). In the immediate-to-3-month paired sample, 22/90 (24.4%) moved earlier, 12/90 (13.3%) later and 56/90 (62.2%) were unchanged (</w:t>
      </w:r>
      <w:proofErr w:type="spellStart"/>
      <w:r w:rsidRPr="00827E2F">
        <w:rPr>
          <w:rFonts w:ascii="Calibri" w:hAnsi="Calibri" w:cs="Calibri"/>
          <w:sz w:val="24"/>
          <w:szCs w:val="24"/>
        </w:rPr>
        <w:t>programme</w:t>
      </w:r>
      <w:proofErr w:type="spellEnd"/>
      <w:r w:rsidRPr="00827E2F">
        <w:rPr>
          <w:rFonts w:ascii="Calibri" w:hAnsi="Calibri" w:cs="Calibri"/>
          <w:sz w:val="24"/>
          <w:szCs w:val="24"/>
        </w:rPr>
        <w:t xml:space="preserve"> P=0.093). Neither P value meets the prespecified two-sided P&lt;0.01 threshold used in the manuscript.</w:t>
      </w:r>
    </w:p>
    <w:p w14:paraId="2B1303D9" w14:textId="2B2E4EF7" w:rsidR="002B01D5" w:rsidRPr="00827E2F" w:rsidRDefault="002B01D5" w:rsidP="00446BC5">
      <w:pPr>
        <w:rPr>
          <w:rFonts w:ascii="Calibri" w:hAnsi="Calibri" w:cs="Calibri"/>
          <w:sz w:val="24"/>
          <w:szCs w:val="24"/>
        </w:rPr>
      </w:pPr>
    </w:p>
    <w:sectPr w:rsidR="002B01D5" w:rsidRPr="00827E2F" w:rsidSect="00963F59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AFDAE" w14:textId="77777777" w:rsidR="007C5A13" w:rsidRDefault="007C5A13" w:rsidP="00827E2F">
      <w:pPr>
        <w:spacing w:after="0" w:line="240" w:lineRule="auto"/>
      </w:pPr>
      <w:r>
        <w:separator/>
      </w:r>
    </w:p>
  </w:endnote>
  <w:endnote w:type="continuationSeparator" w:id="0">
    <w:p w14:paraId="3D02C6BC" w14:textId="77777777" w:rsidR="007C5A13" w:rsidRDefault="007C5A13" w:rsidP="0082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549D1" w14:textId="77777777" w:rsidR="007C5A13" w:rsidRDefault="007C5A13" w:rsidP="00827E2F">
      <w:pPr>
        <w:spacing w:after="0" w:line="240" w:lineRule="auto"/>
      </w:pPr>
      <w:r>
        <w:separator/>
      </w:r>
    </w:p>
  </w:footnote>
  <w:footnote w:type="continuationSeparator" w:id="0">
    <w:p w14:paraId="4405992C" w14:textId="77777777" w:rsidR="007C5A13" w:rsidRDefault="007C5A13" w:rsidP="00827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45"/>
    <w:rsid w:val="002B01D5"/>
    <w:rsid w:val="00383045"/>
    <w:rsid w:val="003F37C9"/>
    <w:rsid w:val="00446BC5"/>
    <w:rsid w:val="006F2DC4"/>
    <w:rsid w:val="007C5A13"/>
    <w:rsid w:val="00827E2F"/>
    <w:rsid w:val="00963F59"/>
    <w:rsid w:val="00AA4968"/>
    <w:rsid w:val="00B63E5E"/>
    <w:rsid w:val="00BC0948"/>
    <w:rsid w:val="00D1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177612"/>
  <w15:chartTrackingRefBased/>
  <w15:docId w15:val="{EB02B4F2-AF59-45B4-BDE5-4A9FFE9B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045"/>
    <w:pPr>
      <w:spacing w:after="200" w:line="276" w:lineRule="auto"/>
    </w:pPr>
    <w:rPr>
      <w:rFonts w:ascii="Arial" w:hAnsi="Arial"/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3045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383045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045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045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045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045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045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045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045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304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38304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304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30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30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30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30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30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304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3045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83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045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830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3045"/>
    <w:pPr>
      <w:widowControl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830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3045"/>
    <w:pPr>
      <w:widowControl w:val="0"/>
      <w:spacing w:after="0" w:line="240" w:lineRule="auto"/>
      <w:ind w:left="720"/>
      <w:contextualSpacing/>
    </w:pPr>
    <w:rPr>
      <w:rFonts w:asciiTheme="minorHAnsi" w:hAnsiTheme="minorHAnsi"/>
      <w:kern w:val="2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38304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304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8304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304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83045"/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27E2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27E2F"/>
    <w:rPr>
      <w:rFonts w:ascii="Arial" w:hAnsi="Arial"/>
      <w:kern w:val="0"/>
      <w:szCs w:val="22"/>
      <w:lang w:eastAsia="en-US"/>
      <w14:ligatures w14:val="none"/>
    </w:rPr>
  </w:style>
  <w:style w:type="paragraph" w:styleId="ad">
    <w:name w:val="footer"/>
    <w:basedOn w:val="a"/>
    <w:link w:val="ae"/>
    <w:uiPriority w:val="99"/>
    <w:unhideWhenUsed/>
    <w:rsid w:val="00827E2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27E2F"/>
    <w:rPr>
      <w:rFonts w:ascii="Arial" w:hAnsi="Arial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2601</Characters>
  <Application>Microsoft Office Word</Application>
  <DocSecurity>0</DocSecurity>
  <Lines>46</Lines>
  <Paragraphs>14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顕雅 高橋</dc:creator>
  <cp:keywords/>
  <dc:description/>
  <cp:lastModifiedBy>顕雅 高橋</cp:lastModifiedBy>
  <cp:revision>3</cp:revision>
  <dcterms:created xsi:type="dcterms:W3CDTF">2026-09-01T05:19:00Z</dcterms:created>
  <dcterms:modified xsi:type="dcterms:W3CDTF">2026-09-22T02:34:00Z</dcterms:modified>
</cp:coreProperties>
</file>