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CAA" w:rsidRPr="00144CAA" w:rsidRDefault="00144CAA">
      <w:pPr>
        <w:rPr>
          <w:rFonts w:ascii="Calibri" w:hAnsi="Calibri" w:cs="Calibri" w:hint="eastAsia"/>
        </w:rPr>
      </w:pPr>
      <w:bookmarkStart w:id="0" w:name="_Hlk9343675"/>
      <w:r w:rsidRPr="004022DD">
        <w:rPr>
          <w:rFonts w:ascii="Calibri" w:hAnsi="Calibri" w:cs="Calibri"/>
          <w:b/>
        </w:rPr>
        <w:t xml:space="preserve">Supplemental Table </w:t>
      </w:r>
      <w:r>
        <w:rPr>
          <w:rFonts w:ascii="Calibri" w:hAnsi="Calibri" w:cs="Calibri"/>
          <w:b/>
        </w:rPr>
        <w:t>3</w:t>
      </w:r>
      <w:r w:rsidRPr="004022DD">
        <w:rPr>
          <w:rFonts w:ascii="Calibri" w:hAnsi="Calibri" w:cs="Calibri"/>
          <w:b/>
        </w:rPr>
        <w:t>.</w:t>
      </w:r>
      <w:r>
        <w:rPr>
          <w:rFonts w:ascii="Calibri" w:hAnsi="Calibri" w:cs="Calibri"/>
        </w:rPr>
        <w:t xml:space="preserve"> </w:t>
      </w:r>
      <w:r w:rsidRPr="004022DD">
        <w:rPr>
          <w:rFonts w:ascii="Calibri" w:hAnsi="Calibri" w:cs="Calibri"/>
        </w:rPr>
        <w:t>Quality of evidence was assessed for each outcome using the Grading of Recommendations Assessment, Development, and Evaluation (GRADE) guidelines.</w:t>
      </w:r>
      <w:bookmarkEnd w:id="0"/>
    </w:p>
    <w:tbl>
      <w:tblPr>
        <w:tblW w:w="1404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7"/>
        <w:gridCol w:w="1542"/>
        <w:gridCol w:w="4424"/>
        <w:gridCol w:w="1374"/>
        <w:gridCol w:w="1784"/>
        <w:gridCol w:w="2074"/>
        <w:gridCol w:w="1213"/>
      </w:tblGrid>
      <w:tr w:rsidR="00595463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95463" w:rsidRDefault="00720648" w:rsidP="00144CAA">
            <w:pPr>
              <w:pStyle w:val="a3"/>
              <w:widowControl/>
              <w:spacing w:before="100" w:after="100"/>
              <w:rPr>
                <w:b/>
                <w:sz w:val="26"/>
                <w:szCs w:val="26"/>
              </w:rPr>
            </w:pPr>
            <w:r w:rsidRPr="00144CAA">
              <w:rPr>
                <w:rFonts w:ascii="Arial" w:eastAsia="宋体" w:hAnsi="Arial" w:cs="Arial"/>
                <w:b/>
                <w:bCs/>
                <w:sz w:val="21"/>
                <w:szCs w:val="21"/>
              </w:rPr>
              <w:t>Effects of surgical procedures on neurocognitive function in patients with congenital heart disease</w:t>
            </w:r>
          </w:p>
        </w:tc>
      </w:tr>
      <w:tr w:rsidR="00595463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95463" w:rsidRDefault="00720648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Patient or population: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patients with congenital heart disease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Settings: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hospital</w:t>
            </w:r>
            <w:bookmarkStart w:id="1" w:name="_GoBack"/>
            <w:bookmarkEnd w:id="1"/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Intervention: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surgery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 xml:space="preserve">Comparison: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>transcatheter</w:t>
            </w:r>
          </w:p>
        </w:tc>
      </w:tr>
      <w:tr w:rsidR="00595463">
        <w:tc>
          <w:tcPr>
            <w:tcW w:w="1637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Outcomes</w:t>
            </w:r>
          </w:p>
        </w:tc>
        <w:tc>
          <w:tcPr>
            <w:tcW w:w="5966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Illustrative comparative risks* (95% CI)</w:t>
            </w:r>
          </w:p>
        </w:tc>
        <w:tc>
          <w:tcPr>
            <w:tcW w:w="137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(95% CI)</w:t>
            </w:r>
          </w:p>
        </w:tc>
        <w:tc>
          <w:tcPr>
            <w:tcW w:w="178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(studies)</w:t>
            </w:r>
          </w:p>
        </w:tc>
        <w:tc>
          <w:tcPr>
            <w:tcW w:w="207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(GRADE)</w:t>
            </w:r>
          </w:p>
        </w:tc>
        <w:tc>
          <w:tcPr>
            <w:tcW w:w="1213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Comments</w:t>
            </w:r>
          </w:p>
        </w:tc>
      </w:tr>
      <w:tr w:rsidR="00595463">
        <w:tc>
          <w:tcPr>
            <w:tcW w:w="1637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Assumed risk</w:t>
            </w:r>
          </w:p>
        </w:tc>
        <w:tc>
          <w:tcPr>
            <w:tcW w:w="4424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Corresponding risk</w:t>
            </w:r>
          </w:p>
        </w:tc>
        <w:tc>
          <w:tcPr>
            <w:tcW w:w="1374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4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4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3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5463">
        <w:tc>
          <w:tcPr>
            <w:tcW w:w="16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595463" w:rsidRDefault="00595463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Transcatheter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Surgery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595463" w:rsidRDefault="00595463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595463" w:rsidRDefault="00595463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595463" w:rsidRDefault="00595463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595463" w:rsidRDefault="00595463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95463">
        <w:tc>
          <w:tcPr>
            <w:tcW w:w="16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Full IQ</w:t>
            </w:r>
          </w:p>
        </w:tc>
        <w:tc>
          <w:tcPr>
            <w:tcW w:w="1542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full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</w:t>
            </w:r>
            <w:r>
              <w:rPr>
                <w:rFonts w:ascii="Arial" w:hAnsi="Arial" w:cs="Arial"/>
                <w:sz w:val="16"/>
                <w:szCs w:val="16"/>
              </w:rPr>
              <w:t>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2.29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(1.6 lower to 6.18 higher)</w:t>
            </w:r>
          </w:p>
        </w:tc>
        <w:tc>
          <w:tcPr>
            <w:tcW w:w="13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studies)</w:t>
            </w:r>
          </w:p>
        </w:tc>
        <w:tc>
          <w:tcPr>
            <w:tcW w:w="20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⊕⊕⊕⊝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moderate</w:t>
            </w:r>
          </w:p>
        </w:tc>
        <w:tc>
          <w:tcPr>
            <w:tcW w:w="121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5463">
        <w:tc>
          <w:tcPr>
            <w:tcW w:w="16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Verbal IQ</w:t>
            </w:r>
          </w:p>
        </w:tc>
        <w:tc>
          <w:tcPr>
            <w:tcW w:w="1542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verbal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2.29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(1.6 lower to 6.18 higher)</w:t>
            </w:r>
          </w:p>
        </w:tc>
        <w:tc>
          <w:tcPr>
            <w:tcW w:w="13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studies)</w:t>
            </w:r>
          </w:p>
        </w:tc>
        <w:tc>
          <w:tcPr>
            <w:tcW w:w="20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low</w:t>
            </w:r>
          </w:p>
        </w:tc>
        <w:tc>
          <w:tcPr>
            <w:tcW w:w="121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5463">
        <w:tc>
          <w:tcPr>
            <w:tcW w:w="16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Performance IQ</w:t>
            </w:r>
          </w:p>
        </w:tc>
        <w:tc>
          <w:tcPr>
            <w:tcW w:w="1542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</w:t>
            </w:r>
            <w:r>
              <w:rPr>
                <w:rFonts w:ascii="Arial" w:hAnsi="Arial" w:cs="Arial"/>
                <w:sz w:val="16"/>
                <w:szCs w:val="16"/>
              </w:rPr>
              <w:t xml:space="preserve">performance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2.49 lower</w:t>
            </w:r>
            <w:r>
              <w:rPr>
                <w:rFonts w:ascii="Arial" w:hAnsi="Arial" w:cs="Arial"/>
                <w:sz w:val="16"/>
                <w:szCs w:val="16"/>
              </w:rPr>
              <w:br/>
              <w:t>(6.49 lower to 1.52 higher)</w:t>
            </w:r>
          </w:p>
        </w:tc>
        <w:tc>
          <w:tcPr>
            <w:tcW w:w="13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studies)</w:t>
            </w:r>
          </w:p>
        </w:tc>
        <w:tc>
          <w:tcPr>
            <w:tcW w:w="207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720648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low</w:t>
            </w:r>
          </w:p>
        </w:tc>
        <w:tc>
          <w:tcPr>
            <w:tcW w:w="121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595463" w:rsidRDefault="0059546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5463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595463" w:rsidRDefault="00720648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*The basis for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assumed risk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(e.g. the median control group risk across studies) is provided in footnotes.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corresponding risk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(and its 95% confidence interval) is based on the assumed risk in the comparison group and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relative effect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of the intervention (and its 95% CI).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CI: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Confidence interval; </w:t>
            </w:r>
          </w:p>
        </w:tc>
      </w:tr>
      <w:tr w:rsidR="00595463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595463" w:rsidRDefault="00720648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>GRADE Working Group grades of evidence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lastRenderedPageBreak/>
              <w:t>High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very unlikely to change our confidence in the estimate of effect.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Moderate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Low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very likely to have an important impact on our confidence in the estimate of effect and is lik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>ely to change the estimate.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Very low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We are very uncertain about the estimate.</w:t>
            </w:r>
          </w:p>
        </w:tc>
      </w:tr>
      <w:tr w:rsidR="00595463">
        <w:tc>
          <w:tcPr>
            <w:tcW w:w="1637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24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3" w:type="dxa"/>
            <w:shd w:val="clear" w:color="auto" w:fill="auto"/>
            <w:vAlign w:val="center"/>
          </w:tcPr>
          <w:p w:rsidR="00595463" w:rsidRDefault="0059546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595463" w:rsidRDefault="00595463"/>
    <w:sectPr w:rsidR="005954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648" w:rsidRDefault="00720648" w:rsidP="00144CAA">
      <w:r>
        <w:separator/>
      </w:r>
    </w:p>
  </w:endnote>
  <w:endnote w:type="continuationSeparator" w:id="0">
    <w:p w:rsidR="00720648" w:rsidRDefault="00720648" w:rsidP="0014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648" w:rsidRDefault="00720648" w:rsidP="00144CAA">
      <w:r>
        <w:separator/>
      </w:r>
    </w:p>
  </w:footnote>
  <w:footnote w:type="continuationSeparator" w:id="0">
    <w:p w:rsidR="00720648" w:rsidRDefault="00720648" w:rsidP="00144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5824BDF"/>
    <w:rsid w:val="00144CAA"/>
    <w:rsid w:val="00595463"/>
    <w:rsid w:val="00720648"/>
    <w:rsid w:val="5582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779801"/>
  <w15:docId w15:val="{3BCD146E-FC86-48D2-845F-1082E4E59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14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44CA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4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44CA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zzx</dc:creator>
  <cp:lastModifiedBy>苏 晓琪</cp:lastModifiedBy>
  <cp:revision>2</cp:revision>
  <dcterms:created xsi:type="dcterms:W3CDTF">2019-10-09T07:21:00Z</dcterms:created>
  <dcterms:modified xsi:type="dcterms:W3CDTF">2019-10-15T13:26:00Z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