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2C22" w14:textId="77777777" w:rsidR="00C116E8" w:rsidRPr="00D72868" w:rsidRDefault="00C116E8" w:rsidP="00C116E8">
      <w:pPr>
        <w:spacing w:line="480" w:lineRule="auto"/>
        <w:rPr>
          <w:rFonts w:ascii="Arial" w:hAnsi="Arial" w:cs="Arial"/>
          <w:lang w:val="en-US"/>
        </w:rPr>
      </w:pPr>
      <w:r w:rsidRPr="00D72868">
        <w:rPr>
          <w:rFonts w:ascii="Arial" w:hAnsi="Arial" w:cs="Arial"/>
          <w:b/>
          <w:bCs/>
          <w:sz w:val="28"/>
          <w:szCs w:val="28"/>
          <w:lang w:val="en-US"/>
        </w:rPr>
        <w:t>Supplementary material</w:t>
      </w:r>
      <w:r>
        <w:rPr>
          <w:rFonts w:ascii="Arial" w:hAnsi="Arial" w:cs="Arial"/>
          <w:b/>
          <w:bCs/>
          <w:sz w:val="28"/>
          <w:szCs w:val="28"/>
          <w:lang w:val="en-US"/>
        </w:rPr>
        <w:t>s</w:t>
      </w:r>
    </w:p>
    <w:p w14:paraId="0427CCA0" w14:textId="77777777" w:rsidR="00C116E8" w:rsidRPr="00D72868" w:rsidRDefault="00C116E8" w:rsidP="00C116E8">
      <w:pPr>
        <w:jc w:val="both"/>
        <w:rPr>
          <w:rFonts w:ascii="Arial" w:hAnsi="Arial" w:cs="Arial"/>
          <w:lang w:val="en-US"/>
        </w:rPr>
      </w:pPr>
      <w:r w:rsidRPr="00D72868">
        <w:rPr>
          <w:rFonts w:ascii="Arial" w:hAnsi="Arial" w:cs="Arial"/>
          <w:b/>
          <w:bCs/>
          <w:lang w:val="en-US"/>
        </w:rPr>
        <w:t xml:space="preserve">Supplementary Table S1. </w:t>
      </w:r>
      <w:r w:rsidRPr="00D72868">
        <w:rPr>
          <w:rFonts w:ascii="Arial" w:hAnsi="Arial" w:cs="Arial"/>
          <w:lang w:val="en-US"/>
        </w:rPr>
        <w:t>Dose-response of each biomarker across quartiles of concentration, and adequacy of the linear-in-log form.</w:t>
      </w:r>
    </w:p>
    <w:tbl>
      <w:tblPr>
        <w:tblW w:w="9000" w:type="dxa"/>
        <w:tblBorders>
          <w:top w:val="single" w:sz="6" w:space="0" w:color="000000"/>
          <w:left w:val="single" w:sz="2" w:space="0" w:color="FFFFFF"/>
          <w:bottom w:val="single" w:sz="6" w:space="0" w:color="000000"/>
          <w:right w:val="single" w:sz="2" w:space="0" w:color="FFFFFF"/>
          <w:insideH w:val="single" w:sz="2" w:space="0" w:color="BFBFB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350"/>
        <w:gridCol w:w="1350"/>
        <w:gridCol w:w="1350"/>
        <w:gridCol w:w="1350"/>
        <w:gridCol w:w="1000"/>
        <w:gridCol w:w="1100"/>
      </w:tblGrid>
      <w:tr w:rsidR="00C116E8" w:rsidRPr="00D72868" w14:paraId="492A7E0E" w14:textId="77777777" w:rsidTr="0008602F">
        <w:trPr>
          <w:cantSplit/>
          <w:tblHeader/>
        </w:trPr>
        <w:tc>
          <w:tcPr>
            <w:tcW w:w="15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5E1D96A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13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45E6F5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5E1CFB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EA966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C985E5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0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C68B5C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Trend </w:t>
            </w:r>
            <w:r w:rsidRPr="00D728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81282A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ΔAIC</w:t>
            </w:r>
          </w:p>
        </w:tc>
      </w:tr>
      <w:tr w:rsidR="00C116E8" w:rsidRPr="00D72868" w14:paraId="625740C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E32CCED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 T1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DECAB3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5.3 (40.0)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7228D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10.8 (42.6)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95865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18.6 (53.7)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44E8C8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32.4 (76.4)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472966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00A21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-0.6</w:t>
            </w:r>
          </w:p>
        </w:tc>
      </w:tr>
      <w:tr w:rsidR="00C116E8" w:rsidRPr="00D72868" w14:paraId="036814F1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85D9013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 T2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86D0B0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5.9 (36.4)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A4E165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13.9 (44.4)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0BBE3E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24.0 (55.6)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3237FD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189.7 (76.4)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3EB5FC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7C6098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+7.0</w:t>
            </w:r>
          </w:p>
        </w:tc>
      </w:tr>
      <w:tr w:rsidR="00C116E8" w:rsidRPr="00D72868" w14:paraId="6A1854E8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AF81FD1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 T3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BE96C9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6.8 (30.9)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4F7CAA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15.7 (48.1)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12539F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29.7 (61.1)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C2C6F8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220.4 (72.7)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FC0330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B71DC2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-6.3</w:t>
            </w:r>
          </w:p>
        </w:tc>
      </w:tr>
      <w:tr w:rsidR="00C116E8" w:rsidRPr="00D72868" w14:paraId="1554D3B4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27E28B7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 T1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CECC58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11.8 (32.7)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263A09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32.7 (51.9)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314B01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60.6 (66.7)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BB58B5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149.8 (61.8)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EAFB95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66EB1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+9.3</w:t>
            </w:r>
          </w:p>
        </w:tc>
      </w:tr>
      <w:tr w:rsidR="00C116E8" w:rsidRPr="00D72868" w14:paraId="48803F4C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4A62C6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 T2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ABC439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12.3 (36.4)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3799C8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28.7 (44.4)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B75872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52.7 (66.7)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6CEED4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131.5 (65.5)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B70F41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51CF0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-1.8</w:t>
            </w:r>
          </w:p>
        </w:tc>
      </w:tr>
      <w:tr w:rsidR="00C116E8" w:rsidRPr="00D72868" w14:paraId="408E5BF6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0914D5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 T3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671217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19.2 (43.6)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D1ED13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41.2 (46.3)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24C064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86.8 (55.6)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99A154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187.0 (67.3)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2F412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0.008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AE439E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+3.4</w:t>
            </w:r>
          </w:p>
        </w:tc>
      </w:tr>
      <w:tr w:rsidR="00C116E8" w:rsidRPr="00D72868" w14:paraId="00FFEB48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6ACEAD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 T1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C87825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 (43.6)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59F0B2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1.6 (44.4)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17AE98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4.5 (63.0)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35E83A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12.2 (61.8)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BEDE88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0.016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FD505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-3.2</w:t>
            </w:r>
          </w:p>
        </w:tc>
      </w:tr>
      <w:tr w:rsidR="00C116E8" w:rsidRPr="00D72868" w14:paraId="29A44E1E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F1DC2E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 T2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D98C54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 (42.9)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8D5F24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1.7 (50.9)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BBE5B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4.0 (59.3)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D6823C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8.8 (60.0)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F3146A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0.047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070922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-3.6</w:t>
            </w:r>
          </w:p>
        </w:tc>
      </w:tr>
      <w:tr w:rsidR="00C116E8" w:rsidRPr="00D72868" w14:paraId="3E05C85F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F55AE4A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 T3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50C1B1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 (41.8)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C78CCE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1.7 (42.6)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15A6C1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4.7 (66.7)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F0F5C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9.8 (61.8)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B11F48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ADF27C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+0.1</w:t>
            </w:r>
          </w:p>
        </w:tc>
      </w:tr>
      <w:tr w:rsidR="00C116E8" w:rsidRPr="00D72868" w14:paraId="0D298B0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EE4BE7F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 T1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86D141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6.2 (61.8)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A9475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24.8 (55.6)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821E3C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40.3 (42.6)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2B9B1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80.3 (52.7)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EE88BE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0.184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A4B132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+1.1</w:t>
            </w:r>
          </w:p>
        </w:tc>
      </w:tr>
      <w:tr w:rsidR="00C116E8" w:rsidRPr="00D72868" w14:paraId="332A751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C7E55D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 T2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8B6D56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5.9 (52.7)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924FE1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24.5 (57.4)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B33E0D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42.8 (44.4)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0456BF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76.0 (58.2)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24B2CE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0.904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0796A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-5.6</w:t>
            </w:r>
          </w:p>
        </w:tc>
      </w:tr>
      <w:tr w:rsidR="00C116E8" w:rsidRPr="00D72868" w14:paraId="59F3A7A6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EDB65BF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 T3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1DB418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7.4 (50.9)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36DBCA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22.8 (51.9)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3EBEA2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40.6 (53.7)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C82A19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72.6 (56.4)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A7D624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0.545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307B3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-4.1</w:t>
            </w:r>
          </w:p>
        </w:tc>
      </w:tr>
      <w:tr w:rsidR="00C116E8" w:rsidRPr="00D72868" w14:paraId="6E8ED580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3736DC2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 T1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E469F3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2.9 (54.5)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57D96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6.2 (43.6)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33D048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17.1 (47.2)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E2EE3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94.0 (67.3)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ADA22B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0.164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7221F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+0.5</w:t>
            </w:r>
          </w:p>
        </w:tc>
      </w:tr>
      <w:tr w:rsidR="00C116E8" w:rsidRPr="00D72868" w14:paraId="51CC46A3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8A19398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 T2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9A8376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2.7 (52.7)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562A77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7.1 (37.0)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4BF3E6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22.6 (61.1)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7CA861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79.0 (61.8)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F86AD1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0.092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CAB46E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+2.6</w:t>
            </w:r>
          </w:p>
        </w:tc>
      </w:tr>
      <w:tr w:rsidR="00C116E8" w:rsidRPr="00D72868" w14:paraId="54CE5BD7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4BECDEF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 T3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6EF00D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3.1 (47.3)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9FF5E9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7.2 (40.7)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4DBB83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26.5 (57.4)</w:t>
            </w:r>
          </w:p>
        </w:tc>
        <w:tc>
          <w:tcPr>
            <w:tcW w:w="1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C360FA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93.0 (67.3)</w:t>
            </w:r>
          </w:p>
        </w:tc>
        <w:tc>
          <w:tcPr>
            <w:tcW w:w="10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1029FE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0.012</w:t>
            </w:r>
          </w:p>
        </w:tc>
        <w:tc>
          <w:tcPr>
            <w:tcW w:w="11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CBD4A0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-5.6</w:t>
            </w:r>
          </w:p>
        </w:tc>
      </w:tr>
    </w:tbl>
    <w:p w14:paraId="0BA62AC3" w14:textId="77777777" w:rsidR="00C116E8" w:rsidRPr="00D72868" w:rsidRDefault="00C116E8" w:rsidP="00C116E8">
      <w:pPr>
        <w:spacing w:after="140" w:line="2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72868">
        <w:rPr>
          <w:rFonts w:ascii="Arial" w:hAnsi="Arial" w:cs="Arial"/>
          <w:sz w:val="18"/>
          <w:szCs w:val="18"/>
          <w:lang w:val="en-US"/>
        </w:rPr>
        <w:t xml:space="preserve">Note: Cells give the quartile median concentration in pg/mL with the observed percentage meeting PSCI criteria in parentheses. Trend </w:t>
      </w:r>
      <w:r w:rsidRPr="00D72868">
        <w:rPr>
          <w:rFonts w:ascii="Arial" w:hAnsi="Arial" w:cs="Arial"/>
          <w:i/>
          <w:iCs/>
          <w:sz w:val="18"/>
          <w:szCs w:val="18"/>
          <w:lang w:val="en-US"/>
        </w:rPr>
        <w:t>P</w:t>
      </w:r>
      <w:r w:rsidRPr="00D72868">
        <w:rPr>
          <w:rFonts w:ascii="Arial" w:hAnsi="Arial" w:cs="Arial"/>
          <w:sz w:val="18"/>
          <w:szCs w:val="18"/>
          <w:lang w:val="en-US"/>
        </w:rPr>
        <w:t xml:space="preserve"> from logistic regression on the quartile index. </w:t>
      </w:r>
      <w:r w:rsidRPr="00D72868">
        <w:rPr>
          <w:rFonts w:ascii="Arial" w:hAnsi="Arial" w:cs="Arial"/>
          <w:sz w:val="18"/>
          <w:szCs w:val="18"/>
        </w:rPr>
        <w:t>Δ</w:t>
      </w:r>
      <w:r w:rsidRPr="00D72868">
        <w:rPr>
          <w:rFonts w:ascii="Arial" w:hAnsi="Arial" w:cs="Arial"/>
          <w:sz w:val="18"/>
          <w:szCs w:val="18"/>
          <w:lang w:val="en-US"/>
        </w:rPr>
        <w:t>AIC = AIC(linear-in-log) − AIC(flexible spline on the raw scale); positive values indicate residual departure from linearity in the log-odds.</w:t>
      </w:r>
    </w:p>
    <w:p w14:paraId="00C344A6" w14:textId="77777777" w:rsidR="00C116E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</w:p>
    <w:p w14:paraId="5E2D448F" w14:textId="77777777" w:rsidR="00C116E8" w:rsidRPr="00D7286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</w:p>
    <w:p w14:paraId="09ABFAE5" w14:textId="77777777" w:rsidR="00C116E8" w:rsidRPr="00D72868" w:rsidRDefault="00C116E8" w:rsidP="00C116E8">
      <w:pPr>
        <w:spacing w:before="180" w:after="60" w:line="300" w:lineRule="auto"/>
        <w:jc w:val="both"/>
        <w:rPr>
          <w:rFonts w:ascii="Arial" w:hAnsi="Arial" w:cs="Arial"/>
          <w:lang w:val="en-US"/>
        </w:rPr>
      </w:pPr>
      <w:r w:rsidRPr="00D72868">
        <w:rPr>
          <w:rFonts w:ascii="Arial" w:hAnsi="Arial" w:cs="Arial"/>
          <w:b/>
          <w:bCs/>
          <w:lang w:val="en-US"/>
        </w:rPr>
        <w:t xml:space="preserve">Supplementary Table S2. </w:t>
      </w:r>
      <w:r w:rsidRPr="00D72868">
        <w:rPr>
          <w:rFonts w:ascii="Arial" w:hAnsi="Arial" w:cs="Arial"/>
          <w:lang w:val="en-US"/>
        </w:rPr>
        <w:t>Each biomarker alone as a predictor of poor functional outcome (mRS 3–6), by sampling time.</w:t>
      </w:r>
    </w:p>
    <w:tbl>
      <w:tblPr>
        <w:tblW w:w="8600" w:type="dxa"/>
        <w:tblBorders>
          <w:top w:val="single" w:sz="6" w:space="0" w:color="000000"/>
          <w:left w:val="single" w:sz="2" w:space="0" w:color="FFFFFF"/>
          <w:bottom w:val="single" w:sz="6" w:space="0" w:color="000000"/>
          <w:right w:val="single" w:sz="2" w:space="0" w:color="FFFFFF"/>
          <w:insideH w:val="single" w:sz="2" w:space="0" w:color="BFBFBF"/>
          <w:insideV w:val="single" w:sz="2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900"/>
        <w:gridCol w:w="1200"/>
        <w:gridCol w:w="1200"/>
        <w:gridCol w:w="1300"/>
      </w:tblGrid>
      <w:tr w:rsidR="00C116E8" w:rsidRPr="00D72868" w14:paraId="0169E789" w14:textId="77777777" w:rsidTr="0008602F">
        <w:trPr>
          <w:cantSplit/>
          <w:tblHeader/>
        </w:trPr>
        <w:tc>
          <w:tcPr>
            <w:tcW w:w="15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5C4D313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15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AE2360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OR per ln-unit</w:t>
            </w:r>
          </w:p>
        </w:tc>
        <w:tc>
          <w:tcPr>
            <w:tcW w:w="19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33E7D6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2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F5CFB35" w14:textId="77777777" w:rsidR="00C116E8" w:rsidRPr="00D72868" w:rsidRDefault="00C116E8" w:rsidP="0008602F">
            <w:pPr>
              <w:jc w:val="center"/>
              <w:rPr>
                <w:rFonts w:ascii="Arial" w:hAnsi="Arial" w:cs="Arial"/>
                <w:i/>
                <w:iCs/>
              </w:rPr>
            </w:pPr>
            <w:r w:rsidRPr="00D728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D1DFB9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q</w:t>
            </w: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(FDR)</w:t>
            </w:r>
          </w:p>
        </w:tc>
        <w:tc>
          <w:tcPr>
            <w:tcW w:w="13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249B9C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AUC</w:t>
            </w:r>
          </w:p>
        </w:tc>
      </w:tr>
      <w:tr w:rsidR="00C116E8" w:rsidRPr="00D72868" w14:paraId="08FDF7AD" w14:textId="77777777" w:rsidTr="0008602F">
        <w:trPr>
          <w:cantSplit/>
        </w:trPr>
        <w:tc>
          <w:tcPr>
            <w:tcW w:w="0" w:type="auto"/>
            <w:gridSpan w:val="6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6E42220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T1 — admission</w:t>
            </w:r>
          </w:p>
        </w:tc>
      </w:tr>
      <w:tr w:rsidR="00C116E8" w:rsidRPr="00D72868" w14:paraId="542472CC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21362D2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CC2C3E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1.538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6E1E51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1.19–1.99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31F307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E94635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DB4977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0.686</w:t>
            </w:r>
          </w:p>
        </w:tc>
      </w:tr>
      <w:tr w:rsidR="00C116E8" w:rsidRPr="00D72868" w14:paraId="5E3EBA72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554D487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69FF6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1.070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7813B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0.84–1.36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49A4DA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0.581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EA182D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0.603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524578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0.581</w:t>
            </w:r>
          </w:p>
        </w:tc>
      </w:tr>
      <w:tr w:rsidR="00C116E8" w:rsidRPr="00D72868" w14:paraId="6B49E761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783908A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D4CD1E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1.112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71D679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0.92–1.34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E1C735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0.264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807AE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0.440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FF814F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0.543</w:t>
            </w:r>
          </w:p>
        </w:tc>
      </w:tr>
      <w:tr w:rsidR="00C116E8" w:rsidRPr="00D72868" w14:paraId="386E4483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3E5A5E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C1D91C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1.126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56F548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0.85–1.50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B0A2D2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0.416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07261B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0.535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F1CA18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0.542</w:t>
            </w:r>
          </w:p>
        </w:tc>
      </w:tr>
      <w:tr w:rsidR="00C116E8" w:rsidRPr="00D72868" w14:paraId="7842AA83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472888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9EAEC8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1.066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480F27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0.84–1.36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1E205D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0.603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06B75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0.603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7B43AD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0.485</w:t>
            </w:r>
          </w:p>
        </w:tc>
      </w:tr>
      <w:tr w:rsidR="00C116E8" w:rsidRPr="00D72868" w14:paraId="47D953AA" w14:textId="77777777" w:rsidTr="0008602F">
        <w:trPr>
          <w:cantSplit/>
        </w:trPr>
        <w:tc>
          <w:tcPr>
            <w:tcW w:w="0" w:type="auto"/>
            <w:gridSpan w:val="6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946451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T2 — 24 hours</w:t>
            </w:r>
          </w:p>
        </w:tc>
      </w:tr>
      <w:tr w:rsidR="00C116E8" w:rsidRPr="00D72868" w14:paraId="40BA992C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76B6B3C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EFDCBC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1.865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97EF87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1.45–2.40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0FCEF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83C7B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E91F6E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0.737</w:t>
            </w:r>
          </w:p>
        </w:tc>
      </w:tr>
      <w:tr w:rsidR="00C116E8" w:rsidRPr="00D72868" w14:paraId="1FEBFBEE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192F3F1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A53EEB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1.746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76B731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1.38–2.21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02B42A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A7C4F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D3C5DEC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0.700</w:t>
            </w:r>
          </w:p>
        </w:tc>
      </w:tr>
      <w:tr w:rsidR="00C116E8" w:rsidRPr="00D72868" w14:paraId="732DB53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B2CA118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A2CE21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1.495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E9A9E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1.14–1.96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D27C2D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96A3CE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0.010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BAEFD0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0.697</w:t>
            </w:r>
          </w:p>
        </w:tc>
      </w:tr>
      <w:tr w:rsidR="00C116E8" w:rsidRPr="00D72868" w14:paraId="46B8F330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B8E8169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075F0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1.119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6D6619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0.85–1.47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96BD9D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0.423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990049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0.535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50CCA4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0.534</w:t>
            </w:r>
          </w:p>
        </w:tc>
      </w:tr>
      <w:tr w:rsidR="00C116E8" w:rsidRPr="00D72868" w14:paraId="7E1BB07E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05659C5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BBEB28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1.113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DD3EEA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0.85–1.45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678A34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0.428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D1C2C9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0.535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CE6677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0.489</w:t>
            </w:r>
          </w:p>
        </w:tc>
      </w:tr>
      <w:tr w:rsidR="00C116E8" w:rsidRPr="00D72868" w14:paraId="75057F22" w14:textId="77777777" w:rsidTr="0008602F">
        <w:trPr>
          <w:cantSplit/>
        </w:trPr>
        <w:tc>
          <w:tcPr>
            <w:tcW w:w="0" w:type="auto"/>
            <w:gridSpan w:val="6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74ECC6F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b/>
                <w:bCs/>
                <w:sz w:val="18"/>
                <w:szCs w:val="18"/>
              </w:rPr>
              <w:t>T3 — day 7</w:t>
            </w:r>
          </w:p>
        </w:tc>
      </w:tr>
      <w:tr w:rsidR="00C116E8" w:rsidRPr="00D72868" w14:paraId="1487D9E8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EEB401F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GFAP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207E05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1.814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33760C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1.44–2.28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E88519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EAFCB0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90CA0F7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0.743</w:t>
            </w:r>
          </w:p>
        </w:tc>
      </w:tr>
      <w:tr w:rsidR="00C116E8" w:rsidRPr="00D72868" w14:paraId="1A3840B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ABF5945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IFN-α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9D08A8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1.978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0601EF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1.52–2.57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8F9D4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A9085B5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5662221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0.743</w:t>
            </w:r>
          </w:p>
        </w:tc>
      </w:tr>
      <w:tr w:rsidR="00C116E8" w:rsidRPr="00D72868" w14:paraId="51C2E6EB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B17F942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IL-6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1C2431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1.235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494118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1.00–1.53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F71823E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0.051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09E7DD4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0.097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B4E3138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0.641</w:t>
            </w:r>
          </w:p>
        </w:tc>
      </w:tr>
      <w:tr w:rsidR="00C116E8" w:rsidRPr="00D72868" w14:paraId="62871485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D219A57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NfL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D2AD4B2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1.430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F2E8960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1.05–1.95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7592A7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0.023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2BF54DF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0.050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127E4F3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0.597</w:t>
            </w:r>
          </w:p>
        </w:tc>
      </w:tr>
      <w:tr w:rsidR="00C116E8" w:rsidRPr="00D72868" w14:paraId="7026D4ED" w14:textId="77777777" w:rsidTr="0008602F">
        <w:trPr>
          <w:cantSplit/>
        </w:trPr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32B0EC6" w14:textId="77777777" w:rsidR="00C116E8" w:rsidRPr="00D72868" w:rsidRDefault="00C116E8" w:rsidP="0008602F">
            <w:pPr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UCHL1</w:t>
            </w:r>
          </w:p>
        </w:tc>
        <w:tc>
          <w:tcPr>
            <w:tcW w:w="1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5E2C7AD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1.070</w:t>
            </w:r>
          </w:p>
        </w:tc>
        <w:tc>
          <w:tcPr>
            <w:tcW w:w="19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8131A8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0.84–1.37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FED8F5A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0.592</w:t>
            </w:r>
          </w:p>
        </w:tc>
        <w:tc>
          <w:tcPr>
            <w:tcW w:w="12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7A12F29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0.603</w:t>
            </w:r>
          </w:p>
        </w:tc>
        <w:tc>
          <w:tcPr>
            <w:tcW w:w="13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D9B0BF6" w14:textId="77777777" w:rsidR="00C116E8" w:rsidRPr="00D72868" w:rsidRDefault="00C116E8" w:rsidP="0008602F">
            <w:pPr>
              <w:jc w:val="center"/>
              <w:rPr>
                <w:rFonts w:ascii="Arial" w:hAnsi="Arial" w:cs="Arial"/>
              </w:rPr>
            </w:pPr>
            <w:r w:rsidRPr="00D72868">
              <w:rPr>
                <w:rFonts w:ascii="Arial" w:hAnsi="Arial" w:cs="Arial"/>
                <w:sz w:val="18"/>
                <w:szCs w:val="18"/>
              </w:rPr>
              <w:t>0.494</w:t>
            </w:r>
          </w:p>
        </w:tc>
      </w:tr>
    </w:tbl>
    <w:p w14:paraId="1CC36BFB" w14:textId="77777777" w:rsidR="00C116E8" w:rsidRPr="00D7286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  <w:r w:rsidRPr="00D72868">
        <w:rPr>
          <w:rFonts w:ascii="Arial" w:hAnsi="Arial" w:cs="Arial"/>
          <w:sz w:val="18"/>
          <w:szCs w:val="18"/>
          <w:lang w:val="en-US"/>
        </w:rPr>
        <w:t xml:space="preserve">Note: Odds ratios per natural-log unit. </w:t>
      </w:r>
      <w:r w:rsidRPr="00D72868">
        <w:rPr>
          <w:rFonts w:ascii="Arial" w:hAnsi="Arial" w:cs="Arial"/>
          <w:i/>
          <w:iCs/>
          <w:sz w:val="18"/>
          <w:szCs w:val="18"/>
          <w:lang w:val="en-US"/>
        </w:rPr>
        <w:t>q</w:t>
      </w:r>
      <w:r w:rsidRPr="00D72868">
        <w:rPr>
          <w:rFonts w:ascii="Arial" w:hAnsi="Arial" w:cs="Arial"/>
          <w:sz w:val="18"/>
          <w:szCs w:val="18"/>
          <w:lang w:val="en-US"/>
        </w:rPr>
        <w:t>, false-discovery rate across all fifteen combinations.</w:t>
      </w:r>
    </w:p>
    <w:p w14:paraId="1012349C" w14:textId="77777777" w:rsidR="00C116E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</w:p>
    <w:p w14:paraId="2578EF88" w14:textId="77777777" w:rsidR="00C116E8" w:rsidRPr="00D7286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</w:p>
    <w:p w14:paraId="2B8A0A5A" w14:textId="77777777" w:rsidR="00C116E8" w:rsidRPr="006508A6" w:rsidRDefault="00C116E8" w:rsidP="00C116E8">
      <w:pPr>
        <w:spacing w:before="180" w:after="60" w:line="300" w:lineRule="auto"/>
        <w:jc w:val="both"/>
        <w:rPr>
          <w:rFonts w:ascii="Arial" w:hAnsi="Arial" w:cs="Arial"/>
          <w:lang w:val="en-US"/>
        </w:rPr>
      </w:pPr>
      <w:r w:rsidRPr="006508A6">
        <w:rPr>
          <w:rFonts w:ascii="Arial" w:hAnsi="Arial" w:cs="Arial"/>
          <w:b/>
          <w:bCs/>
          <w:lang w:val="en-US"/>
        </w:rPr>
        <w:lastRenderedPageBreak/>
        <w:t xml:space="preserve">Supplementary Table S3. </w:t>
      </w:r>
      <w:r w:rsidRPr="006508A6">
        <w:rPr>
          <w:rFonts w:ascii="Arial" w:hAnsi="Arial" w:cs="Arial"/>
          <w:iCs/>
          <w:lang w:val="en-US"/>
        </w:rPr>
        <w:t xml:space="preserve">Sensitivity of </w:t>
      </w:r>
      <w:r>
        <w:rPr>
          <w:rFonts w:ascii="Arial" w:hAnsi="Arial" w:cs="Arial"/>
          <w:iCs/>
          <w:lang w:val="en-US"/>
        </w:rPr>
        <w:t>the</w:t>
      </w:r>
      <w:r w:rsidRPr="006508A6">
        <w:rPr>
          <w:rFonts w:ascii="Arial" w:hAnsi="Arial" w:cs="Arial"/>
          <w:iCs/>
          <w:lang w:val="en-US"/>
        </w:rPr>
        <w:t xml:space="preserve"> biomarker association to pulmonary infection.</w:t>
      </w:r>
    </w:p>
    <w:tbl>
      <w:tblPr>
        <w:tblW w:w="9100" w:type="dxa"/>
        <w:tblBorders>
          <w:top w:val="single" w:sz="6" w:space="0" w:color="000000"/>
          <w:left w:val="single" w:sz="2" w:space="0" w:color="FFFFFF"/>
          <w:bottom w:val="single" w:sz="6" w:space="0" w:color="000000"/>
          <w:right w:val="single" w:sz="2" w:space="0" w:color="FFFFFF"/>
          <w:insideH w:val="single" w:sz="2" w:space="0" w:color="BFBFBF"/>
          <w:insideV w:val="single" w:sz="2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0"/>
        <w:gridCol w:w="2250"/>
        <w:gridCol w:w="2250"/>
        <w:gridCol w:w="2250"/>
      </w:tblGrid>
      <w:tr w:rsidR="00C116E8" w14:paraId="07ADD233" w14:textId="77777777" w:rsidTr="0008602F">
        <w:trPr>
          <w:cantSplit/>
          <w:tblHeader/>
        </w:trPr>
        <w:tc>
          <w:tcPr>
            <w:tcW w:w="23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9BBDF48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</w:rPr>
              <w:t>Model / marker</w:t>
            </w:r>
          </w:p>
        </w:tc>
        <w:tc>
          <w:tcPr>
            <w:tcW w:w="22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71BD0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</w:rPr>
              <w:t>As reported</w:t>
            </w:r>
          </w:p>
        </w:tc>
        <w:tc>
          <w:tcPr>
            <w:tcW w:w="22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16D704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</w:rPr>
              <w:t>+ pulmonary infection</w:t>
            </w:r>
          </w:p>
        </w:tc>
        <w:tc>
          <w:tcPr>
            <w:tcW w:w="225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E7989F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</w:rPr>
              <w:t>Uninfected only (n=190)</w:t>
            </w:r>
          </w:p>
        </w:tc>
      </w:tr>
      <w:tr w:rsidR="00C116E8" w:rsidRPr="00F36023" w14:paraId="7DF9A992" w14:textId="77777777" w:rsidTr="0008602F">
        <w:trPr>
          <w:cantSplit/>
        </w:trPr>
        <w:tc>
          <w:tcPr>
            <w:tcW w:w="0" w:type="auto"/>
            <w:gridSpan w:val="4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265945E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A. The multivariable models reported in the main text, refitted</w:t>
            </w:r>
          </w:p>
        </w:tc>
      </w:tr>
      <w:tr w:rsidR="00C116E8" w:rsidRPr="00F36023" w14:paraId="734C28CA" w14:textId="77777777" w:rsidTr="0008602F">
        <w:trPr>
          <w:cantSplit/>
          <w:tblHeader/>
        </w:trPr>
        <w:tc>
          <w:tcPr>
            <w:tcW w:w="9100" w:type="dxa"/>
            <w:gridSpan w:val="4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DEB348E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Table 4 — poor functional outcome. Terms: age, admission NIHSS, infarct extent, ln GFAP-T3, ln IFN-</w:t>
            </w:r>
            <w:r w:rsidRPr="00F02CC0">
              <w:rPr>
                <w:rFonts w:ascii="Arial" w:hAnsi="Arial" w:cs="Arial"/>
                <w:b/>
                <w:bCs/>
                <w:sz w:val="18"/>
                <w:szCs w:val="18"/>
              </w:rPr>
              <w:t>α</w:t>
            </w: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-T3</w:t>
            </w:r>
          </w:p>
        </w:tc>
      </w:tr>
      <w:tr w:rsidR="00C116E8" w14:paraId="524D4A11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C5BB4D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Pr="00F02CC0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BAF64C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1.016 (0.986–1.047), P=0.299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BAA83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1.013 (0.983–1.043), P=0.413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DD36819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1.000 (0.967–1.033), P=0.992</w:t>
            </w:r>
          </w:p>
        </w:tc>
      </w:tr>
      <w:tr w:rsidR="00C116E8" w14:paraId="6CBE4906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1F56D9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Admission NIHSS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53B98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1.097 (1.030–1.168), P=0.004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00F25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1.096 (1.028–1.167), P=0.005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15ECBD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1.118 (1.037–1.205), P=0.004</w:t>
            </w:r>
          </w:p>
        </w:tc>
      </w:tr>
      <w:tr w:rsidR="00C116E8" w14:paraId="1D5304C3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B04502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Infarct extent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F84EF3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3.065 (1.807–5.197),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9DA108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3.054 (1.782–5.233),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DB82AE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3.011 (1.672–5.424), P&lt;0.001</w:t>
            </w:r>
          </w:p>
        </w:tc>
      </w:tr>
      <w:tr w:rsidR="00C116E8" w14:paraId="5F1419F4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4EA77B2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Cambria Math" w:hAnsi="Cambria Math" w:cs="Cambria Math"/>
                <w:sz w:val="18"/>
                <w:szCs w:val="18"/>
              </w:rPr>
              <w:t>▸</w:t>
            </w:r>
            <w:r w:rsidRPr="00F02CC0">
              <w:rPr>
                <w:rFonts w:ascii="Arial" w:hAnsi="Arial" w:cs="Arial"/>
                <w:sz w:val="18"/>
                <w:szCs w:val="18"/>
              </w:rPr>
              <w:t xml:space="preserve"> ln GFAP-T3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FEACC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1.092 (0.775–1.538), P=0.615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236075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1.069 (0.755–1.512), P=0.708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C5247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0.952 (0.621–1.461), P=0.824</w:t>
            </w:r>
          </w:p>
        </w:tc>
      </w:tr>
      <w:tr w:rsidR="00C116E8" w14:paraId="7D80C4C6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349F1A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Cambria Math" w:hAnsi="Cambria Math" w:cs="Cambria Math"/>
                <w:sz w:val="18"/>
                <w:szCs w:val="18"/>
              </w:rPr>
              <w:t>▸</w:t>
            </w:r>
            <w:r w:rsidRPr="00F02CC0">
              <w:rPr>
                <w:rFonts w:ascii="Arial" w:hAnsi="Arial" w:cs="Arial"/>
                <w:sz w:val="18"/>
                <w:szCs w:val="18"/>
              </w:rPr>
              <w:t xml:space="preserve"> ln IFN-α-T3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C86CC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1.967 (1.431–2.704),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02014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1.942 (1.411–2.675),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5F906A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2.141 (1.498–3.058), P&lt;0.001</w:t>
            </w:r>
          </w:p>
        </w:tc>
      </w:tr>
      <w:tr w:rsidR="00C116E8" w14:paraId="70614FE5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09E228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Pulmonary infection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635E6A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CDF8C5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2.704 (0.895–8.174), P=0.078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18758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C116E8" w14:paraId="2E49949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0430990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Model AUC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D2BF7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0.896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071BA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0.899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1BBD79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0.898</w:t>
            </w:r>
          </w:p>
        </w:tc>
      </w:tr>
      <w:tr w:rsidR="00C116E8" w14:paraId="1CCB6EAB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D73B0D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 (events)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70150C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(51)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884506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(51)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0CB01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190 (36)</w:t>
            </w:r>
          </w:p>
        </w:tc>
      </w:tr>
      <w:tr w:rsidR="00C116E8" w:rsidRPr="00F36023" w14:paraId="0976200C" w14:textId="77777777" w:rsidTr="0008602F">
        <w:trPr>
          <w:cantSplit/>
          <w:tblHeader/>
        </w:trPr>
        <w:tc>
          <w:tcPr>
            <w:tcW w:w="9100" w:type="dxa"/>
            <w:gridSpan w:val="4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3615E94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</w:t>
            </w: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, Model 3 — PSCI. Terms: age, admission NIHSS, admission HAMD, ln GFAP-T1</w:t>
            </w:r>
          </w:p>
        </w:tc>
      </w:tr>
      <w:tr w:rsidR="00C116E8" w14:paraId="134EB370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13B81C64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Pr="00F02CC0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925EC5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1.037 (1.010–1.064), P=0.006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E982E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1.035 (1.009–1.063), P=0.008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50A17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1.040 (1.011–1.070), P=0.006</w:t>
            </w:r>
          </w:p>
        </w:tc>
      </w:tr>
      <w:tr w:rsidR="00C116E8" w14:paraId="15203261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D46906D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Admission NIHSS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1F7D0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1.160 (1.077–1.249),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E0CC17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1.154 (1.071–1.243),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A680F4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1.133 (1.051–1.222), P=0.001</w:t>
            </w:r>
          </w:p>
        </w:tc>
      </w:tr>
      <w:tr w:rsidR="00C116E8" w14:paraId="3719F33D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F395D34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Admission HAMD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6B93C9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1.493 (1.235–1.804),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B55C57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1.499 (1.238–1.815),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4846B6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1.597 (1.290–1.977), P&lt;0.001</w:t>
            </w:r>
          </w:p>
        </w:tc>
      </w:tr>
      <w:tr w:rsidR="00C116E8" w14:paraId="76C4674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9953F4D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Cambria Math" w:hAnsi="Cambria Math" w:cs="Cambria Math"/>
                <w:sz w:val="18"/>
                <w:szCs w:val="18"/>
              </w:rPr>
              <w:t>▸</w:t>
            </w:r>
            <w:r w:rsidRPr="00F02CC0">
              <w:rPr>
                <w:rFonts w:ascii="Arial" w:hAnsi="Arial" w:cs="Arial"/>
                <w:sz w:val="18"/>
                <w:szCs w:val="18"/>
              </w:rPr>
              <w:t xml:space="preserve"> ln GFAP-T1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DAA6C8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1.870 (1.273–2.747), P=0.001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114A5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1.854 (1.262–2.724), P=0.002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85D850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1.858 (1.240–2.784), P=0.003</w:t>
            </w:r>
          </w:p>
        </w:tc>
      </w:tr>
      <w:tr w:rsidR="00C116E8" w14:paraId="5338BBBF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7BC0369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Pulmonary infection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DBB88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42BD4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1.552 (0.525–4.593), P=0.427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5651DE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C116E8" w14:paraId="13A56BC7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2877B42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Model AUC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29069E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0.822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3B44A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0.824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1C5283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0.818</w:t>
            </w:r>
          </w:p>
        </w:tc>
      </w:tr>
      <w:tr w:rsidR="00C116E8" w14:paraId="343189D4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C246CE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 (events)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C73FD2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(116)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C332A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(116)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37A418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190 (95)</w:t>
            </w:r>
          </w:p>
        </w:tc>
      </w:tr>
      <w:tr w:rsidR="00C116E8" w:rsidRPr="00F36023" w14:paraId="59B90A14" w14:textId="77777777" w:rsidTr="0008602F">
        <w:trPr>
          <w:cantSplit/>
          <w:tblHeader/>
        </w:trPr>
        <w:tc>
          <w:tcPr>
            <w:tcW w:w="9100" w:type="dxa"/>
            <w:gridSpan w:val="4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B814821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</w:t>
            </w: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, Model 5 — PSCI. Terms: age, sex, admission NIHSS, education, admission MoCA, ln GFAP-T1</w:t>
            </w:r>
          </w:p>
        </w:tc>
      </w:tr>
      <w:tr w:rsidR="00C116E8" w14:paraId="4D60FF7C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AC49748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Pr="00F02CC0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EC5BD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1.048 (1.017–1.079), P=0.002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8CAAF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1.046 (1.016–1.077), P=0.003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87875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1.062 (1.026–1.099), P&lt;0.001</w:t>
            </w:r>
          </w:p>
        </w:tc>
      </w:tr>
      <w:tr w:rsidR="00C116E8" w14:paraId="0563CB9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D3605D3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Female sex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C8A37F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0.563 (0.249–1.274), P=0.168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D9196B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0.537 (0.234–1.230), P=0.141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4F7C6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0.400 (0.155–1.029), P=0.057</w:t>
            </w:r>
          </w:p>
        </w:tc>
      </w:tr>
      <w:tr w:rsidR="00C116E8" w14:paraId="462AEEB6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087245E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Admission NIHSS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B8B1E4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1.175 (1.092–1.264),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315C53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1.168 (1.085–1.258),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3AA72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1.169 (1.079–1.266), P&lt;0.001</w:t>
            </w:r>
          </w:p>
        </w:tc>
      </w:tr>
      <w:tr w:rsidR="00C116E8" w14:paraId="07703B78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14A5C3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Education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282E6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1.090 (0.717–1.658), P=0.685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88723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1.106 (0.726–1.687), P=0.638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0938C0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1.242 (0.774–1.994), P=0.369</w:t>
            </w:r>
          </w:p>
        </w:tc>
      </w:tr>
      <w:tr w:rsidR="00C116E8" w14:paraId="46FBA46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7A62A48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Admission MoCA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CB0F52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0.606 (0.512–0.718),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BB8DF4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0.605 (0.511–0.717),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E59D2E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0.520 (0.419–0.645), P&lt;0.001</w:t>
            </w:r>
          </w:p>
        </w:tc>
      </w:tr>
      <w:tr w:rsidR="00C116E8" w14:paraId="365E91F5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DFED9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Cambria Math" w:hAnsi="Cambria Math" w:cs="Cambria Math"/>
                <w:sz w:val="18"/>
                <w:szCs w:val="18"/>
              </w:rPr>
              <w:t>▸</w:t>
            </w:r>
            <w:r w:rsidRPr="00F02CC0">
              <w:rPr>
                <w:rFonts w:ascii="Arial" w:hAnsi="Arial" w:cs="Arial"/>
                <w:sz w:val="18"/>
                <w:szCs w:val="18"/>
              </w:rPr>
              <w:t xml:space="preserve"> ln GFAP-T1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FABC88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2.136 (1.404–3.249),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C39904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2.108 (1.388–3.204),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75FEEF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2.008 (1.303–3.095), P=0.002</w:t>
            </w:r>
          </w:p>
        </w:tc>
      </w:tr>
      <w:tr w:rsidR="00C116E8" w14:paraId="52A50C4B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1227F6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Pulmonary infection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493FEE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CA6CB6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1.711 (0.492–5.953), P=0.399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D5B59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C116E8" w14:paraId="18518C54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0D5854B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Model AUC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67653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0.870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BA3AA9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0.870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0D3CC4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0.887</w:t>
            </w:r>
          </w:p>
        </w:tc>
      </w:tr>
      <w:tr w:rsidR="00C116E8" w14:paraId="24C48DD1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B812AA4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 (events)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4D8AE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(116)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D78C8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218 (116)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36D63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190 (95)</w:t>
            </w:r>
          </w:p>
        </w:tc>
      </w:tr>
      <w:tr w:rsidR="00C116E8" w:rsidRPr="00EF243E" w14:paraId="319CB792" w14:textId="77777777" w:rsidTr="0008602F">
        <w:trPr>
          <w:cantSplit/>
        </w:trPr>
        <w:tc>
          <w:tcPr>
            <w:tcW w:w="0" w:type="auto"/>
            <w:gridSpan w:val="4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3814765" w14:textId="77777777" w:rsidR="00C116E8" w:rsidRPr="00F02CC0" w:rsidRDefault="00C116E8" w:rsidP="0008602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C116E8" w:rsidRPr="00F36023" w14:paraId="4F1E83F1" w14:textId="77777777" w:rsidTr="0008602F">
        <w:trPr>
          <w:cantSplit/>
        </w:trPr>
        <w:tc>
          <w:tcPr>
            <w:tcW w:w="0" w:type="auto"/>
            <w:gridSpan w:val="4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43B399F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B. Each biomarker modelled on its own, one marker per model</w:t>
            </w:r>
          </w:p>
        </w:tc>
      </w:tr>
      <w:tr w:rsidR="00C116E8" w:rsidRPr="00F36023" w14:paraId="26C7BB23" w14:textId="77777777" w:rsidTr="0008602F">
        <w:trPr>
          <w:cantSplit/>
          <w:tblHeader/>
        </w:trPr>
        <w:tc>
          <w:tcPr>
            <w:tcW w:w="9100" w:type="dxa"/>
            <w:gridSpan w:val="4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0B8A611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Cognitive outcome (PSCI). One model per row: age + admission NIHSS + admission HAMD + that marker alone</w:t>
            </w:r>
          </w:p>
        </w:tc>
      </w:tr>
      <w:tr w:rsidR="00C116E8" w14:paraId="291B60D2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62E2D7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Pr="00F02CC0">
              <w:rPr>
                <w:rFonts w:ascii="Arial" w:hAnsi="Arial" w:cs="Arial"/>
                <w:sz w:val="18"/>
                <w:szCs w:val="18"/>
              </w:rPr>
              <w:t>GFAP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A523A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1.870 (1.273–2.747), P=0.001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54A2F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1.854 (1.262–2.724), P=0.002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FBCE0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1.858 (1.240–2.784), P=0.003</w:t>
            </w:r>
          </w:p>
        </w:tc>
      </w:tr>
      <w:tr w:rsidR="00C116E8" w14:paraId="257ACB6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A5E2B63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9B3394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1.422 (1.101–1.837), P=0.007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BAA0B9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1.425 (1.102–1.842), P=0.007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8CCBF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1.406 (1.075–1.839), P=0.013</w:t>
            </w:r>
          </w:p>
        </w:tc>
      </w:tr>
      <w:tr w:rsidR="00C116E8" w14:paraId="680BEDE4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2DB13F9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lastRenderedPageBreak/>
              <w:t xml:space="preserve">   IL-6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9A2F9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1.079 (0.901–1.291), P=0.409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B1FAE1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1.048 (0.861–1.275), P=0.642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67393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1.053 (0.862–1.285), P=0.613</w:t>
            </w:r>
          </w:p>
        </w:tc>
      </w:tr>
      <w:tr w:rsidR="00C116E8" w14:paraId="3B9E1878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CB23306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5C35E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0.865 (0.692–1.082), P=0.204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B8DF9F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0.867 (0.695–1.082), P=0.208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0BBB1B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0.854 (0.675–1.081), P=0.190</w:t>
            </w:r>
          </w:p>
        </w:tc>
      </w:tr>
      <w:tr w:rsidR="00C116E8" w14:paraId="40A1AB6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B1D7CA7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43D56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1.077 (0.897–1.293), P=0.429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65FB0B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1.074 (0.895–1.289), P=0.441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00BD2C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1.134 (0.918–1.401), P=0.245</w:t>
            </w:r>
          </w:p>
        </w:tc>
      </w:tr>
      <w:tr w:rsidR="00C116E8" w14:paraId="1AEA18A2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53A68F7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GFAP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CD9829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1.421 (1.063–1.901), P=0.018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73401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1.422 (1.062–1.905), P=0.018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36F2BA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1.653 (1.178–2.320), P=0.004</w:t>
            </w:r>
          </w:p>
        </w:tc>
      </w:tr>
      <w:tr w:rsidR="00C116E8" w14:paraId="5DFEA1D0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BFC177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46DB81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1.349 (1.036–1.756), P=0.026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03B22B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1.370 (1.048–1.791), P=0.021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7B0A03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1.470 (1.079–2.001), P=0.014</w:t>
            </w:r>
          </w:p>
        </w:tc>
      </w:tr>
      <w:tr w:rsidR="00C116E8" w14:paraId="62AB5F77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C9287E0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IL-6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C7351A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1.027 (0.845–1.248), P=0.790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102CC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1.008 (0.827–1.229), P=0.935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A921E9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1.032 (0.840–1.268), P=0.763</w:t>
            </w:r>
          </w:p>
        </w:tc>
      </w:tr>
      <w:tr w:rsidR="00C116E8" w14:paraId="5598F7FB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37A3A4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31BDFF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0.919 (0.722–1.171), P=0.496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6CA6F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0.925 (0.726–1.178), P=0.527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64EBC4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0.902 (0.698–1.166), P=0.431</w:t>
            </w:r>
          </w:p>
        </w:tc>
      </w:tr>
      <w:tr w:rsidR="00C116E8" w14:paraId="6D3B53C2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6E4760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9B51CF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1.157 (0.934–1.432), P=0.182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26246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1.148 (0.927–1.422), P=0.205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6502F8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1.230 (0.976–1.550), P=0.079</w:t>
            </w:r>
          </w:p>
        </w:tc>
      </w:tr>
      <w:tr w:rsidR="00C116E8" w14:paraId="09614561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0928E6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GFAP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72B6E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1.389 (1.061–1.818), P=0.017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E084D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1.379 (1.052–1.808), P=0.020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155887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1.476 (1.091–1.997), P=0.012</w:t>
            </w:r>
          </w:p>
        </w:tc>
      </w:tr>
      <w:tr w:rsidR="00C116E8" w14:paraId="4E8F76BD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3AF4F49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81947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1.173 (0.894–1.541), P=0.250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1285C5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1.186 (0.901–1.562), P=0.225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46B2C4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1.151 (0.858–1.543), P=0.348</w:t>
            </w:r>
          </w:p>
        </w:tc>
      </w:tr>
      <w:tr w:rsidR="00C116E8" w14:paraId="62B13974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CB18BC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IL-6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80C99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1.161 (0.959–1.405), P=0.126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9C2E299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1.157 (0.957–1.401), P=0.133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47BF6A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1.163 (0.951–1.423), P=0.141</w:t>
            </w:r>
          </w:p>
        </w:tc>
      </w:tr>
      <w:tr w:rsidR="00C116E8" w14:paraId="50ECBD51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3F61578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A27FD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1.000 (0.796–1.256), P=0.998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1081B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1.009 (0.803–1.267), P=0.940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74C9B3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0.989 (0.777–1.258), P=0.927</w:t>
            </w:r>
          </w:p>
        </w:tc>
      </w:tr>
      <w:tr w:rsidR="00C116E8" w14:paraId="22B9915F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27A8F7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D89CBB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1.238 (0.989–1.550), P=0.062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A59305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1.228 (0.980–1.538), P=0.074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9FE24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1.291 (1.015–1.642), P=0.037</w:t>
            </w:r>
          </w:p>
        </w:tc>
      </w:tr>
      <w:tr w:rsidR="00C116E8" w:rsidRPr="00F36023" w14:paraId="6754DAA6" w14:textId="77777777" w:rsidTr="0008602F">
        <w:trPr>
          <w:cantSplit/>
          <w:tblHeader/>
        </w:trPr>
        <w:tc>
          <w:tcPr>
            <w:tcW w:w="9100" w:type="dxa"/>
            <w:gridSpan w:val="4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40AA47B" w14:textId="77777777" w:rsidR="00C116E8" w:rsidRPr="00F02CC0" w:rsidRDefault="00C116E8" w:rsidP="0008602F">
            <w:pPr>
              <w:rPr>
                <w:rFonts w:ascii="Arial" w:hAnsi="Arial" w:cs="Arial"/>
                <w:lang w:val="en-US"/>
              </w:rPr>
            </w:pPr>
            <w:r w:rsidRPr="00F02CC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Functional outcome (mRS 3–6). One model per row: age + admission NIHSS + infarct extent + that marker alone</w:t>
            </w:r>
          </w:p>
        </w:tc>
      </w:tr>
      <w:tr w:rsidR="00C116E8" w14:paraId="2FF8DC45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D54F596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Pr="00F02CC0">
              <w:rPr>
                <w:rFonts w:ascii="Arial" w:hAnsi="Arial" w:cs="Arial"/>
                <w:sz w:val="18"/>
                <w:szCs w:val="18"/>
              </w:rPr>
              <w:t>GFAP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F5E48D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0.862 (0.579–1.284), P=0.465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1C652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0.849 (0.564–1.277), P=0.431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6139F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0.858 (0.558–1.319), P=0.485</w:t>
            </w:r>
          </w:p>
        </w:tc>
      </w:tr>
      <w:tr w:rsidR="00C116E8" w14:paraId="2C68DEAC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927175C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BB80B8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1.114 (0.831–1.494), P=0.470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E9EEB2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1.101 (0.822–1.476), P=0.517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AEDD3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1.111 (0.802–1.540), P=0.526</w:t>
            </w:r>
          </w:p>
        </w:tc>
      </w:tr>
      <w:tr w:rsidR="00C116E8" w14:paraId="3569052E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332A9A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IL-6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BF636AE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1.369 (1.044–1.796), P=0.023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F9C77C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1.262 (0.941–1.692), P=0.120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0AC84A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1.244 (0.932–1.662), P=0.138</w:t>
            </w:r>
          </w:p>
        </w:tc>
      </w:tr>
      <w:tr w:rsidR="00C116E8" w14:paraId="7173FF3B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F896B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BBD97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0.968 (0.718–1.306), P=0.833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893111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0.968 (0.714–1.313), P=0.834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D0344D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0.887 (0.655–1.201), P=0.438</w:t>
            </w:r>
          </w:p>
        </w:tc>
      </w:tr>
      <w:tr w:rsidR="00C116E8" w14:paraId="278C7292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137D90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8C4ABF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0.918 (0.729–1.155), P=0.465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C070F56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0.915 (0.730–1.145), P=0.436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E40479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0.835 (0.636–1.096), P=0.194</w:t>
            </w:r>
          </w:p>
        </w:tc>
      </w:tr>
      <w:tr w:rsidR="00C116E8" w14:paraId="5BE8F067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1411FF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GFAP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7033E0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1.006 (0.724–1.399), P=0.971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26E621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1.005 (0.721–1.401), P=0.975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B5C8E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1.073 (0.738–1.560), P=0.712</w:t>
            </w:r>
          </w:p>
        </w:tc>
      </w:tr>
      <w:tr w:rsidR="00C116E8" w14:paraId="35C9ED05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5B8FE3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DABC39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1.038 (0.762–1.413), P=0.815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7B66A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1.067 (0.784–1.452), P=0.679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61EC72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1.045 (0.717–1.522), P=0.821</w:t>
            </w:r>
          </w:p>
        </w:tc>
      </w:tr>
      <w:tr w:rsidR="00C116E8" w14:paraId="1B68F17B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E969CDB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IL-6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0C2E5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1.129 (0.848–1.504), P=0.407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5A7C99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1.070 (0.802–1.429), P=0.646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B6ACDE1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1.033 (0.771–1.383), P=0.830</w:t>
            </w:r>
          </w:p>
        </w:tc>
      </w:tr>
      <w:tr w:rsidR="00C116E8" w14:paraId="6825E25C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404ACC3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2648DB4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1.101 (0.779–1.556), P=0.586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69D1C9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1.138 (0.792–1.634), P=0.485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45DA8EA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1.028 (0.714–1.480), P=0.882</w:t>
            </w:r>
          </w:p>
        </w:tc>
      </w:tr>
      <w:tr w:rsidR="00C116E8" w14:paraId="1771A47C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069DCF5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T2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4E6E4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1.914 (1.414–2.589),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3EA953C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1.912 (1.409–2.595),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6BCBA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2.073 (1.480–2.903), P&lt;0.001</w:t>
            </w:r>
          </w:p>
        </w:tc>
      </w:tr>
      <w:tr w:rsidR="00C116E8" w14:paraId="396F637D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DBFED74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GFAP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705752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1.121 (0.829–1.518), P=0.458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6B1B60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1.097 (0.808–1.488), P=0.554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06080B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1.062 (0.753–1.497), P=0.732</w:t>
            </w:r>
          </w:p>
        </w:tc>
      </w:tr>
      <w:tr w:rsidR="00C116E8" w14:paraId="5DC0E1C3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4895EB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NfL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AC143D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1.073 (0.763–1.510), P=0.684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C914705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1.090 (0.771–1.540), P=0.627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5E6E7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1.050 (0.720–1.533), P=0.799</w:t>
            </w:r>
          </w:p>
        </w:tc>
      </w:tr>
      <w:tr w:rsidR="00C116E8" w14:paraId="79B9B0E2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A1CC75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IL-6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92D7D7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1.007 (0.802–1.263), P=0.955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324932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0.985 (0.782–1.239), P=0.894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2EC149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1.032 (0.806–1.321), P=0.802</w:t>
            </w:r>
          </w:p>
        </w:tc>
      </w:tr>
      <w:tr w:rsidR="00C116E8" w14:paraId="5D11D130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3C3CF9C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UCHL1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008EC7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0.998 (0.720–1.383), P=0.991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7252D8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1.027 (0.730–1.444), P=0.879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6E0E72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0.932 (0.668–1.301), P=0.679</w:t>
            </w:r>
          </w:p>
        </w:tc>
      </w:tr>
      <w:tr w:rsidR="00C116E8" w14:paraId="255FBA0D" w14:textId="77777777" w:rsidTr="0008602F">
        <w:trPr>
          <w:cantSplit/>
        </w:trPr>
        <w:tc>
          <w:tcPr>
            <w:tcW w:w="23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F92F37C" w14:textId="77777777" w:rsidR="00C116E8" w:rsidRPr="00F02CC0" w:rsidRDefault="00C116E8" w:rsidP="0008602F">
            <w:pPr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 xml:space="preserve">   IFN-α T3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9395B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1.970 (1.435–2.705),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E46E9F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1.945 (1.414–2.675), P&lt;0.001</w:t>
            </w:r>
          </w:p>
        </w:tc>
        <w:tc>
          <w:tcPr>
            <w:tcW w:w="225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9748003" w14:textId="77777777" w:rsidR="00C116E8" w:rsidRPr="00F02CC0" w:rsidRDefault="00C116E8" w:rsidP="0008602F">
            <w:pPr>
              <w:jc w:val="center"/>
              <w:rPr>
                <w:rFonts w:ascii="Arial" w:hAnsi="Arial" w:cs="Arial"/>
              </w:rPr>
            </w:pPr>
            <w:r w:rsidRPr="00F02CC0">
              <w:rPr>
                <w:rFonts w:ascii="Arial" w:hAnsi="Arial" w:cs="Arial"/>
                <w:sz w:val="18"/>
                <w:szCs w:val="18"/>
              </w:rPr>
              <w:t>2.131 (1.495–3.037), P&lt;0.001</w:t>
            </w:r>
          </w:p>
        </w:tc>
      </w:tr>
    </w:tbl>
    <w:p w14:paraId="647138B9" w14:textId="77777777" w:rsidR="00C116E8" w:rsidRDefault="00C116E8" w:rsidP="00C116E8">
      <w:pPr>
        <w:spacing w:after="140" w:line="280" w:lineRule="auto"/>
        <w:rPr>
          <w:iCs/>
          <w:sz w:val="18"/>
          <w:szCs w:val="18"/>
          <w:lang w:val="en-US"/>
        </w:rPr>
      </w:pPr>
    </w:p>
    <w:p w14:paraId="6699ED4B" w14:textId="77777777" w:rsidR="00C116E8" w:rsidRPr="00F70242" w:rsidRDefault="00C116E8" w:rsidP="00C116E8">
      <w:pPr>
        <w:spacing w:after="140" w:line="280" w:lineRule="auto"/>
        <w:jc w:val="both"/>
        <w:rPr>
          <w:rFonts w:ascii="Arial" w:hAnsi="Arial" w:cs="Arial"/>
          <w:iCs/>
          <w:sz w:val="18"/>
          <w:szCs w:val="18"/>
          <w:lang w:val="en-US"/>
        </w:rPr>
      </w:pPr>
      <w:r>
        <w:rPr>
          <w:rFonts w:ascii="Arial" w:hAnsi="Arial" w:cs="Arial"/>
          <w:iCs/>
          <w:sz w:val="18"/>
          <w:szCs w:val="18"/>
          <w:lang w:val="en-US"/>
        </w:rPr>
        <w:lastRenderedPageBreak/>
        <w:t>(</w:t>
      </w:r>
      <w:r w:rsidRPr="00DD2E86">
        <w:rPr>
          <w:rFonts w:ascii="Arial" w:hAnsi="Arial" w:cs="Arial"/>
          <w:b/>
          <w:bCs/>
          <w:iCs/>
          <w:sz w:val="18"/>
          <w:szCs w:val="18"/>
          <w:lang w:val="en-US"/>
        </w:rPr>
        <w:t>Supplementary Table S3</w:t>
      </w:r>
      <w:r>
        <w:rPr>
          <w:rFonts w:ascii="Arial" w:hAnsi="Arial" w:cs="Arial"/>
          <w:iCs/>
          <w:sz w:val="18"/>
          <w:szCs w:val="18"/>
          <w:lang w:val="en-US"/>
        </w:rPr>
        <w:t xml:space="preserve">) </w:t>
      </w:r>
      <w:r w:rsidRPr="008A266C">
        <w:rPr>
          <w:rFonts w:ascii="Arial" w:hAnsi="Arial" w:cs="Arial"/>
          <w:iCs/>
          <w:sz w:val="18"/>
          <w:szCs w:val="18"/>
          <w:lang w:val="en-US"/>
        </w:rPr>
        <w:t xml:space="preserve">Note: Odds ratios with 95% confidence intervals and </w:t>
      </w:r>
      <w:r w:rsidRPr="0029549B">
        <w:rPr>
          <w:rFonts w:ascii="Arial" w:hAnsi="Arial" w:cs="Arial"/>
          <w:i/>
          <w:iCs/>
          <w:sz w:val="18"/>
          <w:szCs w:val="18"/>
          <w:lang w:val="en-US"/>
        </w:rPr>
        <w:t>P</w:t>
      </w:r>
      <w:r w:rsidRPr="008A266C">
        <w:rPr>
          <w:rFonts w:ascii="Arial" w:hAnsi="Arial" w:cs="Arial"/>
          <w:iCs/>
          <w:sz w:val="18"/>
          <w:szCs w:val="18"/>
          <w:lang w:val="en-US"/>
        </w:rPr>
        <w:t xml:space="preserve"> values. The two panels use different models and their estimates are not interchangeable. Panel A refits, unchanged, each multivariable model reported in the main text; the terms of each model are listed in its heading row, so the marker estimates there are mutually adjusted — in the Table </w:t>
      </w:r>
      <w:r>
        <w:rPr>
          <w:rFonts w:ascii="Arial" w:hAnsi="Arial" w:cs="Arial"/>
          <w:iCs/>
          <w:sz w:val="18"/>
          <w:szCs w:val="18"/>
          <w:lang w:val="en-US"/>
        </w:rPr>
        <w:t>4</w:t>
      </w:r>
      <w:r w:rsidRPr="008A266C">
        <w:rPr>
          <w:rFonts w:ascii="Arial" w:hAnsi="Arial" w:cs="Arial"/>
          <w:iCs/>
          <w:sz w:val="18"/>
          <w:szCs w:val="18"/>
          <w:lang w:val="en-US"/>
        </w:rPr>
        <w:t xml:space="preserve"> model, for example, ln IFN-</w:t>
      </w:r>
      <w:r w:rsidRPr="008A266C">
        <w:rPr>
          <w:rFonts w:ascii="Arial" w:hAnsi="Arial" w:cs="Arial"/>
          <w:iCs/>
          <w:sz w:val="18"/>
          <w:szCs w:val="18"/>
        </w:rPr>
        <w:t>α</w:t>
      </w:r>
      <w:r w:rsidRPr="008A266C">
        <w:rPr>
          <w:rFonts w:ascii="Arial" w:hAnsi="Arial" w:cs="Arial"/>
          <w:iCs/>
          <w:sz w:val="18"/>
          <w:szCs w:val="18"/>
          <w:lang w:val="en-US"/>
        </w:rPr>
        <w:t xml:space="preserve">-T3 is adjusted for age, admission NIHSS, infarct extent and ln GFAP-T3. Panel B fits one marker at a time, adjusted only for that endpoint's clinical covariates and not for any other marker. Where a value in the two panels looks similar this reflects the weak contribution of the co-modelled marker rather than a shared model. In both panels the second column adds pulmonary infection to the model shown, and the third refits that model in the 190 patients who never developed pulmonary infection. </w:t>
      </w:r>
      <w:r w:rsidRPr="00F70242">
        <w:rPr>
          <w:rFonts w:ascii="Cambria Math" w:hAnsi="Cambria Math" w:cs="Cambria Math"/>
          <w:iCs/>
          <w:sz w:val="18"/>
          <w:szCs w:val="18"/>
          <w:lang w:val="en-US"/>
        </w:rPr>
        <w:t>▸</w:t>
      </w:r>
      <w:r w:rsidRPr="00F70242">
        <w:rPr>
          <w:rFonts w:ascii="Arial" w:hAnsi="Arial" w:cs="Arial"/>
          <w:iCs/>
          <w:sz w:val="18"/>
          <w:szCs w:val="18"/>
          <w:lang w:val="en-US"/>
        </w:rPr>
        <w:t xml:space="preserve"> marks the biomarker terms of interest.</w:t>
      </w:r>
    </w:p>
    <w:p w14:paraId="3A313927" w14:textId="77777777" w:rsidR="00C116E8" w:rsidRDefault="00C116E8" w:rsidP="00C116E8">
      <w:pPr>
        <w:spacing w:after="140" w:line="280" w:lineRule="auto"/>
        <w:rPr>
          <w:iCs/>
          <w:sz w:val="18"/>
          <w:szCs w:val="18"/>
          <w:lang w:val="en-US"/>
        </w:rPr>
      </w:pPr>
    </w:p>
    <w:p w14:paraId="0D6A5E05" w14:textId="77777777" w:rsidR="00C116E8" w:rsidRPr="00EC7910" w:rsidRDefault="00C116E8" w:rsidP="00C116E8">
      <w:pPr>
        <w:spacing w:after="140" w:line="280" w:lineRule="auto"/>
        <w:rPr>
          <w:lang w:val="en-US"/>
        </w:rPr>
      </w:pPr>
    </w:p>
    <w:p w14:paraId="44A598EB" w14:textId="77777777" w:rsidR="00C116E8" w:rsidRDefault="00C116E8" w:rsidP="00C116E8">
      <w:pPr>
        <w:rPr>
          <w:rFonts w:ascii="Arial" w:hAnsi="Arial" w:cs="Arial"/>
          <w:b/>
          <w:bCs/>
          <w:lang w:val="en-US"/>
        </w:rPr>
      </w:pPr>
    </w:p>
    <w:p w14:paraId="1FE84491" w14:textId="77777777" w:rsidR="00C116E8" w:rsidRPr="00F70242" w:rsidRDefault="00C116E8" w:rsidP="00C116E8">
      <w:pPr>
        <w:spacing w:before="180" w:after="60" w:line="30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D847B2">
        <w:rPr>
          <w:rFonts w:ascii="Arial" w:hAnsi="Arial" w:cs="Arial"/>
          <w:b/>
          <w:bCs/>
          <w:lang w:val="en-US"/>
        </w:rPr>
        <w:t xml:space="preserve">Supplementary Table </w:t>
      </w:r>
      <w:r>
        <w:rPr>
          <w:rFonts w:ascii="Arial" w:hAnsi="Arial" w:cs="Arial"/>
          <w:b/>
          <w:bCs/>
          <w:lang w:val="en-US"/>
        </w:rPr>
        <w:t>S</w:t>
      </w:r>
      <w:r w:rsidRPr="00D847B2">
        <w:rPr>
          <w:rFonts w:ascii="Arial" w:hAnsi="Arial" w:cs="Arial"/>
          <w:b/>
          <w:bCs/>
          <w:lang w:val="en-US"/>
        </w:rPr>
        <w:t xml:space="preserve">4. </w:t>
      </w:r>
      <w:r w:rsidRPr="00F70242">
        <w:rPr>
          <w:rFonts w:ascii="Arial" w:hAnsi="Arial" w:cs="Arial"/>
          <w:lang w:val="en-US"/>
        </w:rPr>
        <w:t>Exploratory comparison of biomarker discrimination for cognitive and functional outcomes.</w:t>
      </w:r>
    </w:p>
    <w:tbl>
      <w:tblPr>
        <w:tblW w:w="9544" w:type="dxa"/>
        <w:tblBorders>
          <w:top w:val="single" w:sz="6" w:space="0" w:color="000000"/>
          <w:left w:val="single" w:sz="2" w:space="0" w:color="FFFFFF"/>
          <w:bottom w:val="single" w:sz="6" w:space="0" w:color="000000"/>
          <w:right w:val="single" w:sz="2" w:space="0" w:color="FFFFFF"/>
          <w:insideH w:val="single" w:sz="2" w:space="0" w:color="BFBFBF"/>
          <w:insideV w:val="single" w:sz="2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5"/>
        <w:gridCol w:w="2500"/>
        <w:gridCol w:w="3029"/>
        <w:gridCol w:w="1667"/>
        <w:gridCol w:w="83"/>
      </w:tblGrid>
      <w:tr w:rsidR="00C116E8" w:rsidRPr="00D847B2" w14:paraId="6D1B2FCC" w14:textId="77777777" w:rsidTr="0008602F">
        <w:trPr>
          <w:cantSplit/>
          <w:tblHeader/>
        </w:trPr>
        <w:tc>
          <w:tcPr>
            <w:tcW w:w="2265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C9B364F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2500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97F410D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</w:rPr>
              <w:t>Cognitive outcome (PSCI)</w:t>
            </w:r>
          </w:p>
        </w:tc>
        <w:tc>
          <w:tcPr>
            <w:tcW w:w="3029" w:type="dxa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1EF6D16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</w:rPr>
              <w:t>Functional outcome (mRS 3–6)</w:t>
            </w:r>
          </w:p>
        </w:tc>
        <w:tc>
          <w:tcPr>
            <w:tcW w:w="1750" w:type="dxa"/>
            <w:gridSpan w:val="2"/>
            <w:shd w:val="clear" w:color="auto" w:fill="D9D9D9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938A4E8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</w:rPr>
              <w:t>Inference</w:t>
            </w:r>
          </w:p>
        </w:tc>
      </w:tr>
      <w:tr w:rsidR="00C116E8" w:rsidRPr="00F36023" w14:paraId="3D3C700D" w14:textId="77777777" w:rsidTr="0008602F">
        <w:trPr>
          <w:gridAfter w:val="1"/>
          <w:wAfter w:w="83" w:type="dxa"/>
          <w:cantSplit/>
        </w:trPr>
        <w:tc>
          <w:tcPr>
            <w:tcW w:w="9461" w:type="dxa"/>
            <w:gridSpan w:val="4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7059BF2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Level 1 — Omnibus: is there any endpoint-dependence across the panel?</w:t>
            </w:r>
          </w:p>
        </w:tc>
      </w:tr>
      <w:tr w:rsidR="00C116E8" w:rsidRPr="00D847B2" w14:paraId="4BEBDFA3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2A37418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Maximum |ΔAUC|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63A9A099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0.165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7D82EC4A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null 95th pct 0.155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2AFC381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D847B2">
              <w:rPr>
                <w:rFonts w:ascii="Arial" w:hAnsi="Arial" w:cs="Arial"/>
                <w:sz w:val="18"/>
                <w:szCs w:val="18"/>
              </w:rPr>
              <w:t>=0.026</w:t>
            </w:r>
          </w:p>
        </w:tc>
      </w:tr>
      <w:tr w:rsidR="00C116E8" w:rsidRPr="00D847B2" w14:paraId="6478A82C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32EF5DC3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Sum of squared ΔAUC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23ECCABF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0.108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4E2AD11C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null 95th pct 0.087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5BA50333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D847B2">
              <w:rPr>
                <w:rFonts w:ascii="Arial" w:hAnsi="Arial" w:cs="Arial"/>
                <w:sz w:val="18"/>
                <w:szCs w:val="18"/>
              </w:rPr>
              <w:t>=0.016</w:t>
            </w:r>
          </w:p>
        </w:tc>
      </w:tr>
      <w:tr w:rsidR="00C116E8" w:rsidRPr="00F36023" w14:paraId="24F40C3D" w14:textId="77777777" w:rsidTr="0008602F">
        <w:trPr>
          <w:gridAfter w:val="1"/>
          <w:wAfter w:w="83" w:type="dxa"/>
          <w:cantSplit/>
        </w:trPr>
        <w:tc>
          <w:tcPr>
            <w:tcW w:w="9461" w:type="dxa"/>
            <w:gridSpan w:val="4"/>
            <w:shd w:val="clear" w:color="auto" w:fill="F2F2F2"/>
            <w:tcMar>
              <w:top w:w="20" w:type="dxa"/>
              <w:left w:w="60" w:type="dxa"/>
              <w:bottom w:w="20" w:type="dxa"/>
              <w:right w:w="60" w:type="dxa"/>
            </w:tcMar>
          </w:tcPr>
          <w:p w14:paraId="03D8885D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847B2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Level 2 — Exploratory: all 15 marker–time combinations, FDR-corrected</w:t>
            </w:r>
          </w:p>
        </w:tc>
      </w:tr>
      <w:tr w:rsidR="00C116E8" w:rsidRPr="00D847B2" w14:paraId="234AFBD1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1863955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IFN-α T2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5523C0F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0.572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D6DE8B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0.737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4246532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ΔAUC −0.165, q=0.023*</w:t>
            </w:r>
          </w:p>
        </w:tc>
      </w:tr>
      <w:tr w:rsidR="00C116E8" w:rsidRPr="00D847B2" w14:paraId="3DD00766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EAB53CD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IFN-α T3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DBA8EE7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0.600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090CEE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0.743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41FE92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ΔAUC −0.142, q=0.060</w:t>
            </w:r>
          </w:p>
        </w:tc>
      </w:tr>
      <w:tr w:rsidR="00C116E8" w:rsidRPr="00D847B2" w14:paraId="2C439E1D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B89E28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GFAP T1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985705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0.683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4F49A2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0.542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CC8BE91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ΔAUC +0.141, q=0.090</w:t>
            </w:r>
          </w:p>
        </w:tc>
      </w:tr>
      <w:tr w:rsidR="00C116E8" w:rsidRPr="00D847B2" w14:paraId="1A4F7CB8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915856B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IL-6 T2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9AC2D45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0.585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D5169EA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0.697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58F22D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ΔAUC −0.112, q=0.146</w:t>
            </w:r>
          </w:p>
        </w:tc>
      </w:tr>
      <w:tr w:rsidR="00C116E8" w:rsidRPr="00D847B2" w14:paraId="2409A746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70668C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NfL T2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11B028B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0.638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43D67BD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0.534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C17DF4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ΔAUC +0.104, q=0.146</w:t>
            </w:r>
          </w:p>
        </w:tc>
      </w:tr>
      <w:tr w:rsidR="00C116E8" w:rsidRPr="00D847B2" w14:paraId="0EB49ED2" w14:textId="77777777" w:rsidTr="0008602F">
        <w:trPr>
          <w:cantSplit/>
        </w:trPr>
        <w:tc>
          <w:tcPr>
            <w:tcW w:w="2265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62F3A9" w14:textId="77777777" w:rsidR="00C116E8" w:rsidRPr="00D847B2" w:rsidRDefault="00C116E8" w:rsidP="0008602F">
            <w:pPr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Remaining 10 combinations</w:t>
            </w:r>
          </w:p>
        </w:tc>
        <w:tc>
          <w:tcPr>
            <w:tcW w:w="2500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C2A5BF4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302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0169D5F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750" w:type="dxa"/>
            <w:gridSpan w:val="2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A0178E" w14:textId="77777777" w:rsidR="00C116E8" w:rsidRPr="00D847B2" w:rsidRDefault="00C116E8" w:rsidP="000860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7B2">
              <w:rPr>
                <w:rFonts w:ascii="Arial" w:hAnsi="Arial" w:cs="Arial"/>
                <w:sz w:val="18"/>
                <w:szCs w:val="18"/>
              </w:rPr>
              <w:t>all q &gt; 0.17</w:t>
            </w:r>
          </w:p>
        </w:tc>
      </w:tr>
    </w:tbl>
    <w:p w14:paraId="423D980F" w14:textId="77777777" w:rsidR="00C116E8" w:rsidRPr="00D847B2" w:rsidRDefault="00C116E8" w:rsidP="00C116E8">
      <w:pPr>
        <w:rPr>
          <w:rFonts w:ascii="Arial" w:hAnsi="Arial" w:cs="Arial"/>
          <w:sz w:val="18"/>
          <w:szCs w:val="18"/>
          <w:lang w:val="en-US"/>
        </w:rPr>
      </w:pPr>
      <w:r w:rsidRPr="00D847B2">
        <w:rPr>
          <w:rFonts w:ascii="Arial" w:hAnsi="Arial" w:cs="Arial"/>
          <w:sz w:val="18"/>
          <w:szCs w:val="18"/>
          <w:lang w:val="en-US"/>
        </w:rPr>
        <w:t xml:space="preserve">Note: </w:t>
      </w:r>
    </w:p>
    <w:p w14:paraId="4FFF5303" w14:textId="77777777" w:rsidR="00C116E8" w:rsidRPr="00D847B2" w:rsidRDefault="00C116E8" w:rsidP="00C116E8">
      <w:pPr>
        <w:rPr>
          <w:rFonts w:ascii="Arial" w:hAnsi="Arial" w:cs="Arial"/>
          <w:iCs/>
          <w:sz w:val="18"/>
          <w:szCs w:val="18"/>
          <w:lang w:val="en-US"/>
        </w:rPr>
      </w:pPr>
      <w:r w:rsidRPr="00D847B2">
        <w:rPr>
          <w:rFonts w:ascii="Arial" w:hAnsi="Arial" w:cs="Arial"/>
          <w:iCs/>
          <w:sz w:val="18"/>
          <w:szCs w:val="18"/>
          <w:lang w:val="en-US"/>
        </w:rPr>
        <w:t xml:space="preserve">Level 1: permutation test of outcome assignment within patients (2000 permutations). </w:t>
      </w:r>
    </w:p>
    <w:p w14:paraId="11207295" w14:textId="77777777" w:rsidR="00C116E8" w:rsidRPr="00D847B2" w:rsidRDefault="00C116E8" w:rsidP="00C116E8">
      <w:pPr>
        <w:rPr>
          <w:rFonts w:ascii="Arial" w:hAnsi="Arial" w:cs="Arial"/>
          <w:sz w:val="18"/>
          <w:szCs w:val="18"/>
          <w:lang w:val="en-US"/>
        </w:rPr>
      </w:pPr>
      <w:r w:rsidRPr="00D847B2">
        <w:rPr>
          <w:rFonts w:ascii="Arial" w:hAnsi="Arial" w:cs="Arial"/>
          <w:iCs/>
          <w:sz w:val="18"/>
          <w:szCs w:val="18"/>
          <w:lang w:val="en-US"/>
        </w:rPr>
        <w:t xml:space="preserve">Level 2: all fifteen marker–time combinations with Benjamini–Hochberg correction across the family of fifteen; entries are AUC for each endpoint. </w:t>
      </w:r>
      <w:r w:rsidRPr="00D847B2">
        <w:rPr>
          <w:rFonts w:ascii="Arial" w:hAnsi="Arial" w:cs="Arial"/>
          <w:iCs/>
          <w:sz w:val="18"/>
          <w:szCs w:val="18"/>
        </w:rPr>
        <w:t>Δ</w:t>
      </w:r>
      <w:r w:rsidRPr="00D847B2">
        <w:rPr>
          <w:rFonts w:ascii="Arial" w:hAnsi="Arial" w:cs="Arial"/>
          <w:iCs/>
          <w:sz w:val="18"/>
          <w:szCs w:val="18"/>
          <w:lang w:val="en-US"/>
        </w:rPr>
        <w:t>AUC is the difference in discrimination for the same marker between endpoints in the same patients, from paired bootstrap (4000 resamples). *Survives correction.</w:t>
      </w:r>
    </w:p>
    <w:p w14:paraId="24D88576" w14:textId="77777777" w:rsidR="00C116E8" w:rsidRDefault="00C116E8" w:rsidP="00C116E8">
      <w:pPr>
        <w:spacing w:line="480" w:lineRule="auto"/>
        <w:rPr>
          <w:b/>
          <w:bCs/>
          <w:lang w:val="en-US"/>
        </w:rPr>
      </w:pPr>
    </w:p>
    <w:p w14:paraId="2184D6B6" w14:textId="77777777" w:rsidR="00C116E8" w:rsidRDefault="00C116E8" w:rsidP="00C116E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002DCB9A" w14:textId="77777777" w:rsidR="00C116E8" w:rsidRPr="00D72868" w:rsidRDefault="00C116E8" w:rsidP="00C116E8">
      <w:pPr>
        <w:spacing w:after="140" w:line="280" w:lineRule="auto"/>
        <w:rPr>
          <w:rFonts w:ascii="Arial" w:hAnsi="Arial" w:cs="Arial"/>
          <w:lang w:val="en-US"/>
        </w:rPr>
      </w:pPr>
    </w:p>
    <w:p w14:paraId="77E8915C" w14:textId="77777777" w:rsidR="00C116E8" w:rsidRPr="00D72868" w:rsidRDefault="00C116E8" w:rsidP="00C116E8">
      <w:pPr>
        <w:spacing w:before="80" w:after="80"/>
        <w:jc w:val="center"/>
        <w:rPr>
          <w:rFonts w:ascii="Arial" w:hAnsi="Arial" w:cs="Arial"/>
        </w:rPr>
      </w:pPr>
      <w:r w:rsidRPr="00D72868">
        <w:rPr>
          <w:rFonts w:ascii="Arial" w:hAnsi="Arial" w:cs="Arial"/>
          <w:noProof/>
          <w:lang w:eastAsia="de-DE"/>
        </w:rPr>
        <w:drawing>
          <wp:inline distT="0" distB="0" distL="0" distR="0" wp14:anchorId="156DE07C" wp14:editId="3349BFE7">
            <wp:extent cx="5905500" cy="189547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D5C07" w14:textId="77777777" w:rsidR="00C116E8" w:rsidRPr="00242B8B" w:rsidRDefault="00C116E8" w:rsidP="00C116E8">
      <w:pPr>
        <w:spacing w:before="180" w:after="60" w:line="300" w:lineRule="auto"/>
        <w:jc w:val="both"/>
        <w:rPr>
          <w:rFonts w:ascii="Arial" w:hAnsi="Arial" w:cs="Arial"/>
          <w:b/>
          <w:bCs/>
          <w:lang w:val="en-US"/>
        </w:rPr>
      </w:pPr>
      <w:r w:rsidRPr="00D72868">
        <w:rPr>
          <w:rFonts w:ascii="Arial" w:hAnsi="Arial" w:cs="Arial"/>
          <w:b/>
          <w:bCs/>
          <w:lang w:val="en-US"/>
        </w:rPr>
        <w:t xml:space="preserve">Supplementary Figure S1. </w:t>
      </w:r>
      <w:r w:rsidRPr="00242B8B">
        <w:rPr>
          <w:rFonts w:ascii="Arial" w:hAnsi="Arial" w:cs="Arial"/>
          <w:b/>
          <w:bCs/>
          <w:lang w:val="en-US"/>
        </w:rPr>
        <w:t>Biomarker distributions and dose-response relationships with post-stroke cognitive impairment.</w:t>
      </w:r>
      <w:r w:rsidRPr="002F7595">
        <w:rPr>
          <w:rFonts w:ascii="Arial" w:hAnsi="Arial" w:cs="Arial"/>
          <w:b/>
          <w:bCs/>
          <w:lang w:val="en-US"/>
        </w:rPr>
        <w:t xml:space="preserve"> </w:t>
      </w:r>
      <w:r w:rsidRPr="00242B8B">
        <w:rPr>
          <w:rFonts w:ascii="Arial" w:hAnsi="Arial" w:cs="Arial"/>
          <w:b/>
          <w:bCs/>
          <w:lang w:val="en-US"/>
        </w:rPr>
        <w:t>(A)</w:t>
      </w:r>
      <w:r w:rsidRPr="00242B8B">
        <w:rPr>
          <w:rFonts w:ascii="Arial" w:hAnsi="Arial" w:cs="Arial"/>
          <w:lang w:val="en-US"/>
        </w:rPr>
        <w:t xml:space="preserve"> Distribution of plasma GFAP at T2 (24 hours) on the original concentration scale, illustrating marked right skew; the inset shows the distribution after natural-log transformation. </w:t>
      </w:r>
      <w:r w:rsidRPr="00242B8B">
        <w:rPr>
          <w:rFonts w:ascii="Arial" w:hAnsi="Arial" w:cs="Arial"/>
          <w:b/>
          <w:bCs/>
          <w:lang w:val="en-US"/>
        </w:rPr>
        <w:t>(B)</w:t>
      </w:r>
      <w:r w:rsidRPr="00242B8B">
        <w:rPr>
          <w:rFonts w:ascii="Arial" w:hAnsi="Arial" w:cs="Arial"/>
          <w:lang w:val="en-US"/>
        </w:rPr>
        <w:t xml:space="preserve"> Observed proportion of patients with PSCI across quartiles of GFAP and NfL concentration at admission (T1) and 24 hours (T2). GFAP showed a progressive increase in PSCI frequency across quartiles, whereas the association with NfL tended to plateau at higher concentrations. </w:t>
      </w:r>
      <w:r w:rsidRPr="00242B8B">
        <w:rPr>
          <w:rFonts w:ascii="Arial" w:hAnsi="Arial" w:cs="Arial"/>
          <w:b/>
          <w:bCs/>
          <w:lang w:val="en-US"/>
        </w:rPr>
        <w:t>(C)</w:t>
      </w:r>
      <w:r w:rsidRPr="00242B8B">
        <w:rPr>
          <w:rFonts w:ascii="Arial" w:hAnsi="Arial" w:cs="Arial"/>
          <w:lang w:val="en-US"/>
        </w:rPr>
        <w:t xml:space="preserve"> Observed PSCI proportions across sextiles of admission GFAP and NfL concentration plotted against fitted probabilities from logistic regression using natural-log-transformed biomarker concentration. Points represent observed proportions and vertical bars represent Wilson 95% confidence intervals. Solid curves show the fitted logistic models. PSCI was defined as education-adjusted 3-month MoCA &lt;26. GFAP, glial fibrillary acidic protein; NfL, neurofilament light chain; MoCA, Montreal Cognitive Assessment.</w:t>
      </w:r>
    </w:p>
    <w:p w14:paraId="71604617" w14:textId="77777777" w:rsidR="00C116E8" w:rsidRPr="00242B8B" w:rsidRDefault="00C116E8" w:rsidP="00C116E8">
      <w:pPr>
        <w:spacing w:after="80" w:line="300" w:lineRule="auto"/>
        <w:ind w:left="360" w:hanging="360"/>
        <w:jc w:val="both"/>
        <w:rPr>
          <w:rFonts w:ascii="Arial" w:hAnsi="Arial" w:cs="Arial"/>
          <w:lang w:val="en-US"/>
        </w:rPr>
      </w:pPr>
    </w:p>
    <w:p w14:paraId="3FF0A1DD" w14:textId="77777777" w:rsidR="00E023F9" w:rsidRDefault="00E023F9"/>
    <w:sectPr w:rsidR="00E023F9" w:rsidSect="00C116E8">
      <w:footerReference w:type="default" r:id="rId5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C601" w14:textId="77777777" w:rsidR="00C116E8" w:rsidRDefault="00C116E8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23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E8"/>
    <w:rsid w:val="000C4033"/>
    <w:rsid w:val="00173ED8"/>
    <w:rsid w:val="001D4B25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116E8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12D5"/>
  <w15:chartTrackingRefBased/>
  <w15:docId w15:val="{0B6490D6-D989-46AD-9760-995CAF19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6E8"/>
    <w:pPr>
      <w:spacing w:after="0" w:line="240" w:lineRule="auto"/>
    </w:pPr>
    <w:rPr>
      <w:rFonts w:ascii="Times New Roman" w:eastAsia="Times New Roman" w:hAnsi="Times New Roman" w:cs="Times New Roman"/>
      <w:kern w:val="0"/>
      <w:lang w:val="de-DE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6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6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1682</Words>
  <Characters>9588</Characters>
  <Application>Microsoft Office Word</Application>
  <DocSecurity>0</DocSecurity>
  <Lines>79</Lines>
  <Paragraphs>22</Paragraphs>
  <ScaleCrop>false</ScaleCrop>
  <Company/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2026-10-07T00:29:00Z</dcterms:created>
  <dcterms:modified xsi:type="dcterms:W3CDTF">2026-10-07T00:29:00Z</dcterms:modified>
</cp:coreProperties>
</file>