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F7AB7" w14:textId="78F531D3" w:rsidR="004F6BC4" w:rsidRDefault="009C49DB" w:rsidP="004F6BC4">
      <w:pPr>
        <w:jc w:val="center"/>
        <w:rPr>
          <w:rFonts w:eastAsia="宋体"/>
          <w:lang w:eastAsia="zh-CN"/>
        </w:rPr>
      </w:pPr>
      <w:r w:rsidRPr="009C49DB">
        <w:rPr>
          <w:b/>
          <w:bCs/>
          <w:color w:val="000000"/>
          <w:sz w:val="28"/>
          <w:szCs w:val="28"/>
        </w:rPr>
        <w:t>Supplementary Information</w:t>
      </w:r>
    </w:p>
    <w:p w14:paraId="1413AD01" w14:textId="77777777" w:rsidR="004F6BC4" w:rsidRDefault="004F6BC4" w:rsidP="004F6BC4">
      <w:pPr>
        <w:pStyle w:val="2"/>
      </w:pPr>
      <w:r>
        <w:t>Supplementary Figure S1. Sample-level neutrophil ROS-, NADPH-oxidase-, and NETosis-associated expression patterns.</w:t>
      </w:r>
    </w:p>
    <w:p w14:paraId="51E0AFD7" w14:textId="77777777" w:rsidR="004F6BC4" w:rsidRDefault="004F6BC4" w:rsidP="004F6BC4">
      <w:r>
        <w:t>The heatmap included 15 neutrophil genes associated with ROS generation, NETosis and neutrophil activation, comprising NADPH oxidase-associated genes (Cybb, Ncf1, Ncf2, Ncf4 and Rac2), NETosis-associated effector genes (Padi4, Mpo, Elane, Ctsg, Prtn3 and Gsdmd), and additional neutrophil activation/oxidative-stress-associated genes (S100a8, S100a9, Camp and Nos2).</w:t>
      </w:r>
    </w:p>
    <w:p w14:paraId="69B2270E" w14:textId="7DF89D22" w:rsidR="001171F6" w:rsidRDefault="001F5673" w:rsidP="001171F6">
      <w:pPr>
        <w:jc w:val="center"/>
        <w:rPr>
          <w:rFonts w:eastAsia="宋体"/>
          <w:lang w:eastAsia="zh-CN"/>
        </w:rPr>
      </w:pPr>
      <w:r>
        <w:rPr>
          <w:noProof/>
        </w:rPr>
        <w:drawing>
          <wp:inline distT="0" distB="0" distL="0" distR="0" wp14:anchorId="36D14BDF" wp14:editId="12DFB47F">
            <wp:extent cx="5274310" cy="3782695"/>
            <wp:effectExtent l="0" t="0" r="2540"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782695"/>
                    </a:xfrm>
                    <a:prstGeom prst="rect">
                      <a:avLst/>
                    </a:prstGeom>
                    <a:noFill/>
                    <a:ln>
                      <a:noFill/>
                    </a:ln>
                  </pic:spPr>
                </pic:pic>
              </a:graphicData>
            </a:graphic>
          </wp:inline>
        </w:drawing>
      </w:r>
    </w:p>
    <w:p w14:paraId="7E32CD3D" w14:textId="38C5864C" w:rsidR="004F6BC4" w:rsidRDefault="001171F6" w:rsidP="001171F6">
      <w:pPr>
        <w:spacing w:after="0" w:line="240" w:lineRule="auto"/>
        <w:jc w:val="left"/>
        <w:rPr>
          <w:rFonts w:eastAsia="宋体"/>
          <w:lang w:eastAsia="zh-CN"/>
        </w:rPr>
      </w:pPr>
      <w:r>
        <w:rPr>
          <w:rFonts w:eastAsia="宋体"/>
          <w:lang w:eastAsia="zh-CN"/>
        </w:rPr>
        <w:br w:type="page"/>
      </w:r>
    </w:p>
    <w:p w14:paraId="729129B0" w14:textId="77777777" w:rsidR="004F6BC4" w:rsidRDefault="004F6BC4" w:rsidP="004F6BC4">
      <w:pPr>
        <w:pStyle w:val="2"/>
      </w:pPr>
      <w:r>
        <w:lastRenderedPageBreak/>
        <w:t>Supplementary Figure S2. Heterogeneous responses of monocyte/macrophage NET-processing-associated genes without coordinated upregulation after LPS exposure.</w:t>
      </w:r>
    </w:p>
    <w:p w14:paraId="45F92A77" w14:textId="49B7702E" w:rsidR="004F6BC4" w:rsidRDefault="004F6BC4" w:rsidP="004F6BC4">
      <w:pPr>
        <w:rPr>
          <w:rFonts w:eastAsiaTheme="minorEastAsia"/>
          <w:lang w:eastAsia="zh-CN"/>
        </w:rPr>
      </w:pPr>
      <w:r>
        <w:t>The heatmap includes genes associated with extracellular-material recognition and uptake/efferocytosis (Mertk, Axl, Lrp1, Cd36, Itgav, Itgb3, Mfge8, Gas6, Scarb1, Fcgr1, Fcgr2b and Fcgr3); phagosome–lysosome trafficking, acidification and proteolysis (Lamp1, Lamp2, Rab5</w:t>
      </w:r>
      <w:r w:rsidR="00B943E2">
        <w:rPr>
          <w:rFonts w:eastAsiaTheme="minorEastAsia" w:hint="eastAsia"/>
          <w:lang w:eastAsia="zh-CN"/>
        </w:rPr>
        <w:t>a</w:t>
      </w:r>
      <w:r>
        <w:t>, Rab7, Ctsb, Ctsd, Ctsl, Atp6v1a, Atp6v1b2 and Atp6v0d1); intracellular DNA degradation and lysosomal regulation (Dnase2a, Trex1 and Tfeb); extracellular nuclease-associated DNA degradation (Dnase1 and Dnase1l3); and additional macrophage metabolic/inflammatory-resolution-associated genes (Lpl, Abca1, Apoe, Nr4a1, Socs3, Tgfb1 and Il10). Rows represent genes and columns represent individual samples. Expression values are shown as gene-wise Z-scores of logCPM values.</w:t>
      </w:r>
    </w:p>
    <w:p w14:paraId="5F8FC082" w14:textId="6BA98D3B" w:rsidR="001171F6" w:rsidRDefault="001F5673" w:rsidP="001171F6">
      <w:pPr>
        <w:jc w:val="center"/>
        <w:rPr>
          <w:rFonts w:eastAsiaTheme="minorEastAsia"/>
          <w:lang w:eastAsia="zh-CN"/>
        </w:rPr>
      </w:pPr>
      <w:r>
        <w:rPr>
          <w:noProof/>
        </w:rPr>
        <w:drawing>
          <wp:inline distT="0" distB="0" distL="0" distR="0" wp14:anchorId="46384C9E" wp14:editId="1B792DD3">
            <wp:extent cx="5274310" cy="392747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927475"/>
                    </a:xfrm>
                    <a:prstGeom prst="rect">
                      <a:avLst/>
                    </a:prstGeom>
                    <a:noFill/>
                    <a:ln>
                      <a:noFill/>
                    </a:ln>
                  </pic:spPr>
                </pic:pic>
              </a:graphicData>
            </a:graphic>
          </wp:inline>
        </w:drawing>
      </w:r>
    </w:p>
    <w:p w14:paraId="4C657796" w14:textId="167F42D4" w:rsidR="001F5673" w:rsidRPr="005F68D3" w:rsidRDefault="001171F6" w:rsidP="001171F6">
      <w:pPr>
        <w:spacing w:after="0" w:line="240" w:lineRule="auto"/>
        <w:jc w:val="left"/>
        <w:rPr>
          <w:rFonts w:eastAsiaTheme="minorEastAsia"/>
          <w:lang w:eastAsia="zh-CN"/>
        </w:rPr>
      </w:pPr>
      <w:r>
        <w:rPr>
          <w:rFonts w:eastAsiaTheme="minorEastAsia"/>
          <w:lang w:eastAsia="zh-CN"/>
        </w:rPr>
        <w:br w:type="page"/>
      </w:r>
    </w:p>
    <w:p w14:paraId="76E29702" w14:textId="03EFF7BE" w:rsidR="004F6BC4" w:rsidRDefault="004F6BC4" w:rsidP="004F6BC4">
      <w:pPr>
        <w:pStyle w:val="2"/>
      </w:pPr>
      <w:r>
        <w:lastRenderedPageBreak/>
        <w:t>Supplementary Figure S</w:t>
      </w:r>
      <w:r w:rsidR="005F68D3">
        <w:rPr>
          <w:rFonts w:eastAsiaTheme="minorEastAsia" w:hint="eastAsia"/>
          <w:lang w:eastAsia="zh-CN"/>
        </w:rPr>
        <w:t>3</w:t>
      </w:r>
      <w:r>
        <w:t>. S</w:t>
      </w:r>
      <w:r>
        <w:rPr>
          <w:rFonts w:eastAsia="宋体"/>
          <w:lang w:eastAsia="zh-CN"/>
        </w:rPr>
        <w:t>ix</w:t>
      </w:r>
      <w:r>
        <w:t>-day colloidal stability of mPDA-based formulations.</w:t>
      </w:r>
    </w:p>
    <w:p w14:paraId="6DC824EE" w14:textId="4E5036E8" w:rsidR="004F6BC4" w:rsidRDefault="004F6BC4" w:rsidP="004F6BC4">
      <w:pPr>
        <w:rPr>
          <w:rFonts w:eastAsia="宋体"/>
          <w:lang w:eastAsia="zh-CN"/>
        </w:rPr>
      </w:pPr>
      <w:r>
        <w:rPr>
          <w:rFonts w:eastAsia="宋体"/>
          <w:lang w:eastAsia="zh-CN"/>
        </w:rPr>
        <w:t>Hydrodynamic diameter (A) and zeta potential (B) of mPDA, DNase</w:t>
      </w:r>
      <w:r w:rsidR="002D3FC5">
        <w:rPr>
          <w:rFonts w:eastAsia="宋体" w:hint="eastAsia"/>
          <w:lang w:eastAsia="zh-CN"/>
        </w:rPr>
        <w:t xml:space="preserve"> </w:t>
      </w:r>
      <w:r w:rsidR="002D3FC5" w:rsidRPr="002D3FC5">
        <w:rPr>
          <w:rFonts w:eastAsia="宋体"/>
          <w:lang w:eastAsia="zh-CN"/>
        </w:rPr>
        <w:t>I</w:t>
      </w:r>
      <w:r>
        <w:rPr>
          <w:rFonts w:eastAsia="宋体"/>
          <w:lang w:eastAsia="zh-CN"/>
        </w:rPr>
        <w:t>@mPDA, and DNase</w:t>
      </w:r>
      <w:r w:rsidR="002D3FC5">
        <w:rPr>
          <w:rFonts w:eastAsia="宋体" w:hint="eastAsia"/>
          <w:lang w:eastAsia="zh-CN"/>
        </w:rPr>
        <w:t xml:space="preserve"> </w:t>
      </w:r>
      <w:r w:rsidR="002D3FC5" w:rsidRPr="002D3FC5">
        <w:rPr>
          <w:rFonts w:eastAsia="宋体"/>
          <w:lang w:eastAsia="zh-CN"/>
        </w:rPr>
        <w:t>I</w:t>
      </w:r>
      <w:r>
        <w:rPr>
          <w:rFonts w:eastAsia="宋体"/>
          <w:lang w:eastAsia="zh-CN"/>
        </w:rPr>
        <w:t xml:space="preserve">@mPDA@NM were monitored over </w:t>
      </w:r>
      <w:r w:rsidR="00907C36">
        <w:rPr>
          <w:rFonts w:eastAsia="宋体" w:hint="eastAsia"/>
          <w:lang w:eastAsia="zh-CN"/>
        </w:rPr>
        <w:t>6</w:t>
      </w:r>
      <w:r>
        <w:rPr>
          <w:rFonts w:eastAsia="宋体"/>
          <w:lang w:eastAsia="zh-CN"/>
        </w:rPr>
        <w:t xml:space="preserve"> days to assess colloidal stability.</w:t>
      </w:r>
    </w:p>
    <w:p w14:paraId="323DAC62" w14:textId="2AC761B9" w:rsidR="001171F6" w:rsidRDefault="00420F5D" w:rsidP="00420F5D">
      <w:pPr>
        <w:jc w:val="center"/>
        <w:rPr>
          <w:rFonts w:eastAsia="宋体"/>
          <w:lang w:eastAsia="zh-CN"/>
        </w:rPr>
      </w:pPr>
      <w:r>
        <w:rPr>
          <w:noProof/>
        </w:rPr>
        <w:drawing>
          <wp:inline distT="0" distB="0" distL="0" distR="0" wp14:anchorId="6C1FFD3F" wp14:editId="65144A08">
            <wp:extent cx="4229100" cy="175704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29100" cy="1757045"/>
                    </a:xfrm>
                    <a:prstGeom prst="rect">
                      <a:avLst/>
                    </a:prstGeom>
                    <a:noFill/>
                    <a:ln>
                      <a:noFill/>
                    </a:ln>
                  </pic:spPr>
                </pic:pic>
              </a:graphicData>
            </a:graphic>
          </wp:inline>
        </w:drawing>
      </w:r>
    </w:p>
    <w:p w14:paraId="030AF110" w14:textId="24A9C659" w:rsidR="004F6BC4" w:rsidRPr="001171F6" w:rsidRDefault="001171F6" w:rsidP="001171F6">
      <w:pPr>
        <w:spacing w:after="0" w:line="240" w:lineRule="auto"/>
        <w:jc w:val="left"/>
        <w:rPr>
          <w:rFonts w:eastAsia="宋体"/>
          <w:lang w:eastAsia="zh-CN"/>
        </w:rPr>
      </w:pPr>
      <w:r>
        <w:rPr>
          <w:rFonts w:eastAsia="宋体"/>
          <w:lang w:eastAsia="zh-CN"/>
        </w:rPr>
        <w:br w:type="page"/>
      </w:r>
    </w:p>
    <w:p w14:paraId="55CEB4E6" w14:textId="1DD9FCC3" w:rsidR="004F6BC4" w:rsidRDefault="004F6BC4" w:rsidP="004F6BC4">
      <w:pPr>
        <w:pStyle w:val="2"/>
      </w:pPr>
      <w:r>
        <w:lastRenderedPageBreak/>
        <w:t>Supplementary Figure S</w:t>
      </w:r>
      <w:r w:rsidR="005F68D3">
        <w:rPr>
          <w:rFonts w:eastAsiaTheme="minorEastAsia" w:hint="eastAsia"/>
          <w:lang w:eastAsia="zh-CN"/>
        </w:rPr>
        <w:t>4</w:t>
      </w:r>
      <w:r>
        <w:t>. Histological assessment of major organs following nebulized inhalation of material formulations.</w:t>
      </w:r>
    </w:p>
    <w:p w14:paraId="75FEBD56" w14:textId="77777777" w:rsidR="004F6BC4" w:rsidRDefault="004F6BC4" w:rsidP="004F6BC4">
      <w:pPr>
        <w:rPr>
          <w:rFonts w:eastAsia="宋体"/>
          <w:lang w:eastAsia="zh-CN"/>
        </w:rPr>
      </w:pPr>
      <w:r>
        <w:rPr>
          <w:rFonts w:eastAsia="宋体"/>
          <w:lang w:eastAsia="zh-CN"/>
        </w:rPr>
        <w:t>Representative hematoxylin and eosin (H&amp;E)-stained sections of the heart, liver, spleen, lung, and kidney after administration of PBS or the indicated material formulations were examined for histopathological changes (n = 3 mice per group). Scale bars, 20 μm.</w:t>
      </w:r>
    </w:p>
    <w:p w14:paraId="5A160ADA" w14:textId="170E57E4" w:rsidR="00E86D6B" w:rsidRDefault="00E86D6B" w:rsidP="00420F5D">
      <w:pPr>
        <w:jc w:val="center"/>
        <w:rPr>
          <w:rFonts w:eastAsia="宋体"/>
          <w:lang w:eastAsia="zh-CN"/>
        </w:rPr>
      </w:pPr>
      <w:r>
        <w:rPr>
          <w:noProof/>
        </w:rPr>
        <w:drawing>
          <wp:inline distT="0" distB="0" distL="0" distR="0" wp14:anchorId="33942F4C" wp14:editId="66AC1A21">
            <wp:extent cx="5274310" cy="402590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4025900"/>
                    </a:xfrm>
                    <a:prstGeom prst="rect">
                      <a:avLst/>
                    </a:prstGeom>
                    <a:noFill/>
                    <a:ln>
                      <a:noFill/>
                    </a:ln>
                  </pic:spPr>
                </pic:pic>
              </a:graphicData>
            </a:graphic>
          </wp:inline>
        </w:drawing>
      </w:r>
    </w:p>
    <w:p w14:paraId="02B1DAF6" w14:textId="09AA55D9" w:rsidR="004F6BC4" w:rsidRDefault="00E86D6B" w:rsidP="00E86D6B">
      <w:pPr>
        <w:spacing w:after="0" w:line="240" w:lineRule="auto"/>
        <w:jc w:val="left"/>
        <w:rPr>
          <w:rFonts w:eastAsia="宋体"/>
          <w:lang w:eastAsia="zh-CN"/>
        </w:rPr>
      </w:pPr>
      <w:r>
        <w:rPr>
          <w:rFonts w:eastAsia="宋体"/>
          <w:lang w:eastAsia="zh-CN"/>
        </w:rPr>
        <w:br w:type="page"/>
      </w:r>
    </w:p>
    <w:p w14:paraId="7C29C05E" w14:textId="40C20418" w:rsidR="004F6BC4" w:rsidRDefault="004F6BC4" w:rsidP="004F6BC4">
      <w:pPr>
        <w:pStyle w:val="2"/>
      </w:pPr>
      <w:r>
        <w:lastRenderedPageBreak/>
        <w:t>Supplementary Figure S</w:t>
      </w:r>
      <w:r w:rsidR="005F68D3">
        <w:rPr>
          <w:rFonts w:eastAsiaTheme="minorEastAsia" w:hint="eastAsia"/>
          <w:lang w:eastAsia="zh-CN"/>
        </w:rPr>
        <w:t>5</w:t>
      </w:r>
      <w:r>
        <w:t xml:space="preserve">. </w:t>
      </w:r>
      <w:r w:rsidR="00C95883" w:rsidRPr="00C95883">
        <w:t>Hematological parameters</w:t>
      </w:r>
      <w:r>
        <w:t xml:space="preserve"> following nebulized inhalation of material formulations.</w:t>
      </w:r>
    </w:p>
    <w:p w14:paraId="119AFD76" w14:textId="05DA1476" w:rsidR="00420F5D" w:rsidRPr="00420F5D" w:rsidRDefault="00C47933" w:rsidP="00445A12">
      <w:pPr>
        <w:rPr>
          <w:rFonts w:eastAsiaTheme="minorEastAsia"/>
          <w:lang w:eastAsia="zh-CN"/>
        </w:rPr>
      </w:pPr>
      <w:r w:rsidRPr="00C47933">
        <w:t>Hematological parameters</w:t>
      </w:r>
      <w:r w:rsidR="004F6BC4">
        <w:t xml:space="preserve"> were measured after administration of PBS or the indicated material formulations to evaluate systemic biocompatibility. Data are presented as mean ± SD (n = </w:t>
      </w:r>
      <w:r w:rsidR="004F6BC4">
        <w:rPr>
          <w:rFonts w:eastAsia="宋体"/>
          <w:lang w:eastAsia="zh-CN"/>
        </w:rPr>
        <w:t>3</w:t>
      </w:r>
      <w:r w:rsidR="004F6BC4">
        <w:t xml:space="preserve"> mice per group).</w:t>
      </w:r>
    </w:p>
    <w:p w14:paraId="303CE2F9" w14:textId="44EC1A26" w:rsidR="00791B19" w:rsidRDefault="00445A12" w:rsidP="00420F5D">
      <w:pPr>
        <w:rPr>
          <w:rFonts w:eastAsiaTheme="minorEastAsia"/>
          <w:lang w:eastAsia="zh-CN"/>
        </w:rPr>
      </w:pPr>
      <w:r>
        <w:rPr>
          <w:noProof/>
        </w:rPr>
        <w:drawing>
          <wp:inline distT="0" distB="0" distL="0" distR="0" wp14:anchorId="469D8BC7" wp14:editId="30E62422">
            <wp:extent cx="5274310" cy="2696210"/>
            <wp:effectExtent l="0" t="0" r="2540" b="889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696210"/>
                    </a:xfrm>
                    <a:prstGeom prst="rect">
                      <a:avLst/>
                    </a:prstGeom>
                    <a:noFill/>
                    <a:ln>
                      <a:noFill/>
                    </a:ln>
                  </pic:spPr>
                </pic:pic>
              </a:graphicData>
            </a:graphic>
          </wp:inline>
        </w:drawing>
      </w:r>
    </w:p>
    <w:p w14:paraId="4679ACEF" w14:textId="06B1569D" w:rsidR="001F5673" w:rsidRPr="00420F5D" w:rsidRDefault="00791B19" w:rsidP="00791B19">
      <w:pPr>
        <w:spacing w:after="0" w:line="240" w:lineRule="auto"/>
        <w:jc w:val="left"/>
        <w:rPr>
          <w:rFonts w:eastAsiaTheme="minorEastAsia"/>
          <w:lang w:eastAsia="zh-CN"/>
        </w:rPr>
      </w:pPr>
      <w:r>
        <w:rPr>
          <w:rFonts w:eastAsiaTheme="minorEastAsia"/>
          <w:lang w:eastAsia="zh-CN"/>
        </w:rPr>
        <w:br w:type="page"/>
      </w:r>
    </w:p>
    <w:p w14:paraId="3686824D" w14:textId="35F3BB3B" w:rsidR="004F6BC4" w:rsidRDefault="004F6BC4" w:rsidP="004F6BC4">
      <w:pPr>
        <w:pStyle w:val="2"/>
      </w:pPr>
      <w:r>
        <w:lastRenderedPageBreak/>
        <w:t>Supplementary Figure S</w:t>
      </w:r>
      <w:r w:rsidR="005F68D3">
        <w:rPr>
          <w:rFonts w:eastAsiaTheme="minorEastAsia" w:hint="eastAsia"/>
          <w:lang w:eastAsia="zh-CN"/>
        </w:rPr>
        <w:t>6</w:t>
      </w:r>
      <w:r>
        <w:t>.</w:t>
      </w:r>
      <w:r>
        <w:rPr>
          <w:rFonts w:eastAsia="宋体"/>
          <w:lang w:eastAsia="zh-CN"/>
        </w:rPr>
        <w:t xml:space="preserve"> </w:t>
      </w:r>
      <w:r>
        <w:t>Liver- and kidney-function indices following nebulized inhalation of material formulations.</w:t>
      </w:r>
    </w:p>
    <w:p w14:paraId="6141854F" w14:textId="77777777" w:rsidR="004F6BC4" w:rsidRDefault="004F6BC4" w:rsidP="004F6BC4">
      <w:pPr>
        <w:rPr>
          <w:rFonts w:eastAsiaTheme="minorEastAsia"/>
          <w:lang w:eastAsia="zh-CN"/>
        </w:rPr>
      </w:pPr>
      <w:r>
        <w:t>Serum levels of alanine aminotransferase (ALT), aspartate aminotransferase (AST), blood urea nitrogen (BUN), and creatinine (CREA) were measured after administration of PBS or the indicated material formulations. Data are presented as mean ± SD (n =</w:t>
      </w:r>
      <w:r>
        <w:rPr>
          <w:rFonts w:eastAsia="宋体"/>
          <w:lang w:eastAsia="zh-CN"/>
        </w:rPr>
        <w:t>3</w:t>
      </w:r>
      <w:r>
        <w:t xml:space="preserve"> mice per group).</w:t>
      </w:r>
    </w:p>
    <w:p w14:paraId="161AC2F1" w14:textId="0A15950E" w:rsidR="00791B19" w:rsidRDefault="00445A12" w:rsidP="00791B19">
      <w:pPr>
        <w:jc w:val="center"/>
        <w:rPr>
          <w:rFonts w:eastAsiaTheme="minorEastAsia"/>
          <w:lang w:eastAsia="zh-CN"/>
        </w:rPr>
      </w:pPr>
      <w:r>
        <w:rPr>
          <w:noProof/>
        </w:rPr>
        <w:drawing>
          <wp:inline distT="0" distB="0" distL="0" distR="0" wp14:anchorId="17A8CA16" wp14:editId="341949D1">
            <wp:extent cx="5274310" cy="1410335"/>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1410335"/>
                    </a:xfrm>
                    <a:prstGeom prst="rect">
                      <a:avLst/>
                    </a:prstGeom>
                    <a:noFill/>
                    <a:ln>
                      <a:noFill/>
                    </a:ln>
                  </pic:spPr>
                </pic:pic>
              </a:graphicData>
            </a:graphic>
          </wp:inline>
        </w:drawing>
      </w:r>
    </w:p>
    <w:p w14:paraId="4F36F303" w14:textId="29AE9D1A" w:rsidR="004F6BC4" w:rsidRPr="00791B19" w:rsidRDefault="00791B19" w:rsidP="00791B19">
      <w:pPr>
        <w:spacing w:after="0" w:line="240" w:lineRule="auto"/>
        <w:jc w:val="left"/>
        <w:rPr>
          <w:rFonts w:eastAsiaTheme="minorEastAsia"/>
          <w:lang w:eastAsia="zh-CN"/>
        </w:rPr>
      </w:pPr>
      <w:r>
        <w:rPr>
          <w:rFonts w:eastAsiaTheme="minorEastAsia"/>
          <w:lang w:eastAsia="zh-CN"/>
        </w:rPr>
        <w:br w:type="page"/>
      </w:r>
    </w:p>
    <w:p w14:paraId="1BB55E5C" w14:textId="7A0ACD5C" w:rsidR="004F6BC4" w:rsidRDefault="004F6BC4" w:rsidP="004F6BC4">
      <w:pPr>
        <w:pStyle w:val="2"/>
      </w:pPr>
      <w:r>
        <w:lastRenderedPageBreak/>
        <w:t>Supplementary Figure S</w:t>
      </w:r>
      <w:r w:rsidR="005F68D3">
        <w:rPr>
          <w:rFonts w:eastAsiaTheme="minorEastAsia" w:hint="eastAsia"/>
          <w:lang w:eastAsia="zh-CN"/>
        </w:rPr>
        <w:t>7</w:t>
      </w:r>
      <w:r>
        <w:t xml:space="preserve">. </w:t>
      </w:r>
      <w:r>
        <w:rPr>
          <w:rFonts w:eastAsia="宋体"/>
          <w:lang w:eastAsia="zh-CN"/>
        </w:rPr>
        <w:t>Baseline DNase</w:t>
      </w:r>
      <w:r w:rsidR="005877DB" w:rsidRPr="005877DB">
        <w:t xml:space="preserve"> </w:t>
      </w:r>
      <w:r w:rsidR="005877DB" w:rsidRPr="005877DB">
        <w:rPr>
          <w:rFonts w:eastAsia="宋体"/>
          <w:lang w:eastAsia="zh-CN"/>
        </w:rPr>
        <w:t>I</w:t>
      </w:r>
      <w:r>
        <w:rPr>
          <w:rFonts w:eastAsia="宋体"/>
          <w:lang w:eastAsia="zh-CN"/>
        </w:rPr>
        <w:t>-mediated dsDNA degradation in PBS.</w:t>
      </w:r>
    </w:p>
    <w:p w14:paraId="17F1BBDA" w14:textId="6E497795" w:rsidR="004F6BC4" w:rsidRDefault="003D7EFD" w:rsidP="004F6BC4">
      <w:pPr>
        <w:rPr>
          <w:rFonts w:eastAsia="宋体"/>
          <w:lang w:eastAsia="zh-CN"/>
        </w:rPr>
      </w:pPr>
      <w:r w:rsidRPr="003D7EFD">
        <w:rPr>
          <w:rFonts w:eastAsia="宋体"/>
          <w:lang w:eastAsia="zh-CN"/>
        </w:rPr>
        <w:t>(</w:t>
      </w:r>
      <w:r>
        <w:rPr>
          <w:rFonts w:eastAsia="宋体" w:hint="eastAsia"/>
          <w:lang w:eastAsia="zh-CN"/>
        </w:rPr>
        <w:t>A</w:t>
      </w:r>
      <w:r w:rsidRPr="003D7EFD">
        <w:rPr>
          <w:rFonts w:eastAsia="宋体"/>
          <w:lang w:eastAsia="zh-CN"/>
        </w:rPr>
        <w:t>)</w:t>
      </w:r>
      <w:r>
        <w:rPr>
          <w:rFonts w:eastAsia="宋体" w:hint="eastAsia"/>
          <w:lang w:eastAsia="zh-CN"/>
        </w:rPr>
        <w:t xml:space="preserve"> </w:t>
      </w:r>
      <w:r w:rsidR="004F6BC4">
        <w:rPr>
          <w:rFonts w:eastAsia="宋体"/>
          <w:lang w:eastAsia="zh-CN"/>
        </w:rPr>
        <w:t>Representative agarose gel electrophoresis showing DNA degradation by DNase</w:t>
      </w:r>
      <w:r w:rsidR="005877DB">
        <w:rPr>
          <w:rFonts w:eastAsia="宋体" w:hint="eastAsia"/>
          <w:lang w:eastAsia="zh-CN"/>
        </w:rPr>
        <w:t xml:space="preserve"> </w:t>
      </w:r>
      <w:r w:rsidR="005877DB" w:rsidRPr="005877DB">
        <w:rPr>
          <w:rFonts w:eastAsia="宋体"/>
          <w:lang w:eastAsia="zh-CN"/>
        </w:rPr>
        <w:t>I</w:t>
      </w:r>
      <w:r w:rsidR="004F6BC4">
        <w:rPr>
          <w:rFonts w:eastAsia="宋体"/>
          <w:lang w:eastAsia="zh-CN"/>
        </w:rPr>
        <w:t>@mPDA@NM, DNase</w:t>
      </w:r>
      <w:r w:rsidR="005877DB">
        <w:rPr>
          <w:rFonts w:eastAsia="宋体" w:hint="eastAsia"/>
          <w:lang w:eastAsia="zh-CN"/>
        </w:rPr>
        <w:t xml:space="preserve"> </w:t>
      </w:r>
      <w:r w:rsidR="005877DB" w:rsidRPr="005877DB">
        <w:rPr>
          <w:rFonts w:eastAsia="宋体"/>
          <w:lang w:eastAsia="zh-CN"/>
        </w:rPr>
        <w:t>I</w:t>
      </w:r>
      <w:r w:rsidR="004F6BC4">
        <w:rPr>
          <w:rFonts w:eastAsia="宋体"/>
          <w:lang w:eastAsia="zh-CN"/>
        </w:rPr>
        <w:t>@mPDA, and free DNase</w:t>
      </w:r>
      <w:r w:rsidR="005877DB">
        <w:rPr>
          <w:rFonts w:eastAsia="宋体" w:hint="eastAsia"/>
          <w:lang w:eastAsia="zh-CN"/>
        </w:rPr>
        <w:t xml:space="preserve"> </w:t>
      </w:r>
      <w:r w:rsidR="005877DB" w:rsidRPr="005877DB">
        <w:rPr>
          <w:rFonts w:eastAsia="宋体"/>
          <w:lang w:eastAsia="zh-CN"/>
        </w:rPr>
        <w:t>I</w:t>
      </w:r>
      <w:r w:rsidR="004F6BC4">
        <w:rPr>
          <w:rFonts w:eastAsia="宋体"/>
          <w:lang w:eastAsia="zh-CN"/>
        </w:rPr>
        <w:t xml:space="preserve"> in PBS, with mPDA and PBS serving as DNase</w:t>
      </w:r>
      <w:r w:rsidR="00014F17">
        <w:rPr>
          <w:rFonts w:eastAsia="宋体" w:hint="eastAsia"/>
          <w:lang w:eastAsia="zh-CN"/>
        </w:rPr>
        <w:t xml:space="preserve"> </w:t>
      </w:r>
      <w:r w:rsidR="00014F17" w:rsidRPr="00014F17">
        <w:rPr>
          <w:rFonts w:eastAsia="宋体"/>
          <w:lang w:eastAsia="zh-CN"/>
        </w:rPr>
        <w:t>I</w:t>
      </w:r>
      <w:r w:rsidR="004F6BC4">
        <w:rPr>
          <w:rFonts w:eastAsia="宋体"/>
          <w:lang w:eastAsia="zh-CN"/>
        </w:rPr>
        <w:t xml:space="preserve">-free controls. (B) Densitometric quantification of relative DNA-degrading activity calculated from the residual DNA signal, with the PBS control defined as 0% degradation. Data are presented as mean ± SD (n = 3). </w:t>
      </w:r>
      <w:r w:rsidR="00241A56" w:rsidRPr="00241A56">
        <w:rPr>
          <w:rFonts w:eastAsia="宋体"/>
          <w:lang w:eastAsia="zh-CN"/>
        </w:rPr>
        <w:t>Data were analyzed by one-way ANOVA followed by Tukey’s multiple-comparisons test. Statistical significance is indicated in the figure.</w:t>
      </w:r>
      <w:r w:rsidR="00241A56">
        <w:rPr>
          <w:rFonts w:eastAsia="宋体" w:hint="eastAsia"/>
          <w:lang w:eastAsia="zh-CN"/>
        </w:rPr>
        <w:t xml:space="preserve"> </w:t>
      </w:r>
      <w:r w:rsidR="004F6BC4">
        <w:rPr>
          <w:rFonts w:eastAsia="宋体"/>
          <w:lang w:eastAsia="zh-CN"/>
        </w:rPr>
        <w:t>#P &lt; 0.05, ##P &lt; 0.01, and ###P &lt; 0.001 versus PBS; ns, not significant.</w:t>
      </w:r>
    </w:p>
    <w:p w14:paraId="0102FF0E" w14:textId="68FD1CCD" w:rsidR="00791B19" w:rsidRDefault="004112BE" w:rsidP="00791B19">
      <w:pPr>
        <w:jc w:val="center"/>
        <w:rPr>
          <w:rFonts w:eastAsia="宋体"/>
          <w:lang w:eastAsia="zh-CN"/>
        </w:rPr>
      </w:pPr>
      <w:r>
        <w:rPr>
          <w:noProof/>
        </w:rPr>
        <w:drawing>
          <wp:inline distT="0" distB="0" distL="0" distR="0" wp14:anchorId="7F63D66F" wp14:editId="019A72CF">
            <wp:extent cx="5274310" cy="2098040"/>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2098040"/>
                    </a:xfrm>
                    <a:prstGeom prst="rect">
                      <a:avLst/>
                    </a:prstGeom>
                    <a:noFill/>
                    <a:ln>
                      <a:noFill/>
                    </a:ln>
                  </pic:spPr>
                </pic:pic>
              </a:graphicData>
            </a:graphic>
          </wp:inline>
        </w:drawing>
      </w:r>
    </w:p>
    <w:p w14:paraId="43BA9BF0" w14:textId="279D1413" w:rsidR="004F6BC4" w:rsidRDefault="00791B19" w:rsidP="00791B19">
      <w:pPr>
        <w:spacing w:after="0" w:line="240" w:lineRule="auto"/>
        <w:jc w:val="left"/>
        <w:rPr>
          <w:rFonts w:eastAsia="宋体"/>
          <w:lang w:eastAsia="zh-CN"/>
        </w:rPr>
      </w:pPr>
      <w:r>
        <w:rPr>
          <w:rFonts w:eastAsia="宋体"/>
          <w:lang w:eastAsia="zh-CN"/>
        </w:rPr>
        <w:br w:type="page"/>
      </w:r>
    </w:p>
    <w:p w14:paraId="6AFF6D9C" w14:textId="2D41BD99" w:rsidR="004F6BC4" w:rsidRDefault="004F6BC4" w:rsidP="004F6BC4">
      <w:pPr>
        <w:pStyle w:val="2"/>
      </w:pPr>
      <w:r>
        <w:lastRenderedPageBreak/>
        <w:t>Supplementary Figure S</w:t>
      </w:r>
      <w:r w:rsidR="005F68D3">
        <w:rPr>
          <w:rFonts w:eastAsiaTheme="minorEastAsia" w:hint="eastAsia"/>
          <w:lang w:eastAsia="zh-CN"/>
        </w:rPr>
        <w:t>8</w:t>
      </w:r>
      <w:r>
        <w:t xml:space="preserve">. </w:t>
      </w:r>
      <w:r>
        <w:rPr>
          <w:rFonts w:eastAsia="宋体"/>
          <w:lang w:eastAsia="zh-CN"/>
        </w:rPr>
        <w:t>Neutrophil viability after hydrogen peroxide exposure</w:t>
      </w:r>
      <w:r>
        <w:t>.</w:t>
      </w:r>
    </w:p>
    <w:p w14:paraId="641CFC59" w14:textId="2C4F4CE4" w:rsidR="004F6BC4" w:rsidRDefault="004F6BC4" w:rsidP="004F6BC4">
      <w:pPr>
        <w:rPr>
          <w:rFonts w:eastAsia="宋体"/>
          <w:lang w:eastAsia="zh-CN"/>
        </w:rPr>
      </w:pPr>
      <w:r>
        <w:rPr>
          <w:rFonts w:eastAsia="宋体"/>
          <w:lang w:eastAsia="zh-CN"/>
        </w:rPr>
        <w:t>Neutrophils were treated with H₂O₂ (25–200 μM) for 4 h, followed by assessment of cell viability using a CCK-8 assay. Data are presented as mean ± SD (n = 6).</w:t>
      </w:r>
      <w:r w:rsidR="00EC0562" w:rsidRPr="00EC0562">
        <w:t xml:space="preserve"> </w:t>
      </w:r>
      <w:r w:rsidR="00D40F85" w:rsidRPr="00D40F85">
        <w:t>Statistical significance was determined by one-way ANOVA followed by Tukey’s multiple-comparisons test</w:t>
      </w:r>
      <w:r w:rsidR="00D40F85" w:rsidRPr="00D40F85">
        <w:rPr>
          <w:rFonts w:eastAsia="宋体"/>
          <w:noProof/>
          <w:lang w:eastAsia="zh-CN"/>
        </w:rPr>
        <w:t xml:space="preserve">. </w:t>
      </w:r>
      <w:r w:rsidR="00EC0562">
        <w:rPr>
          <w:rFonts w:eastAsia="宋体" w:hint="eastAsia"/>
          <w:lang w:eastAsia="zh-CN"/>
        </w:rPr>
        <w:t>*</w:t>
      </w:r>
      <w:r w:rsidR="00EC0562" w:rsidRPr="00EC0562">
        <w:rPr>
          <w:rFonts w:eastAsia="宋体"/>
          <w:lang w:eastAsia="zh-CN"/>
        </w:rPr>
        <w:t xml:space="preserve">P &lt; 0.05, </w:t>
      </w:r>
      <w:r w:rsidR="00EC0562">
        <w:rPr>
          <w:rFonts w:eastAsia="宋体" w:hint="eastAsia"/>
          <w:lang w:eastAsia="zh-CN"/>
        </w:rPr>
        <w:t>**</w:t>
      </w:r>
      <w:r w:rsidR="00EC0562" w:rsidRPr="00EC0562">
        <w:rPr>
          <w:rFonts w:eastAsia="宋体"/>
          <w:lang w:eastAsia="zh-CN"/>
        </w:rPr>
        <w:t xml:space="preserve">P &lt; 0.01, and </w:t>
      </w:r>
      <w:r w:rsidR="00EC0562">
        <w:rPr>
          <w:rFonts w:eastAsia="宋体" w:hint="eastAsia"/>
          <w:lang w:eastAsia="zh-CN"/>
        </w:rPr>
        <w:t>***</w:t>
      </w:r>
      <w:r w:rsidR="00EC0562" w:rsidRPr="00EC0562">
        <w:rPr>
          <w:rFonts w:eastAsia="宋体"/>
          <w:lang w:eastAsia="zh-CN"/>
        </w:rPr>
        <w:t>P &lt; 0.001</w:t>
      </w:r>
      <w:r w:rsidR="00532A68" w:rsidRPr="00532A68">
        <w:rPr>
          <w:rFonts w:eastAsia="宋体"/>
          <w:lang w:eastAsia="zh-CN"/>
        </w:rPr>
        <w:t>; ns, not significant.</w:t>
      </w:r>
    </w:p>
    <w:p w14:paraId="5BFD7039" w14:textId="21B7924A" w:rsidR="00791B19" w:rsidRDefault="004112BE" w:rsidP="00791B19">
      <w:pPr>
        <w:jc w:val="center"/>
        <w:rPr>
          <w:rFonts w:eastAsia="宋体"/>
          <w:color w:val="FF0000"/>
          <w:lang w:eastAsia="zh-CN"/>
        </w:rPr>
      </w:pPr>
      <w:r>
        <w:rPr>
          <w:noProof/>
        </w:rPr>
        <w:drawing>
          <wp:inline distT="0" distB="0" distL="0" distR="0" wp14:anchorId="6D870EBD" wp14:editId="5D2C2529">
            <wp:extent cx="2658745" cy="2179955"/>
            <wp:effectExtent l="0" t="0" r="825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58745" cy="2179955"/>
                    </a:xfrm>
                    <a:prstGeom prst="rect">
                      <a:avLst/>
                    </a:prstGeom>
                    <a:noFill/>
                    <a:ln>
                      <a:noFill/>
                    </a:ln>
                  </pic:spPr>
                </pic:pic>
              </a:graphicData>
            </a:graphic>
          </wp:inline>
        </w:drawing>
      </w:r>
    </w:p>
    <w:p w14:paraId="55CC8282" w14:textId="6C163785" w:rsidR="004F6BC4" w:rsidRPr="00791B19" w:rsidRDefault="00791B19" w:rsidP="00791B19">
      <w:pPr>
        <w:spacing w:after="0" w:line="240" w:lineRule="auto"/>
        <w:jc w:val="left"/>
        <w:rPr>
          <w:rFonts w:eastAsia="宋体"/>
          <w:color w:val="FF0000"/>
          <w:lang w:eastAsia="zh-CN"/>
        </w:rPr>
      </w:pPr>
      <w:r>
        <w:rPr>
          <w:rFonts w:eastAsia="宋体"/>
          <w:color w:val="FF0000"/>
          <w:lang w:eastAsia="zh-CN"/>
        </w:rPr>
        <w:br w:type="page"/>
      </w:r>
    </w:p>
    <w:p w14:paraId="24C726D5" w14:textId="78603B23" w:rsidR="004F6BC4" w:rsidRDefault="004F6BC4" w:rsidP="004F6BC4">
      <w:pPr>
        <w:pStyle w:val="2"/>
      </w:pPr>
      <w:r>
        <w:lastRenderedPageBreak/>
        <w:t>Supplementary Figure S</w:t>
      </w:r>
      <w:r w:rsidR="005F68D3">
        <w:rPr>
          <w:rFonts w:eastAsiaTheme="minorEastAsia" w:hint="eastAsia"/>
          <w:lang w:eastAsia="zh-CN"/>
        </w:rPr>
        <w:t>9</w:t>
      </w:r>
      <w:r>
        <w:t>. Validation of hydrogen peroxide concentrations for the ROS-rescue experiment.</w:t>
      </w:r>
    </w:p>
    <w:p w14:paraId="072970FB" w14:textId="09705773" w:rsidR="004F6BC4" w:rsidRDefault="004F6BC4" w:rsidP="004F6BC4">
      <w:pPr>
        <w:rPr>
          <w:rFonts w:eastAsia="宋体"/>
          <w:lang w:eastAsia="zh-CN"/>
        </w:rPr>
      </w:pPr>
      <w:r>
        <w:rPr>
          <w:rFonts w:eastAsia="宋体"/>
          <w:lang w:eastAsia="zh-CN"/>
        </w:rPr>
        <w:t>(A) Representative fluorescence images of intracellular ROS in neutrophils exposed to H₂O₂ at 0, 25, 50, or 100 μM, assessed using DCFH-DA (green) 1 h after H₂O₂ exposure, with nuclei counterstained with Hoechst (blue). (B, C) CitH3 and supernatant MPO–DNA levels, respectively, after H₂O₂ exposure. Data are presented as mean ± SD (n = 3).</w:t>
      </w:r>
      <w:r w:rsidR="00532A68" w:rsidRPr="00532A68">
        <w:rPr>
          <w:rFonts w:eastAsia="宋体"/>
          <w:lang w:eastAsia="zh-CN"/>
        </w:rPr>
        <w:t xml:space="preserve"> </w:t>
      </w:r>
      <w:r w:rsidR="00D40F85" w:rsidRPr="00D40F85">
        <w:t>Statistical significance was determined by one-way ANOVA followed by Tukey’s multiple-comparisons test</w:t>
      </w:r>
      <w:r w:rsidR="00D40F85" w:rsidRPr="00D40F85">
        <w:rPr>
          <w:rFonts w:eastAsia="宋体"/>
          <w:noProof/>
          <w:lang w:eastAsia="zh-CN"/>
        </w:rPr>
        <w:t xml:space="preserve">. </w:t>
      </w:r>
      <w:r w:rsidR="00532A68" w:rsidRPr="00532A68">
        <w:rPr>
          <w:rFonts w:eastAsia="宋体"/>
          <w:lang w:eastAsia="zh-CN"/>
        </w:rPr>
        <w:t>*P &lt; 0.05, **P &lt; 0.01, and ***P &lt; 0.001; ns, not significant.</w:t>
      </w:r>
    </w:p>
    <w:p w14:paraId="3A3E73CF" w14:textId="7EEC63BF" w:rsidR="00791B19" w:rsidRDefault="006059E3" w:rsidP="00791B19">
      <w:pPr>
        <w:jc w:val="center"/>
        <w:rPr>
          <w:rFonts w:eastAsia="宋体"/>
          <w:lang w:eastAsia="zh-CN"/>
        </w:rPr>
      </w:pPr>
      <w:r>
        <w:rPr>
          <w:noProof/>
        </w:rPr>
        <w:drawing>
          <wp:inline distT="0" distB="0" distL="0" distR="0" wp14:anchorId="0526E5DA" wp14:editId="0FD12ED9">
            <wp:extent cx="5274310" cy="3807460"/>
            <wp:effectExtent l="0" t="0" r="25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3807460"/>
                    </a:xfrm>
                    <a:prstGeom prst="rect">
                      <a:avLst/>
                    </a:prstGeom>
                    <a:noFill/>
                    <a:ln>
                      <a:noFill/>
                    </a:ln>
                  </pic:spPr>
                </pic:pic>
              </a:graphicData>
            </a:graphic>
          </wp:inline>
        </w:drawing>
      </w:r>
    </w:p>
    <w:p w14:paraId="1C65D533" w14:textId="3FB7C829" w:rsidR="004F6BC4" w:rsidRDefault="00791B19" w:rsidP="00791B19">
      <w:pPr>
        <w:spacing w:after="0" w:line="240" w:lineRule="auto"/>
        <w:jc w:val="left"/>
        <w:rPr>
          <w:rFonts w:eastAsia="宋体"/>
          <w:lang w:eastAsia="zh-CN"/>
        </w:rPr>
      </w:pPr>
      <w:r>
        <w:rPr>
          <w:rFonts w:eastAsia="宋体"/>
          <w:lang w:eastAsia="zh-CN"/>
        </w:rPr>
        <w:br w:type="page"/>
      </w:r>
    </w:p>
    <w:p w14:paraId="08EDAF09" w14:textId="3B1ED6BD" w:rsidR="004F6BC4" w:rsidRDefault="004F6BC4" w:rsidP="004F6BC4">
      <w:pPr>
        <w:keepNext/>
        <w:keepLines/>
        <w:spacing w:before="200"/>
        <w:outlineLvl w:val="1"/>
        <w:rPr>
          <w:b/>
          <w:bCs/>
          <w:color w:val="000000"/>
          <w:sz w:val="24"/>
          <w:szCs w:val="26"/>
        </w:rPr>
      </w:pPr>
      <w:r>
        <w:rPr>
          <w:b/>
          <w:bCs/>
          <w:color w:val="000000"/>
          <w:sz w:val="24"/>
          <w:szCs w:val="26"/>
        </w:rPr>
        <w:lastRenderedPageBreak/>
        <w:t>Supplementary Figure S</w:t>
      </w:r>
      <w:r>
        <w:rPr>
          <w:rFonts w:eastAsia="宋体"/>
          <w:b/>
          <w:bCs/>
          <w:color w:val="000000"/>
          <w:sz w:val="24"/>
          <w:szCs w:val="26"/>
          <w:lang w:eastAsia="zh-CN"/>
        </w:rPr>
        <w:t>1</w:t>
      </w:r>
      <w:r w:rsidR="005F68D3">
        <w:rPr>
          <w:rFonts w:eastAsia="宋体" w:hint="eastAsia"/>
          <w:b/>
          <w:bCs/>
          <w:color w:val="000000"/>
          <w:sz w:val="24"/>
          <w:szCs w:val="26"/>
          <w:lang w:eastAsia="zh-CN"/>
        </w:rPr>
        <w:t>0</w:t>
      </w:r>
      <w:r>
        <w:rPr>
          <w:b/>
          <w:bCs/>
          <w:color w:val="000000"/>
          <w:sz w:val="24"/>
          <w:szCs w:val="26"/>
        </w:rPr>
        <w:t>.</w:t>
      </w:r>
      <w:r>
        <w:rPr>
          <w:rFonts w:eastAsia="宋体"/>
          <w:b/>
          <w:bCs/>
          <w:color w:val="000000"/>
          <w:sz w:val="24"/>
          <w:szCs w:val="26"/>
          <w:lang w:eastAsia="zh-CN"/>
        </w:rPr>
        <w:t xml:space="preserve"> </w:t>
      </w:r>
      <w:r>
        <w:rPr>
          <w:b/>
          <w:bCs/>
          <w:color w:val="000000"/>
          <w:sz w:val="24"/>
          <w:szCs w:val="26"/>
        </w:rPr>
        <w:t xml:space="preserve">Quantification of </w:t>
      </w:r>
      <w:r w:rsidR="0072475C" w:rsidRPr="0072475C">
        <w:rPr>
          <w:b/>
          <w:bCs/>
          <w:color w:val="000000"/>
          <w:sz w:val="24"/>
          <w:szCs w:val="26"/>
        </w:rPr>
        <w:t>SYTOX Green-positive extracellular DNA area</w:t>
      </w:r>
      <w:r>
        <w:rPr>
          <w:b/>
          <w:bCs/>
          <w:color w:val="000000"/>
          <w:sz w:val="24"/>
          <w:szCs w:val="26"/>
        </w:rPr>
        <w:t xml:space="preserve"> in Figure 4</w:t>
      </w:r>
      <w:r>
        <w:rPr>
          <w:rFonts w:eastAsia="宋体"/>
          <w:b/>
          <w:bCs/>
          <w:color w:val="000000"/>
          <w:sz w:val="24"/>
          <w:szCs w:val="26"/>
          <w:lang w:eastAsia="zh-CN"/>
        </w:rPr>
        <w:t>L</w:t>
      </w:r>
      <w:r>
        <w:rPr>
          <w:b/>
          <w:bCs/>
          <w:color w:val="000000"/>
          <w:sz w:val="24"/>
          <w:szCs w:val="26"/>
        </w:rPr>
        <w:t>.</w:t>
      </w:r>
    </w:p>
    <w:p w14:paraId="21608FCA" w14:textId="309DDFE8" w:rsidR="004F6BC4" w:rsidRDefault="004F6BC4" w:rsidP="004F6BC4">
      <w:pPr>
        <w:rPr>
          <w:rFonts w:eastAsia="宋体"/>
          <w:lang w:eastAsia="zh-CN"/>
        </w:rPr>
      </w:pPr>
      <w:r>
        <w:t xml:space="preserve">Quantification of the </w:t>
      </w:r>
      <w:r w:rsidR="0072475C" w:rsidRPr="0072475C">
        <w:t>SYTOX Green-positive extracellular DNA area</w:t>
      </w:r>
      <w:r>
        <w:t xml:space="preserve"> in the fluorescence images shown in Figure 4</w:t>
      </w:r>
      <w:r>
        <w:rPr>
          <w:rFonts w:eastAsia="宋体"/>
          <w:lang w:eastAsia="zh-CN"/>
        </w:rPr>
        <w:t>L</w:t>
      </w:r>
      <w:r>
        <w:t xml:space="preserve">. The cfDNA-positive area was calculated as the percentage of </w:t>
      </w:r>
      <w:r w:rsidR="0072475C" w:rsidRPr="0072475C">
        <w:t>SYTOX Green-positive extracellular DNA area</w:t>
      </w:r>
      <w:r>
        <w:t xml:space="preserve"> relative to the total image area. Data are presented as mean ± SD</w:t>
      </w:r>
      <w:r>
        <w:rPr>
          <w:rFonts w:eastAsia="宋体"/>
          <w:lang w:eastAsia="zh-CN"/>
        </w:rPr>
        <w:t xml:space="preserve"> </w:t>
      </w:r>
      <w:r>
        <w:t xml:space="preserve">(n = 3). Statistical significance was determined by one-way ANOVA followed by Tukey’s multiple-comparisons test. #P &lt; 0.05, ##P &lt; 0.01, and ###P &lt; 0.001 versus Control; *P &lt; 0.05, **P &lt; 0.01, and ***P &lt; 0.001 versus </w:t>
      </w:r>
      <w:r>
        <w:rPr>
          <w:rFonts w:eastAsia="宋体"/>
          <w:lang w:eastAsia="zh-CN"/>
        </w:rPr>
        <w:t>PMA</w:t>
      </w:r>
      <w:r>
        <w:t xml:space="preserve">; +P &lt; 0.05, ++P &lt; 0.01, and +++P &lt; 0.001 versus </w:t>
      </w:r>
      <w:r>
        <w:rPr>
          <w:rFonts w:eastAsia="宋体"/>
          <w:lang w:eastAsia="zh-CN"/>
        </w:rPr>
        <w:t>PMA</w:t>
      </w:r>
      <w:r>
        <w:t xml:space="preserve"> + DNase</w:t>
      </w:r>
      <w:r w:rsidR="00492D90" w:rsidRPr="00492D90">
        <w:t xml:space="preserve"> I</w:t>
      </w:r>
      <w:r>
        <w:t>; ns, not significant.</w:t>
      </w:r>
    </w:p>
    <w:p w14:paraId="2D4DF36D" w14:textId="3D96D6FA" w:rsidR="000D3287" w:rsidRDefault="00B943E2" w:rsidP="000D3287">
      <w:pPr>
        <w:jc w:val="center"/>
        <w:rPr>
          <w:rFonts w:eastAsia="宋体"/>
          <w:lang w:eastAsia="zh-CN"/>
        </w:rPr>
      </w:pPr>
      <w:r>
        <w:rPr>
          <w:noProof/>
        </w:rPr>
        <w:drawing>
          <wp:inline distT="0" distB="0" distL="0" distR="0" wp14:anchorId="7F926282" wp14:editId="6A4395B9">
            <wp:extent cx="2921000" cy="270954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21000" cy="2709545"/>
                    </a:xfrm>
                    <a:prstGeom prst="rect">
                      <a:avLst/>
                    </a:prstGeom>
                    <a:noFill/>
                    <a:ln>
                      <a:noFill/>
                    </a:ln>
                  </pic:spPr>
                </pic:pic>
              </a:graphicData>
            </a:graphic>
          </wp:inline>
        </w:drawing>
      </w:r>
    </w:p>
    <w:p w14:paraId="1B91A5EB" w14:textId="559C7C5C" w:rsidR="001F5673" w:rsidRDefault="000D3287" w:rsidP="000D3287">
      <w:pPr>
        <w:spacing w:after="0" w:line="240" w:lineRule="auto"/>
        <w:jc w:val="left"/>
        <w:rPr>
          <w:rFonts w:eastAsia="宋体"/>
          <w:lang w:eastAsia="zh-CN"/>
        </w:rPr>
      </w:pPr>
      <w:r>
        <w:rPr>
          <w:rFonts w:eastAsia="宋体"/>
          <w:lang w:eastAsia="zh-CN"/>
        </w:rPr>
        <w:br w:type="page"/>
      </w:r>
    </w:p>
    <w:p w14:paraId="59CBD724" w14:textId="6D3034EC" w:rsidR="004F6BC4" w:rsidRDefault="004F6BC4" w:rsidP="004F6BC4">
      <w:pPr>
        <w:pStyle w:val="2"/>
      </w:pPr>
      <w:r>
        <w:lastRenderedPageBreak/>
        <w:t>Supplementary Figure S1</w:t>
      </w:r>
      <w:r w:rsidR="005F68D3">
        <w:rPr>
          <w:rFonts w:eastAsia="宋体" w:hint="eastAsia"/>
          <w:lang w:eastAsia="zh-CN"/>
        </w:rPr>
        <w:t>1</w:t>
      </w:r>
      <w:r>
        <w:t>. DNase</w:t>
      </w:r>
      <w:r w:rsidR="00014F17">
        <w:rPr>
          <w:rFonts w:eastAsiaTheme="minorEastAsia" w:hint="eastAsia"/>
          <w:lang w:eastAsia="zh-CN"/>
        </w:rPr>
        <w:t xml:space="preserve"> </w:t>
      </w:r>
      <w:r w:rsidR="00014F17" w:rsidRPr="00014F17">
        <w:rPr>
          <w:rFonts w:eastAsiaTheme="minorEastAsia"/>
          <w:lang w:eastAsia="zh-CN"/>
        </w:rPr>
        <w:t>I</w:t>
      </w:r>
      <w:r>
        <w:t>-containing formulations degrade preformed NET material.</w:t>
      </w:r>
    </w:p>
    <w:p w14:paraId="7C096108" w14:textId="6246E51A" w:rsidR="004F6BC4" w:rsidRDefault="004F6BC4" w:rsidP="004F6BC4">
      <w:pPr>
        <w:rPr>
          <w:rFonts w:eastAsia="宋体"/>
          <w:lang w:eastAsia="zh-CN"/>
        </w:rPr>
      </w:pPr>
      <w:r>
        <w:t>DNase</w:t>
      </w:r>
      <w:r w:rsidR="002B0324" w:rsidRPr="002B0324">
        <w:t xml:space="preserve"> I</w:t>
      </w:r>
      <w:r>
        <w:t xml:space="preserve"> and DNase</w:t>
      </w:r>
      <w:r w:rsidR="00014F17">
        <w:rPr>
          <w:rFonts w:eastAsiaTheme="minorEastAsia" w:hint="eastAsia"/>
          <w:lang w:eastAsia="zh-CN"/>
        </w:rPr>
        <w:t xml:space="preserve"> </w:t>
      </w:r>
      <w:r w:rsidR="00014F17" w:rsidRPr="00014F17">
        <w:rPr>
          <w:rFonts w:eastAsiaTheme="minorEastAsia"/>
          <w:lang w:eastAsia="zh-CN"/>
        </w:rPr>
        <w:t>I</w:t>
      </w:r>
      <w:r>
        <w:t>@mPDA@NM reduced MPO–DNA in preformed NET preparations, whereas mPDA did not.</w:t>
      </w:r>
      <w:r>
        <w:rPr>
          <w:rFonts w:eastAsia="宋体"/>
          <w:lang w:eastAsia="zh-CN"/>
        </w:rPr>
        <w:t xml:space="preserve"> (A) Schematic of the preformed NET degradation assay. Neutrophils were stimulated with PMA for 4 h to induce NET formation, followed by treatment with mPDA, free DNase</w:t>
      </w:r>
      <w:r w:rsidR="00A756F8" w:rsidRPr="00A756F8">
        <w:t xml:space="preserve"> </w:t>
      </w:r>
      <w:r w:rsidR="00A756F8" w:rsidRPr="00A756F8">
        <w:rPr>
          <w:rFonts w:eastAsia="宋体"/>
          <w:lang w:eastAsia="zh-CN"/>
        </w:rPr>
        <w:t>I</w:t>
      </w:r>
      <w:r>
        <w:rPr>
          <w:rFonts w:eastAsia="宋体"/>
          <w:lang w:eastAsia="zh-CN"/>
        </w:rPr>
        <w:t>, or DNase</w:t>
      </w:r>
      <w:r w:rsidR="00A756F8" w:rsidRPr="00A756F8">
        <w:t xml:space="preserve"> </w:t>
      </w:r>
      <w:r w:rsidR="00A756F8" w:rsidRPr="00A756F8">
        <w:rPr>
          <w:rFonts w:eastAsia="宋体"/>
          <w:lang w:eastAsia="zh-CN"/>
        </w:rPr>
        <w:t>I</w:t>
      </w:r>
      <w:r>
        <w:rPr>
          <w:rFonts w:eastAsia="宋体"/>
          <w:lang w:eastAsia="zh-CN"/>
        </w:rPr>
        <w:t xml:space="preserve">@mPDA@NM for an additional 4 h. Preformed NET material was subsequently assessed by SYTOX Green staining and MPO–DNA ELISA. (B) Representative fluorescence images of SYTOX Green-positive extracellular DNA after the indicated treatments. Scale bar, 100 μm. (C) Quantification of the </w:t>
      </w:r>
      <w:r w:rsidR="00FB5C12" w:rsidRPr="00FB5C12">
        <w:rPr>
          <w:rFonts w:eastAsia="宋体"/>
          <w:lang w:eastAsia="zh-CN"/>
        </w:rPr>
        <w:t>SYTOX Green-positive extracellular DNA area</w:t>
      </w:r>
      <w:r>
        <w:rPr>
          <w:rFonts w:eastAsia="宋体"/>
          <w:lang w:eastAsia="zh-CN"/>
        </w:rPr>
        <w:t xml:space="preserve"> in (B), calculated as the percentage of </w:t>
      </w:r>
      <w:r w:rsidR="00305B6D" w:rsidRPr="00305B6D">
        <w:rPr>
          <w:rFonts w:eastAsia="宋体"/>
          <w:lang w:eastAsia="zh-CN"/>
        </w:rPr>
        <w:t>SYTOX Green-positive extracellular DNA area</w:t>
      </w:r>
      <w:r>
        <w:rPr>
          <w:rFonts w:eastAsia="宋体"/>
          <w:lang w:eastAsia="zh-CN"/>
        </w:rPr>
        <w:t xml:space="preserve"> relative to the total image area. (D) MPO–DNA concentrations in the corresponding supernatants measured by ELISA. Data are presented as mean ± SD (n =</w:t>
      </w:r>
      <w:r w:rsidR="00317334">
        <w:rPr>
          <w:rFonts w:eastAsia="宋体" w:hint="eastAsia"/>
          <w:lang w:eastAsia="zh-CN"/>
        </w:rPr>
        <w:t xml:space="preserve"> 3</w:t>
      </w:r>
      <w:r>
        <w:rPr>
          <w:rFonts w:eastAsia="宋体"/>
          <w:lang w:eastAsia="zh-CN"/>
        </w:rPr>
        <w:t xml:space="preserve">). Statistical significance was determined by one-way ANOVA followed by Tukey’s multiple-comparisons test. </w:t>
      </w:r>
      <w:r w:rsidR="000B2653">
        <w:rPr>
          <w:rFonts w:eastAsia="宋体" w:hint="eastAsia"/>
          <w:lang w:eastAsia="zh-CN"/>
        </w:rPr>
        <w:t>*</w:t>
      </w:r>
      <w:r>
        <w:rPr>
          <w:rFonts w:eastAsia="宋体"/>
          <w:lang w:eastAsia="zh-CN"/>
        </w:rPr>
        <w:t xml:space="preserve">P &lt; 0.05, </w:t>
      </w:r>
      <w:r w:rsidR="000B2653">
        <w:rPr>
          <w:rFonts w:eastAsia="宋体" w:hint="eastAsia"/>
          <w:lang w:eastAsia="zh-CN"/>
        </w:rPr>
        <w:t>**</w:t>
      </w:r>
      <w:r>
        <w:rPr>
          <w:rFonts w:eastAsia="宋体"/>
          <w:lang w:eastAsia="zh-CN"/>
        </w:rPr>
        <w:t xml:space="preserve">P &lt; 0.01, and </w:t>
      </w:r>
      <w:r w:rsidR="000B2653">
        <w:rPr>
          <w:rFonts w:eastAsia="宋体" w:hint="eastAsia"/>
          <w:lang w:eastAsia="zh-CN"/>
        </w:rPr>
        <w:t>***</w:t>
      </w:r>
      <w:r>
        <w:rPr>
          <w:rFonts w:eastAsia="宋体"/>
          <w:lang w:eastAsia="zh-CN"/>
        </w:rPr>
        <w:t>P &lt; 0.001</w:t>
      </w:r>
      <w:r w:rsidR="00EA43DC" w:rsidRPr="00EA43DC">
        <w:t xml:space="preserve"> </w:t>
      </w:r>
      <w:r w:rsidR="00EA43DC" w:rsidRPr="00EA43DC">
        <w:rPr>
          <w:rFonts w:eastAsia="宋体"/>
          <w:lang w:eastAsia="zh-CN"/>
        </w:rPr>
        <w:t>versus PMA</w:t>
      </w:r>
      <w:r>
        <w:rPr>
          <w:rFonts w:eastAsia="宋体"/>
          <w:lang w:eastAsia="zh-CN"/>
        </w:rPr>
        <w:t>; ns, not significant.</w:t>
      </w:r>
    </w:p>
    <w:p w14:paraId="2BBB6AE0" w14:textId="6BD64978" w:rsidR="001F5673" w:rsidRDefault="000B2653" w:rsidP="000D3287">
      <w:pPr>
        <w:rPr>
          <w:rFonts w:eastAsia="宋体"/>
          <w:lang w:eastAsia="zh-CN"/>
        </w:rPr>
      </w:pPr>
      <w:r>
        <w:rPr>
          <w:noProof/>
        </w:rPr>
        <w:drawing>
          <wp:inline distT="0" distB="0" distL="0" distR="0" wp14:anchorId="6692CBBB" wp14:editId="67442364">
            <wp:extent cx="5274310" cy="4033520"/>
            <wp:effectExtent l="0" t="0" r="254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4033520"/>
                    </a:xfrm>
                    <a:prstGeom prst="rect">
                      <a:avLst/>
                    </a:prstGeom>
                    <a:noFill/>
                    <a:ln>
                      <a:noFill/>
                    </a:ln>
                  </pic:spPr>
                </pic:pic>
              </a:graphicData>
            </a:graphic>
          </wp:inline>
        </w:drawing>
      </w:r>
    </w:p>
    <w:p w14:paraId="6AA13852" w14:textId="444C62B3" w:rsidR="004F6BC4" w:rsidRDefault="004F6BC4" w:rsidP="004F6BC4">
      <w:pPr>
        <w:pStyle w:val="2"/>
      </w:pPr>
      <w:r>
        <w:lastRenderedPageBreak/>
        <w:t>Supplementary Figure S1</w:t>
      </w:r>
      <w:r w:rsidR="005F68D3">
        <w:rPr>
          <w:rFonts w:eastAsia="宋体" w:hint="eastAsia"/>
          <w:lang w:eastAsia="zh-CN"/>
        </w:rPr>
        <w:t>2</w:t>
      </w:r>
      <w:r>
        <w:t>. Validation of endothelial–epithelial barrier formation using 4</w:t>
      </w:r>
      <w:r>
        <w:rPr>
          <w:rFonts w:eastAsia="宋体"/>
          <w:lang w:eastAsia="zh-CN"/>
        </w:rPr>
        <w:t>-</w:t>
      </w:r>
      <w:r>
        <w:t>kDa FITC–dextran.</w:t>
      </w:r>
    </w:p>
    <w:p w14:paraId="45FA9A80" w14:textId="7E65C79F" w:rsidR="004F6BC4" w:rsidRDefault="004F6BC4" w:rsidP="004F6BC4">
      <w:pPr>
        <w:rPr>
          <w:rFonts w:eastAsia="宋体"/>
          <w:lang w:eastAsia="zh-CN"/>
        </w:rPr>
      </w:pPr>
      <w:r>
        <w:rPr>
          <w:rFonts w:eastAsia="宋体"/>
          <w:lang w:eastAsia="zh-CN"/>
        </w:rPr>
        <w:t>Apparent permeability of the alveolar–capillary barrier to 4-kDa FITC–dextran. FITC–dextran permeability was assessed after 60 min, and the apparent permeability coefficient (Papp=(Cr*0.6)/(Cd*0.33*3600)) was calculated from the amount of tracer transported into the lower receiver compartment. Data are presented as mean ± SD (n = 3).</w:t>
      </w:r>
      <w:r w:rsidR="00A27DAC" w:rsidRPr="00A27DAC">
        <w:t xml:space="preserve"> </w:t>
      </w:r>
      <w:r w:rsidR="00A27DAC" w:rsidRPr="00A27DAC">
        <w:rPr>
          <w:rFonts w:eastAsia="宋体"/>
          <w:lang w:eastAsia="zh-CN"/>
        </w:rPr>
        <w:t>Statistical significance was determined using a two-tailed unpaired Welch’s t-test</w:t>
      </w:r>
      <w:r w:rsidR="00AE70F4" w:rsidRPr="00AE70F4">
        <w:rPr>
          <w:rFonts w:eastAsia="宋体"/>
          <w:lang w:eastAsia="zh-CN"/>
        </w:rPr>
        <w:t>. #P &lt; 0.05, ##P &lt; 0.01, and ###P &lt; 0.001; ns, not significant.</w:t>
      </w:r>
    </w:p>
    <w:p w14:paraId="5CA18617" w14:textId="0CDF3C3C" w:rsidR="003A7A7E" w:rsidRDefault="00825D26" w:rsidP="003A7A7E">
      <w:pPr>
        <w:jc w:val="center"/>
        <w:rPr>
          <w:rFonts w:eastAsia="宋体"/>
          <w:lang w:eastAsia="zh-CN"/>
        </w:rPr>
      </w:pPr>
      <w:r>
        <w:rPr>
          <w:noProof/>
        </w:rPr>
        <w:drawing>
          <wp:inline distT="0" distB="0" distL="0" distR="0" wp14:anchorId="2D8D6769" wp14:editId="6B168E0E">
            <wp:extent cx="3488690" cy="345630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88690" cy="3456305"/>
                    </a:xfrm>
                    <a:prstGeom prst="rect">
                      <a:avLst/>
                    </a:prstGeom>
                    <a:noFill/>
                    <a:ln>
                      <a:noFill/>
                    </a:ln>
                  </pic:spPr>
                </pic:pic>
              </a:graphicData>
            </a:graphic>
          </wp:inline>
        </w:drawing>
      </w:r>
    </w:p>
    <w:p w14:paraId="123C3102" w14:textId="467FCB2D" w:rsidR="001F5673" w:rsidRDefault="003A7A7E" w:rsidP="003A7A7E">
      <w:pPr>
        <w:spacing w:after="0" w:line="240" w:lineRule="auto"/>
        <w:jc w:val="left"/>
        <w:rPr>
          <w:rFonts w:eastAsia="宋体"/>
          <w:lang w:eastAsia="zh-CN"/>
        </w:rPr>
      </w:pPr>
      <w:r>
        <w:rPr>
          <w:rFonts w:eastAsia="宋体"/>
          <w:lang w:eastAsia="zh-CN"/>
        </w:rPr>
        <w:br w:type="page"/>
      </w:r>
    </w:p>
    <w:p w14:paraId="252B8149" w14:textId="7E2207F0" w:rsidR="004F6BC4" w:rsidRDefault="004F6BC4" w:rsidP="004F6BC4">
      <w:pPr>
        <w:keepNext/>
        <w:keepLines/>
        <w:spacing w:before="200"/>
        <w:outlineLvl w:val="1"/>
        <w:rPr>
          <w:b/>
          <w:bCs/>
          <w:color w:val="000000"/>
          <w:sz w:val="24"/>
          <w:szCs w:val="26"/>
        </w:rPr>
      </w:pPr>
      <w:r>
        <w:rPr>
          <w:b/>
          <w:bCs/>
          <w:color w:val="000000"/>
          <w:sz w:val="24"/>
          <w:szCs w:val="26"/>
        </w:rPr>
        <w:lastRenderedPageBreak/>
        <w:t>Supplementary Figure S1</w:t>
      </w:r>
      <w:r w:rsidR="005F68D3">
        <w:rPr>
          <w:rFonts w:eastAsiaTheme="minorEastAsia" w:hint="eastAsia"/>
          <w:b/>
          <w:bCs/>
          <w:color w:val="000000"/>
          <w:sz w:val="24"/>
          <w:szCs w:val="26"/>
          <w:lang w:eastAsia="zh-CN"/>
        </w:rPr>
        <w:t>3</w:t>
      </w:r>
      <w:r>
        <w:rPr>
          <w:b/>
          <w:bCs/>
          <w:color w:val="000000"/>
          <w:sz w:val="24"/>
          <w:szCs w:val="26"/>
        </w:rPr>
        <w:t>. Quantification of pulmonary MPO⁺/CitH3⁺ colocalized area and H&amp;E histopathological scores in LPS-induced ALI.</w:t>
      </w:r>
      <w:r w:rsidR="0017279E" w:rsidRPr="0017279E">
        <w:rPr>
          <w:rFonts w:eastAsia="宋体"/>
          <w:noProof/>
          <w:lang w:eastAsia="zh-CN"/>
        </w:rPr>
        <w:t xml:space="preserve"> </w:t>
      </w:r>
    </w:p>
    <w:p w14:paraId="060C5283" w14:textId="0EFE660E" w:rsidR="004F6BC4" w:rsidRDefault="004F6BC4" w:rsidP="004F6BC4">
      <w:pPr>
        <w:rPr>
          <w:rFonts w:eastAsia="宋体"/>
          <w:lang w:eastAsia="zh-CN"/>
        </w:rPr>
      </w:pPr>
      <w:r>
        <w:rPr>
          <w:rFonts w:eastAsia="宋体"/>
          <w:lang w:eastAsia="zh-CN"/>
        </w:rPr>
        <w:t xml:space="preserve">(A) Quantification of the MPO⁺/CitH3⁺ colocalized area in lung sections, expressed as the percentage of the analyzed lung tissue area. (B) Histopathological lung injury scores based on H&amp;E-stained lung sections. </w:t>
      </w:r>
      <w:r w:rsidR="009817C7" w:rsidRPr="009817C7">
        <w:rPr>
          <w:rFonts w:eastAsia="宋体"/>
          <w:lang w:eastAsia="zh-CN"/>
        </w:rPr>
        <w:t>n = 6 mice per group</w:t>
      </w:r>
      <w:r w:rsidR="009817C7">
        <w:rPr>
          <w:rFonts w:eastAsia="宋体" w:hint="eastAsia"/>
          <w:lang w:eastAsia="zh-CN"/>
        </w:rPr>
        <w:t xml:space="preserve">. </w:t>
      </w:r>
      <w:r>
        <w:rPr>
          <w:rFonts w:eastAsia="宋体"/>
          <w:lang w:eastAsia="zh-CN"/>
        </w:rPr>
        <w:t>Data are presented as mean ± SD. Statistical significance was determined by one-way ANOVA followed by Tukey’s multiple-comparisons test. #P &lt; 0.05, ##P &lt; 0.01, and ###P &lt; 0.001 versus Control; *P &lt; 0.05, **P &lt; 0.01, and ***P &lt; 0.001 versus ALI; +P &lt; 0.05, ++P &lt; 0.01, and +++P &lt; 0.001 versus ALI + DNase</w:t>
      </w:r>
      <w:r w:rsidR="00492D90" w:rsidRPr="00492D90">
        <w:t xml:space="preserve"> </w:t>
      </w:r>
      <w:r w:rsidR="00492D90" w:rsidRPr="00492D90">
        <w:rPr>
          <w:rFonts w:eastAsia="宋体"/>
          <w:lang w:eastAsia="zh-CN"/>
        </w:rPr>
        <w:t>I</w:t>
      </w:r>
      <w:r>
        <w:rPr>
          <w:rFonts w:eastAsia="宋体"/>
          <w:lang w:eastAsia="zh-CN"/>
        </w:rPr>
        <w:t xml:space="preserve">; </w:t>
      </w:r>
      <w:r>
        <w:rPr>
          <w:rFonts w:eastAsia="宋体" w:hint="eastAsia"/>
          <w:lang w:eastAsia="zh-CN"/>
        </w:rPr>
        <w:t>†</w:t>
      </w:r>
      <w:r>
        <w:rPr>
          <w:rFonts w:eastAsia="宋体"/>
          <w:lang w:eastAsia="zh-CN"/>
        </w:rPr>
        <w:t xml:space="preserve">P &lt; 0.05, </w:t>
      </w:r>
      <w:r>
        <w:rPr>
          <w:rFonts w:eastAsia="宋体" w:hint="eastAsia"/>
          <w:lang w:eastAsia="zh-CN"/>
        </w:rPr>
        <w:t>††</w:t>
      </w:r>
      <w:r>
        <w:rPr>
          <w:rFonts w:eastAsia="宋体"/>
          <w:lang w:eastAsia="zh-CN"/>
        </w:rPr>
        <w:t xml:space="preserve">P &lt; 0.01, and </w:t>
      </w:r>
      <w:r>
        <w:rPr>
          <w:rFonts w:eastAsia="宋体" w:hint="eastAsia"/>
          <w:lang w:eastAsia="zh-CN"/>
        </w:rPr>
        <w:t>†††</w:t>
      </w:r>
      <w:r>
        <w:rPr>
          <w:rFonts w:eastAsia="宋体"/>
          <w:lang w:eastAsia="zh-CN"/>
        </w:rPr>
        <w:t>P &lt; 0.001 versus ALI + DNase</w:t>
      </w:r>
      <w:r w:rsidR="00492D90" w:rsidRPr="00492D90">
        <w:t xml:space="preserve"> </w:t>
      </w:r>
      <w:r w:rsidR="00492D90" w:rsidRPr="00492D90">
        <w:rPr>
          <w:rFonts w:eastAsia="宋体"/>
          <w:lang w:eastAsia="zh-CN"/>
        </w:rPr>
        <w:t>I</w:t>
      </w:r>
      <w:r>
        <w:rPr>
          <w:rFonts w:eastAsia="宋体"/>
          <w:lang w:eastAsia="zh-CN"/>
        </w:rPr>
        <w:t>@mPDA; ns, not significant.</w:t>
      </w:r>
    </w:p>
    <w:p w14:paraId="669D401C" w14:textId="42D7E842" w:rsidR="003A7A7E" w:rsidRDefault="00FA4ED2" w:rsidP="003A7A7E">
      <w:pPr>
        <w:jc w:val="center"/>
        <w:rPr>
          <w:rFonts w:eastAsia="宋体"/>
          <w:lang w:eastAsia="zh-CN"/>
        </w:rPr>
      </w:pPr>
      <w:r>
        <w:rPr>
          <w:noProof/>
        </w:rPr>
        <w:drawing>
          <wp:inline distT="0" distB="0" distL="0" distR="0" wp14:anchorId="7A592DA3" wp14:editId="69F38BCC">
            <wp:extent cx="4147820" cy="1892300"/>
            <wp:effectExtent l="0" t="0" r="508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1350" b="41194"/>
                    <a:stretch/>
                  </pic:blipFill>
                  <pic:spPr bwMode="auto">
                    <a:xfrm>
                      <a:off x="0" y="0"/>
                      <a:ext cx="4148243" cy="1892493"/>
                    </a:xfrm>
                    <a:prstGeom prst="rect">
                      <a:avLst/>
                    </a:prstGeom>
                    <a:noFill/>
                    <a:ln>
                      <a:noFill/>
                    </a:ln>
                    <a:extLst>
                      <a:ext uri="{53640926-AAD7-44D8-BBD7-CCE9431645EC}">
                        <a14:shadowObscured xmlns:a14="http://schemas.microsoft.com/office/drawing/2010/main"/>
                      </a:ext>
                    </a:extLst>
                  </pic:spPr>
                </pic:pic>
              </a:graphicData>
            </a:graphic>
          </wp:inline>
        </w:drawing>
      </w:r>
    </w:p>
    <w:p w14:paraId="194D3ADD" w14:textId="4DEDA1B7" w:rsidR="005F68D3" w:rsidRDefault="003A7A7E" w:rsidP="003A7A7E">
      <w:pPr>
        <w:spacing w:after="0" w:line="240" w:lineRule="auto"/>
        <w:jc w:val="left"/>
        <w:rPr>
          <w:rFonts w:eastAsia="宋体"/>
          <w:lang w:eastAsia="zh-CN"/>
        </w:rPr>
      </w:pPr>
      <w:r>
        <w:rPr>
          <w:rFonts w:eastAsia="宋体"/>
          <w:lang w:eastAsia="zh-CN"/>
        </w:rPr>
        <w:br w:type="page"/>
      </w:r>
    </w:p>
    <w:p w14:paraId="039C9292" w14:textId="521FCD8E" w:rsidR="005F68D3" w:rsidRDefault="005F68D3" w:rsidP="005F68D3">
      <w:pPr>
        <w:pStyle w:val="2"/>
      </w:pPr>
      <w:r>
        <w:lastRenderedPageBreak/>
        <w:t>Supplementary Figure S</w:t>
      </w:r>
      <w:r>
        <w:rPr>
          <w:rFonts w:eastAsiaTheme="minorEastAsia" w:hint="eastAsia"/>
          <w:lang w:eastAsia="zh-CN"/>
        </w:rPr>
        <w:t>14</w:t>
      </w:r>
      <w:r>
        <w:t xml:space="preserve">. </w:t>
      </w:r>
      <w:r w:rsidRPr="00566F95">
        <w:t>KEGG pathway enrichment analysis of ALI-associated and treatment-responsive differentially expressed genes</w:t>
      </w:r>
      <w:r>
        <w:t>.</w:t>
      </w:r>
    </w:p>
    <w:p w14:paraId="28AFA1BD" w14:textId="77777777" w:rsidR="005F68D3" w:rsidRPr="00FC63D5" w:rsidRDefault="005F68D3" w:rsidP="005F68D3">
      <w:pPr>
        <w:rPr>
          <w:rFonts w:eastAsia="宋体"/>
          <w:lang w:eastAsia="zh-CN"/>
        </w:rPr>
      </w:pPr>
      <w:r w:rsidRPr="00566F95">
        <w:rPr>
          <w:rFonts w:eastAsia="宋体"/>
          <w:lang w:eastAsia="zh-CN"/>
        </w:rPr>
        <w:t>(A) KEGG pathway enrichment analysis of genes upregulated in ALI lungs relative to control lungs. (B) KEGG pathway enrichment analysis of genes downregulated in DNase I@mPDA@NM-treated lungs relative to untreated ALI lungs. Bubble size represents the number of genes assigned to each pathway, and color indicates −log10(adjusted P value). Dashed boxes highlight the NF-κB signalling pathway.</w:t>
      </w:r>
    </w:p>
    <w:p w14:paraId="65167A38" w14:textId="6026AEF5" w:rsidR="005F68D3" w:rsidRDefault="00961710" w:rsidP="005F68D3">
      <w:pPr>
        <w:jc w:val="center"/>
        <w:rPr>
          <w:rFonts w:eastAsia="宋体"/>
          <w:lang w:eastAsia="zh-CN"/>
        </w:rPr>
      </w:pPr>
      <w:r>
        <w:rPr>
          <w:noProof/>
        </w:rPr>
        <w:drawing>
          <wp:inline distT="0" distB="0" distL="0" distR="0" wp14:anchorId="59E8445C" wp14:editId="759B2F1F">
            <wp:extent cx="3778624" cy="467042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9264" r="19091" b="40006"/>
                    <a:stretch/>
                  </pic:blipFill>
                  <pic:spPr bwMode="auto">
                    <a:xfrm>
                      <a:off x="0" y="0"/>
                      <a:ext cx="3778775" cy="4670612"/>
                    </a:xfrm>
                    <a:prstGeom prst="rect">
                      <a:avLst/>
                    </a:prstGeom>
                    <a:noFill/>
                    <a:ln>
                      <a:noFill/>
                    </a:ln>
                    <a:extLst>
                      <a:ext uri="{53640926-AAD7-44D8-BBD7-CCE9431645EC}">
                        <a14:shadowObscured xmlns:a14="http://schemas.microsoft.com/office/drawing/2010/main"/>
                      </a:ext>
                    </a:extLst>
                  </pic:spPr>
                </pic:pic>
              </a:graphicData>
            </a:graphic>
          </wp:inline>
        </w:drawing>
      </w:r>
    </w:p>
    <w:p w14:paraId="7BC394E6" w14:textId="24AF045A" w:rsidR="00D310FB" w:rsidRPr="005F68D3" w:rsidRDefault="00D310FB" w:rsidP="005F68D3">
      <w:pPr>
        <w:rPr>
          <w:rFonts w:eastAsiaTheme="minorEastAsia"/>
          <w:lang w:eastAsia="zh-CN"/>
        </w:rPr>
      </w:pPr>
    </w:p>
    <w:sectPr w:rsidR="00D310FB" w:rsidRPr="005F68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A40A4" w14:textId="77777777" w:rsidR="00D30398" w:rsidRDefault="00D30398" w:rsidP="00EC0562">
      <w:pPr>
        <w:spacing w:after="0" w:line="240" w:lineRule="auto"/>
      </w:pPr>
      <w:r>
        <w:separator/>
      </w:r>
    </w:p>
  </w:endnote>
  <w:endnote w:type="continuationSeparator" w:id="0">
    <w:p w14:paraId="049E48D0" w14:textId="77777777" w:rsidR="00D30398" w:rsidRDefault="00D30398" w:rsidP="00EC0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B4CA1" w14:textId="77777777" w:rsidR="00D30398" w:rsidRDefault="00D30398" w:rsidP="00EC0562">
      <w:pPr>
        <w:spacing w:after="0" w:line="240" w:lineRule="auto"/>
      </w:pPr>
      <w:r>
        <w:separator/>
      </w:r>
    </w:p>
  </w:footnote>
  <w:footnote w:type="continuationSeparator" w:id="0">
    <w:p w14:paraId="3C102B90" w14:textId="77777777" w:rsidR="00D30398" w:rsidRDefault="00D30398" w:rsidP="00EC05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BC4"/>
    <w:rsid w:val="00014F17"/>
    <w:rsid w:val="00057338"/>
    <w:rsid w:val="00081946"/>
    <w:rsid w:val="000A79C7"/>
    <w:rsid w:val="000B0AE8"/>
    <w:rsid w:val="000B2653"/>
    <w:rsid w:val="000D3287"/>
    <w:rsid w:val="000E3A21"/>
    <w:rsid w:val="001171F6"/>
    <w:rsid w:val="0017279E"/>
    <w:rsid w:val="001D5807"/>
    <w:rsid w:val="001F5673"/>
    <w:rsid w:val="00241A56"/>
    <w:rsid w:val="00251D10"/>
    <w:rsid w:val="002B0324"/>
    <w:rsid w:val="002D240A"/>
    <w:rsid w:val="002D3FC5"/>
    <w:rsid w:val="00300E6A"/>
    <w:rsid w:val="00305B6D"/>
    <w:rsid w:val="00317334"/>
    <w:rsid w:val="00367E01"/>
    <w:rsid w:val="003A7A7E"/>
    <w:rsid w:val="003D7EFD"/>
    <w:rsid w:val="004112BE"/>
    <w:rsid w:val="00414E42"/>
    <w:rsid w:val="00420F5D"/>
    <w:rsid w:val="00445A12"/>
    <w:rsid w:val="00457125"/>
    <w:rsid w:val="00465C78"/>
    <w:rsid w:val="00492D90"/>
    <w:rsid w:val="004C4471"/>
    <w:rsid w:val="004C79C2"/>
    <w:rsid w:val="004F6BC4"/>
    <w:rsid w:val="00532A68"/>
    <w:rsid w:val="00566F95"/>
    <w:rsid w:val="005877DB"/>
    <w:rsid w:val="005A3CBA"/>
    <w:rsid w:val="005F68D3"/>
    <w:rsid w:val="006059E3"/>
    <w:rsid w:val="006B7E55"/>
    <w:rsid w:val="006E6F77"/>
    <w:rsid w:val="0072475C"/>
    <w:rsid w:val="00724F13"/>
    <w:rsid w:val="007326C3"/>
    <w:rsid w:val="00775613"/>
    <w:rsid w:val="00791B19"/>
    <w:rsid w:val="007C470A"/>
    <w:rsid w:val="00817A76"/>
    <w:rsid w:val="00825D26"/>
    <w:rsid w:val="00836C41"/>
    <w:rsid w:val="00862A9D"/>
    <w:rsid w:val="00864111"/>
    <w:rsid w:val="0087501F"/>
    <w:rsid w:val="00907C36"/>
    <w:rsid w:val="00956DCF"/>
    <w:rsid w:val="00961710"/>
    <w:rsid w:val="00971266"/>
    <w:rsid w:val="009817C7"/>
    <w:rsid w:val="009C49DB"/>
    <w:rsid w:val="009C6279"/>
    <w:rsid w:val="009F1F20"/>
    <w:rsid w:val="00A05DEA"/>
    <w:rsid w:val="00A27DAC"/>
    <w:rsid w:val="00A30C50"/>
    <w:rsid w:val="00A756F8"/>
    <w:rsid w:val="00AA7340"/>
    <w:rsid w:val="00AE70F4"/>
    <w:rsid w:val="00B358F8"/>
    <w:rsid w:val="00B62230"/>
    <w:rsid w:val="00B943E2"/>
    <w:rsid w:val="00BA6389"/>
    <w:rsid w:val="00BE7DFA"/>
    <w:rsid w:val="00C31490"/>
    <w:rsid w:val="00C3240C"/>
    <w:rsid w:val="00C34799"/>
    <w:rsid w:val="00C4463B"/>
    <w:rsid w:val="00C47933"/>
    <w:rsid w:val="00C95883"/>
    <w:rsid w:val="00CB4457"/>
    <w:rsid w:val="00CC2B79"/>
    <w:rsid w:val="00D07827"/>
    <w:rsid w:val="00D112BB"/>
    <w:rsid w:val="00D30398"/>
    <w:rsid w:val="00D310FB"/>
    <w:rsid w:val="00D40F85"/>
    <w:rsid w:val="00DB5407"/>
    <w:rsid w:val="00DF7023"/>
    <w:rsid w:val="00E134F3"/>
    <w:rsid w:val="00E458CD"/>
    <w:rsid w:val="00E53CDF"/>
    <w:rsid w:val="00E663FA"/>
    <w:rsid w:val="00E86D6B"/>
    <w:rsid w:val="00EA43DC"/>
    <w:rsid w:val="00EC0562"/>
    <w:rsid w:val="00EC3A3D"/>
    <w:rsid w:val="00F428B4"/>
    <w:rsid w:val="00FA2B1E"/>
    <w:rsid w:val="00FA4ED2"/>
    <w:rsid w:val="00FB5C12"/>
    <w:rsid w:val="00FC63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0042FE"/>
  <w15:chartTrackingRefBased/>
  <w15:docId w15:val="{86F45606-1C32-4A0D-91A8-A91183A8E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BC4"/>
    <w:pPr>
      <w:spacing w:after="100" w:line="360" w:lineRule="auto"/>
      <w:jc w:val="both"/>
    </w:pPr>
    <w:rPr>
      <w:rFonts w:ascii="Times New Roman" w:eastAsia="Times New Roman" w:hAnsi="Times New Roman" w:cs="Times New Roman"/>
      <w:kern w:val="0"/>
      <w:sz w:val="22"/>
      <w:lang w:eastAsia="en-US"/>
    </w:rPr>
  </w:style>
  <w:style w:type="paragraph" w:styleId="1">
    <w:name w:val="heading 1"/>
    <w:basedOn w:val="a"/>
    <w:next w:val="a"/>
    <w:link w:val="10"/>
    <w:uiPriority w:val="9"/>
    <w:qFormat/>
    <w:rsid w:val="004F6BC4"/>
    <w:pPr>
      <w:keepNext/>
      <w:keepLines/>
      <w:spacing w:before="200"/>
      <w:outlineLvl w:val="0"/>
    </w:pPr>
    <w:rPr>
      <w:b/>
      <w:bCs/>
      <w:color w:val="000000"/>
      <w:sz w:val="28"/>
      <w:szCs w:val="28"/>
    </w:rPr>
  </w:style>
  <w:style w:type="paragraph" w:styleId="2">
    <w:name w:val="heading 2"/>
    <w:basedOn w:val="a"/>
    <w:next w:val="a"/>
    <w:link w:val="20"/>
    <w:uiPriority w:val="9"/>
    <w:semiHidden/>
    <w:unhideWhenUsed/>
    <w:qFormat/>
    <w:rsid w:val="004F6BC4"/>
    <w:pPr>
      <w:keepNext/>
      <w:keepLines/>
      <w:spacing w:before="200"/>
      <w:outlineLvl w:val="1"/>
    </w:pPr>
    <w:rPr>
      <w:b/>
      <w:bCs/>
      <w:color w:val="000000"/>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F6BC4"/>
    <w:rPr>
      <w:rFonts w:ascii="Times New Roman" w:eastAsia="Times New Roman" w:hAnsi="Times New Roman" w:cs="Times New Roman"/>
      <w:b/>
      <w:bCs/>
      <w:color w:val="000000"/>
      <w:kern w:val="0"/>
      <w:sz w:val="28"/>
      <w:szCs w:val="28"/>
      <w:lang w:eastAsia="en-US"/>
    </w:rPr>
  </w:style>
  <w:style w:type="character" w:customStyle="1" w:styleId="20">
    <w:name w:val="标题 2 字符"/>
    <w:basedOn w:val="a0"/>
    <w:link w:val="2"/>
    <w:uiPriority w:val="9"/>
    <w:semiHidden/>
    <w:rsid w:val="004F6BC4"/>
    <w:rPr>
      <w:rFonts w:ascii="Times New Roman" w:eastAsia="Times New Roman" w:hAnsi="Times New Roman" w:cs="Times New Roman"/>
      <w:b/>
      <w:bCs/>
      <w:color w:val="000000"/>
      <w:kern w:val="0"/>
      <w:sz w:val="24"/>
      <w:szCs w:val="26"/>
      <w:lang w:eastAsia="en-US"/>
    </w:rPr>
  </w:style>
  <w:style w:type="paragraph" w:styleId="a3">
    <w:name w:val="header"/>
    <w:basedOn w:val="a"/>
    <w:link w:val="a4"/>
    <w:uiPriority w:val="99"/>
    <w:unhideWhenUsed/>
    <w:rsid w:val="00EC0562"/>
    <w:pP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EC0562"/>
    <w:rPr>
      <w:rFonts w:ascii="Times New Roman" w:eastAsia="Times New Roman" w:hAnsi="Times New Roman" w:cs="Times New Roman"/>
      <w:kern w:val="0"/>
      <w:sz w:val="18"/>
      <w:szCs w:val="18"/>
      <w:lang w:eastAsia="en-US"/>
    </w:rPr>
  </w:style>
  <w:style w:type="paragraph" w:styleId="a5">
    <w:name w:val="footer"/>
    <w:basedOn w:val="a"/>
    <w:link w:val="a6"/>
    <w:uiPriority w:val="99"/>
    <w:unhideWhenUsed/>
    <w:rsid w:val="00EC0562"/>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EC0562"/>
    <w:rPr>
      <w:rFonts w:ascii="Times New Roman" w:eastAsia="Times New Roman" w:hAnsi="Times New Roman" w:cs="Times New Roman"/>
      <w:kern w:val="0"/>
      <w:sz w:val="18"/>
      <w:szCs w:val="18"/>
      <w:lang w:eastAsia="en-US"/>
    </w:rPr>
  </w:style>
  <w:style w:type="paragraph" w:styleId="a7">
    <w:name w:val="List Paragraph"/>
    <w:basedOn w:val="a"/>
    <w:uiPriority w:val="34"/>
    <w:qFormat/>
    <w:rsid w:val="003D7EF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66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tif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jpeg"/><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F849C-9320-411A-95AA-F1D4C5B6B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14</Pages>
  <Words>1093</Words>
  <Characters>7035</Characters>
  <Application>Microsoft Office Word</Application>
  <DocSecurity>0</DocSecurity>
  <Lines>92</Lines>
  <Paragraphs>18</Paragraphs>
  <ScaleCrop>false</ScaleCrop>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萝卜 胡</dc:creator>
  <cp:keywords/>
  <dc:description/>
  <cp:lastModifiedBy>萝卜 胡</cp:lastModifiedBy>
  <cp:revision>61</cp:revision>
  <dcterms:created xsi:type="dcterms:W3CDTF">2026-08-31T13:48:00Z</dcterms:created>
  <dcterms:modified xsi:type="dcterms:W3CDTF">2026-09-16T02:55:00Z</dcterms:modified>
</cp:coreProperties>
</file>